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Dispositif 7b — Les écrits courts (gammes d'écriture)</w:t>
      </w:r>
    </w:p>
    <w:p>
      <w:pPr>
        <w:spacing w:after="200"/>
      </w:pPr>
      <w:r>
        <w:rPr>
          <w:b/>
          <w:bCs/>
          <w:i/>
          <w:iCs/>
          <w:sz w:val="24"/>
          <w:szCs w:val="24"/>
        </w:rPr>
        <w:t xml:space="preserve">Classe de CM1</w:t>
      </w:r>
    </w:p>
    <w:p>
      <w:pPr>
        <w:spacing w:after="160"/>
      </w:pPr>
      <w:r>
        <w:rPr>
          <w:b w:val="false"/>
          <w:bCs w:val="false"/>
          <w:i/>
          <w:iCs/>
        </w:rPr>
        <w:t xml:space="preserve">Document construit à partir du programme de français du cycle 3 (entrée « Écriture ») et des ressources Éduscol sur les gammes d'écriture. Il porte uniquement sur les écrits courts : ni les écrits de travail (quotidiens, réflexifs, non corrigés — Dispositif 7, §2.1), ni les écrits longs (aboutis, avec brouillon et révision — Dispositif 7a) ne sont traités ici.</w:t>
      </w:r>
    </w:p>
    <w:p>
      <w:pPr>
        <w:pStyle w:val="Heading1"/>
        <w:spacing w:after="150" w:before="300"/>
      </w:pPr>
      <w:r>
        <w:t xml:space="preserve">1. Ce que dit le programme</w:t>
      </w:r>
    </w:p>
    <w:p>
      <w:pPr>
        <w:spacing w:after="160"/>
      </w:pPr>
      <w:r>
        <w:rPr>
          <w:b w:val="false"/>
          <w:bCs w:val="false"/>
          <w:i w:val="false"/>
          <w:iCs w:val="false"/>
        </w:rPr>
        <w:t xml:space="preserve">Le programme de cycle 3 demande que l'élève écrive très régulièrement, si possible quotidiennement, en variant à la fois les modalités de l'écrit (copie, dictée, gammes d'écriture, production écrite) et sa longueur : écrits courts d'une à cinq phrases, ou écrits longs. Les écrits courts constituent donc une catégorie à part entière, définie par le programme lui-même, distincte des écrits longs par sa brièveté et distincte des écrits de travail par sa visée : là où l'écrit de travail sert à réfléchir sur une notion d'une autre discipline, l'écrit court travaille l'écriture elle-même, souvent de façon créative.</w:t>
      </w:r>
    </w:p>
    <w:p>
      <w:pPr>
        <w:spacing w:after="160"/>
      </w:pPr>
      <w:r>
        <w:rPr>
          <w:b w:val="false"/>
          <w:bCs w:val="false"/>
          <w:i w:val="false"/>
          <w:iCs w:val="false"/>
        </w:rPr>
        <w:t xml:space="preserve">Le programme situe explicitement les gammes d'écriture parmi les moments où l'étude de la langue s'intègre aux activités de production d'écrits, au même titre que les phases d'amélioration des textes longs.</w:t>
      </w:r>
    </w:p>
    <w:p>
      <w:pPr>
        <w:pStyle w:val="Heading1"/>
        <w:spacing w:after="150" w:before="300"/>
      </w:pPr>
      <w:r>
        <w:t xml:space="preserve">2. Ce qui distingue les écrits courts des deux autres régimes d'écrit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600"/>
      </w:tblGrid>
      <w:tr>
        <w:tc>
          <w:tcPr>
            <w:tcW w:type="dxa" w:w="1600"/>
            <w:shd w:fill="D9E2F3" w:val="clear"/>
          </w:tcPr>
          <w:p>
            <w:r>
              <w:rPr>
                <w:b/>
                <w:bCs/>
                <w:sz w:val="20"/>
                <w:szCs w:val="20"/>
              </w:rPr>
              <w:t xml:space="preserve"/>
            </w:r>
          </w:p>
        </w:tc>
        <w:tc>
          <w:tcPr>
            <w:tcW w:type="dxa" w:w="2600"/>
            <w:shd w:fill="D9E2F3" w:val="clear"/>
          </w:tcPr>
          <w:p>
            <w:r>
              <w:rPr>
                <w:b/>
                <w:bCs/>
                <w:sz w:val="20"/>
                <w:szCs w:val="20"/>
              </w:rPr>
              <w:t xml:space="preserve">Écrits de travail (Dispositif 7, §2.1)</w:t>
            </w:r>
          </w:p>
        </w:tc>
        <w:tc>
          <w:tcPr>
            <w:tcW w:type="dxa" w:w="2700"/>
            <w:shd w:fill="D9E2F3" w:val="clear"/>
          </w:tcPr>
          <w:p>
            <w:r>
              <w:rPr>
                <w:b/>
                <w:bCs/>
                <w:sz w:val="20"/>
                <w:szCs w:val="20"/>
              </w:rPr>
              <w:t xml:space="preserve">Écrits courts (Dispositif 7b)</w:t>
            </w:r>
          </w:p>
        </w:tc>
        <w:tc>
          <w:tcPr>
            <w:tcW w:type="dxa" w:w="2600"/>
            <w:shd w:fill="D9E2F3" w:val="clear"/>
          </w:tcPr>
          <w:p>
            <w:r>
              <w:rPr>
                <w:b/>
                <w:bCs/>
                <w:sz w:val="20"/>
                <w:szCs w:val="20"/>
              </w:rPr>
              <w:t xml:space="preserve">Écrits longs (Dispositif 7a)</w:t>
            </w:r>
          </w:p>
        </w:tc>
      </w:tr>
      <w:tr>
        <w:tc>
          <w:tcPr>
            <w:tcW w:type="dxa" w:w="1600"/>
          </w:tcPr>
          <w:p>
            <w:r>
              <w:rPr>
                <w:b w:val="false"/>
                <w:bCs w:val="false"/>
                <w:sz w:val="20"/>
                <w:szCs w:val="20"/>
              </w:rPr>
              <w:t xml:space="preserve">Longueur</w:t>
            </w:r>
          </w:p>
        </w:tc>
        <w:tc>
          <w:tcPr>
            <w:tcW w:type="dxa" w:w="2600"/>
          </w:tcPr>
          <w:p>
            <w:r>
              <w:rPr>
                <w:b w:val="false"/>
                <w:bCs w:val="false"/>
                <w:sz w:val="20"/>
                <w:szCs w:val="20"/>
              </w:rPr>
              <w:t xml:space="preserve">Variable, souvent une liste ou une phrase de travail</w:t>
            </w:r>
          </w:p>
        </w:tc>
        <w:tc>
          <w:tcPr>
            <w:tcW w:type="dxa" w:w="2700"/>
          </w:tcPr>
          <w:p>
            <w:r>
              <w:rPr>
                <w:b w:val="false"/>
                <w:bCs w:val="false"/>
                <w:sz w:val="20"/>
                <w:szCs w:val="20"/>
              </w:rPr>
              <w:t xml:space="preserve">Une à cinq phrases</w:t>
            </w:r>
          </w:p>
        </w:tc>
        <w:tc>
          <w:tcPr>
            <w:tcW w:type="dxa" w:w="2600"/>
          </w:tcPr>
          <w:p>
            <w:r>
              <w:rPr>
                <w:b w:val="false"/>
                <w:bCs w:val="false"/>
                <w:sz w:val="20"/>
                <w:szCs w:val="20"/>
              </w:rPr>
              <w:t xml:space="preserve">Un texte complet, plusieurs paragraphes</w:t>
            </w:r>
          </w:p>
        </w:tc>
      </w:tr>
      <w:tr>
        <w:tc>
          <w:tcPr>
            <w:tcW w:type="dxa" w:w="1600"/>
          </w:tcPr>
          <w:p>
            <w:r>
              <w:rPr>
                <w:b w:val="false"/>
                <w:bCs w:val="false"/>
                <w:sz w:val="20"/>
                <w:szCs w:val="20"/>
              </w:rPr>
              <w:t xml:space="preserve">Fonction</w:t>
            </w:r>
          </w:p>
        </w:tc>
        <w:tc>
          <w:tcPr>
            <w:tcW w:type="dxa" w:w="2600"/>
          </w:tcPr>
          <w:p>
            <w:r>
              <w:rPr>
                <w:b w:val="false"/>
                <w:bCs w:val="false"/>
                <w:sz w:val="20"/>
                <w:szCs w:val="20"/>
              </w:rPr>
              <w:t xml:space="preserve">Réfléchir, trier, formuler une hypothèse dans une discipline</w:t>
            </w:r>
          </w:p>
        </w:tc>
        <w:tc>
          <w:tcPr>
            <w:tcW w:type="dxa" w:w="2700"/>
          </w:tcPr>
          <w:p>
            <w:r>
              <w:rPr>
                <w:b w:val="false"/>
                <w:bCs w:val="false"/>
                <w:sz w:val="20"/>
                <w:szCs w:val="20"/>
              </w:rPr>
              <w:t xml:space="preserve">Manipuler la langue, désinhiber le rapport à l'écrit, explorer l'écriture créative</w:t>
            </w:r>
          </w:p>
        </w:tc>
        <w:tc>
          <w:tcPr>
            <w:tcW w:type="dxa" w:w="2600"/>
          </w:tcPr>
          <w:p>
            <w:r>
              <w:rPr>
                <w:b w:val="false"/>
                <w:bCs w:val="false"/>
                <w:sz w:val="20"/>
                <w:szCs w:val="20"/>
              </w:rPr>
              <w:t xml:space="preserve">Produire un texte abouti, destiné à être lu ou évalué</w:t>
            </w:r>
          </w:p>
        </w:tc>
      </w:tr>
      <w:tr>
        <w:tc>
          <w:tcPr>
            <w:tcW w:type="dxa" w:w="1600"/>
          </w:tcPr>
          <w:p>
            <w:r>
              <w:rPr>
                <w:b w:val="false"/>
                <w:bCs w:val="false"/>
                <w:sz w:val="20"/>
                <w:szCs w:val="20"/>
              </w:rPr>
              <w:t xml:space="preserve">Fréquence</w:t>
            </w:r>
          </w:p>
        </w:tc>
        <w:tc>
          <w:tcPr>
            <w:tcW w:type="dxa" w:w="2600"/>
          </w:tcPr>
          <w:p>
            <w:r>
              <w:rPr>
                <w:b w:val="false"/>
                <w:bCs w:val="false"/>
                <w:sz w:val="20"/>
                <w:szCs w:val="20"/>
              </w:rPr>
              <w:t xml:space="preserve">Au fil des séances, dans toutes les disciplines</w:t>
            </w:r>
          </w:p>
        </w:tc>
        <w:tc>
          <w:tcPr>
            <w:tcW w:type="dxa" w:w="2700"/>
          </w:tcPr>
          <w:p>
            <w:r>
              <w:rPr>
                <w:b w:val="false"/>
                <w:bCs w:val="false"/>
                <w:sz w:val="20"/>
                <w:szCs w:val="20"/>
              </w:rPr>
              <w:t xml:space="preserve">Régulière, si possible quotidienne</w:t>
            </w:r>
          </w:p>
        </w:tc>
        <w:tc>
          <w:tcPr>
            <w:tcW w:type="dxa" w:w="2600"/>
          </w:tcPr>
          <w:p>
            <w:r>
              <w:rPr>
                <w:b w:val="false"/>
                <w:bCs w:val="false"/>
                <w:sz w:val="20"/>
                <w:szCs w:val="20"/>
              </w:rPr>
              <w:t xml:space="preserve">Ponctuelle et plus rare</w:t>
            </w:r>
          </w:p>
        </w:tc>
      </w:tr>
      <w:tr>
        <w:tc>
          <w:tcPr>
            <w:tcW w:type="dxa" w:w="1600"/>
          </w:tcPr>
          <w:p>
            <w:r>
              <w:rPr>
                <w:b w:val="false"/>
                <w:bCs w:val="false"/>
                <w:sz w:val="20"/>
                <w:szCs w:val="20"/>
              </w:rPr>
              <w:t xml:space="preserve">Norme attendue</w:t>
            </w:r>
          </w:p>
        </w:tc>
        <w:tc>
          <w:tcPr>
            <w:tcW w:type="dxa" w:w="2600"/>
          </w:tcPr>
          <w:p>
            <w:r>
              <w:rPr>
                <w:b w:val="false"/>
                <w:bCs w:val="false"/>
                <w:sz w:val="20"/>
                <w:szCs w:val="20"/>
              </w:rPr>
              <w:t xml:space="preserve">Aucune</w:t>
            </w:r>
          </w:p>
        </w:tc>
        <w:tc>
          <w:tcPr>
            <w:tcW w:type="dxa" w:w="2700"/>
          </w:tcPr>
          <w:p>
            <w:r>
              <w:rPr>
                <w:b w:val="false"/>
                <w:bCs w:val="false"/>
                <w:sz w:val="20"/>
                <w:szCs w:val="20"/>
              </w:rPr>
              <w:t xml:space="preserve">Norme ciblée sur la contrainte du jour, jamais généralisée</w:t>
            </w:r>
          </w:p>
        </w:tc>
        <w:tc>
          <w:tcPr>
            <w:tcW w:type="dxa" w:w="2600"/>
          </w:tcPr>
          <w:p>
            <w:r>
              <w:rPr>
                <w:b w:val="false"/>
                <w:bCs w:val="false"/>
                <w:sz w:val="20"/>
                <w:szCs w:val="20"/>
              </w:rPr>
              <w:t xml:space="preserve">Norme ciblée sur les ceintures déjà validées par l'élève</w:t>
            </w:r>
          </w:p>
        </w:tc>
      </w:tr>
      <w:tr>
        <w:tc>
          <w:tcPr>
            <w:tcW w:type="dxa" w:w="1600"/>
          </w:tcPr>
          <w:p>
            <w:r>
              <w:rPr>
                <w:b w:val="false"/>
                <w:bCs w:val="false"/>
                <w:sz w:val="20"/>
                <w:szCs w:val="20"/>
              </w:rPr>
              <w:t xml:space="preserve">Statut</w:t>
            </w:r>
          </w:p>
        </w:tc>
        <w:tc>
          <w:tcPr>
            <w:tcW w:type="dxa" w:w="2600"/>
          </w:tcPr>
          <w:p>
            <w:r>
              <w:rPr>
                <w:b w:val="false"/>
                <w:bCs w:val="false"/>
                <w:sz w:val="20"/>
                <w:szCs w:val="20"/>
              </w:rPr>
              <w:t xml:space="preserve">Non corrigé, non noté</w:t>
            </w:r>
          </w:p>
        </w:tc>
        <w:tc>
          <w:tcPr>
            <w:tcW w:type="dxa" w:w="2700"/>
          </w:tcPr>
          <w:p>
            <w:r>
              <w:rPr>
                <w:b w:val="false"/>
                <w:bCs w:val="false"/>
                <w:sz w:val="20"/>
                <w:szCs w:val="20"/>
              </w:rPr>
              <w:t xml:space="preserve">Non noté ; peut être commenté collectivement</w:t>
            </w:r>
          </w:p>
        </w:tc>
        <w:tc>
          <w:tcPr>
            <w:tcW w:type="dxa" w:w="2600"/>
          </w:tcPr>
          <w:p>
            <w:r>
              <w:rPr>
                <w:b w:val="false"/>
                <w:bCs w:val="false"/>
                <w:sz w:val="20"/>
                <w:szCs w:val="20"/>
              </w:rPr>
              <w:t xml:space="preserve">Peut être évalué une fois abouti</w:t>
            </w:r>
          </w:p>
        </w:tc>
      </w:tr>
    </w:tbl>
    <w:p>
      <w:pPr>
        <w:pStyle w:val="Heading1"/>
        <w:spacing w:after="150" w:before="300"/>
      </w:pPr>
      <w:r>
        <w:t xml:space="preserve">3. Les gammes d'écriture : définition et enjeu</w:t>
      </w:r>
    </w:p>
    <w:p>
      <w:pPr>
        <w:spacing w:after="160"/>
      </w:pPr>
      <w:r>
        <w:rPr>
          <w:b w:val="false"/>
          <w:bCs w:val="false"/>
          <w:i w:val="false"/>
          <w:iCs w:val="false"/>
        </w:rPr>
        <w:t xml:space="preserve">Les ressources Éduscol définissent les gammes d'écriture comme des écrits courts, variés et réguliers qui développent l'imagination et l'écriture créative. Leur enjeu est de désinhiber les élèves dans leur rapport à l'écriture : contrairement à l'écrit long, l'écrit court ne vise pas un texte abouti, mais l'exploration répétée de l'acte d'écrire lui-même.</w:t>
      </w:r>
    </w:p>
    <w:p>
      <w:pPr>
        <w:spacing w:after="160"/>
      </w:pPr>
      <w:r>
        <w:rPr>
          <w:b w:val="false"/>
          <w:bCs w:val="false"/>
          <w:i w:val="false"/>
          <w:iCs w:val="false"/>
        </w:rPr>
        <w:t xml:space="preserve">Les modalités alternent deux types de consignes : des consignes formelles, où la contrainte imposée (de forme, de vocabulaire, de structure) devient elle-même un moteur de créativité, et des propositions plus ouvertes, qui permettent simplement d'entrer dans l'écrit sans contrainte particulière.</w:t>
      </w:r>
    </w:p>
    <w:p>
      <w:pPr>
        <w:pStyle w:val="Heading1"/>
        <w:spacing w:after="150" w:before="300"/>
      </w:pPr>
      <w:r>
        <w:t xml:space="preserve">4. Ritualisation : une régularité plutôt qu'un objectif de longueur</w:t>
      </w:r>
    </w:p>
    <w:p>
      <w:pPr>
        <w:spacing w:after="160"/>
      </w:pPr>
      <w:r>
        <w:rPr>
          <w:b w:val="false"/>
          <w:bCs w:val="false"/>
          <w:i w:val="false"/>
          <w:iCs w:val="false"/>
        </w:rPr>
        <w:t xml:space="preserve">Le programme encourage une pratique ritualisée de l'écrit court, par exemple se mettre d'accord collectivement sur « la phrase du jour ». Cette ritualisation aide en particulier les élèves les plus en difficulté face à l'écrit à appréhender progressivement ce qu'écrire veut dire, dans un cadre bref et répété plutôt que dans la perspective intimidante d'un texte long.</w:t>
      </w:r>
    </w:p>
    <w:p>
      <w:pPr>
        <w:spacing w:after="160"/>
      </w:pPr>
      <w:r>
        <w:rPr>
          <w:b w:val="false"/>
          <w:bCs w:val="false"/>
          <w:i w:val="false"/>
          <w:iCs w:val="false"/>
        </w:rPr>
        <w:t xml:space="preserve">Une mise en œuvre possible consiste à fixer, en début d'année, deux critères simples et communs à toute la classe (par exemple : une longueur minimale et une présentation lisible), puis à enrichir progressivement ces critères une fois qu'ils sont tenus de façon stable, plutôt que d'exiger d'emblée une norme complète.</w:t>
      </w:r>
    </w:p>
    <w:p>
      <w:pPr>
        <w:pStyle w:val="Heading1"/>
        <w:spacing w:after="150" w:before="300"/>
      </w:pPr>
      <w:r>
        <w:t xml:space="preserve">5. Lien avec l'étude de la langue : une contrainte, jamais une norme validée</w:t>
      </w:r>
    </w:p>
    <w:p>
      <w:pPr>
        <w:spacing w:after="160"/>
      </w:pPr>
      <w:r>
        <w:rPr>
          <w:b w:val="false"/>
          <w:bCs w:val="false"/>
          <w:i w:val="false"/>
          <w:iCs w:val="false"/>
        </w:rPr>
        <w:t xml:space="preserve">Le rôle des écrits courts vis-à-vis des ceintures de langue (G, H, C, V) est l'inverse exact de celui des écrits longs (Dispositif 7a, §3). Dans un écrit long, seules les ceintures déjà validées par l'élève peuvent être exigées. Dans un écrit court, c'est l'inverse : la contrainte du jour peut porter sur une notion encore en cours d'entraînement, précisément parce que l'écrit court n'est ni noté ni corrigé — c'est un espace d'essai, pas de validation.</w:t>
      </w:r>
    </w:p>
    <w:p>
      <w:pPr>
        <w:pStyle w:val="ListParagraph"/>
        <w:numPr>
          <w:ilvl w:val="0"/>
          <w:numId w:val="1"/>
        </w:numPr>
        <w:spacing w:after="100"/>
      </w:pPr>
      <w:r>
        <w:t xml:space="preserve">Exemple pour une notion en cours d'entraînement en G4 (classes grammaticales) : « Écris trois phrases contenant chacune un adverbe. »</w:t>
      </w:r>
    </w:p>
    <w:p>
      <w:pPr>
        <w:pStyle w:val="ListParagraph"/>
        <w:numPr>
          <w:ilvl w:val="0"/>
          <w:numId w:val="1"/>
        </w:numPr>
        <w:spacing w:after="100"/>
      </w:pPr>
      <w:r>
        <w:t xml:space="preserve">Exemple pour une notion en cours d'entraînement en C3 (imparfait) : « Réécris ce texte au passé, comme s'il se déroulait autrefois. »</w:t>
      </w:r>
    </w:p>
    <w:p>
      <w:pPr>
        <w:pStyle w:val="ListParagraph"/>
        <w:numPr>
          <w:ilvl w:val="0"/>
          <w:numId w:val="1"/>
        </w:numPr>
        <w:spacing w:after="100"/>
      </w:pPr>
      <w:r>
        <w:t xml:space="preserve">Exemple appuyé sur le carnet de mots (Dispositif 5) : « Choisis deux mots de ton carnet et emploie-les dans une même phrase. »</w:t>
      </w:r>
    </w:p>
    <w:p>
      <w:pPr>
        <w:spacing w:after="160"/>
      </w:pPr>
      <w:r>
        <w:rPr>
          <w:b w:val="false"/>
          <w:bCs w:val="false"/>
          <w:i w:val="false"/>
          <w:iCs w:val="false"/>
        </w:rPr>
        <w:t xml:space="preserve">Ces contraintes restent ponctuelles et ludiques : elles ne remplacent jamais l'entraînement propre à la ceinture concernée, et un écart sur la notion visée n'est pas corrigé comme une erreur, seulement relevé collectivement si l'échange s'y prête.</w:t>
      </w:r>
    </w:p>
    <w:p>
      <w:pPr>
        <w:pStyle w:val="Heading1"/>
        <w:spacing w:after="150" w:before="300"/>
      </w:pPr>
      <w:r>
        <w:t xml:space="preserve">6. Ce qui reste propre à ce dispositif (pas de ceintures)</w:t>
      </w:r>
    </w:p>
    <w:p>
      <w:pPr>
        <w:pStyle w:val="ListParagraph"/>
        <w:numPr>
          <w:ilvl w:val="0"/>
          <w:numId w:val="1"/>
        </w:numPr>
        <w:spacing w:after="100"/>
      </w:pPr>
      <w:r>
        <w:t xml:space="preserve">Aucun test de passage, aucune note : seule la régularité de la pratique compte.</w:t>
      </w:r>
    </w:p>
    <w:p>
      <w:pPr>
        <w:pStyle w:val="ListParagraph"/>
        <w:numPr>
          <w:ilvl w:val="0"/>
          <w:numId w:val="1"/>
        </w:numPr>
        <w:spacing w:after="100"/>
      </w:pPr>
      <w:r>
        <w:t xml:space="preserve">Aucune norme généralisée : la seule exigence, quand il y en a une, porte sur la contrainte du jour, jamais sur l'ensemble des compétences de l'élève.</w:t>
      </w:r>
    </w:p>
    <w:p>
      <w:pPr>
        <w:pStyle w:val="ListParagraph"/>
        <w:numPr>
          <w:ilvl w:val="0"/>
          <w:numId w:val="1"/>
        </w:numPr>
        <w:spacing w:after="100"/>
      </w:pPr>
      <w:r>
        <w:t xml:space="preserve">Les écrits courts ne sont pas conservés comme les écrits longs : ils peuvent rester dans un cahier dédié sans faire l'objet d'un archivage systématique, sauf choix contraire de l'enseignant.</w:t>
      </w:r>
    </w:p>
    <w:p>
      <w:pPr>
        <w:pStyle w:val="Heading1"/>
        <w:spacing w:after="150" w:before="300"/>
      </w:pPr>
      <w:r>
        <w:t xml:space="preserve">7. Points non tranchés</w:t>
      </w:r>
    </w:p>
    <w:p>
      <w:pPr>
        <w:pStyle w:val="ListParagraph"/>
        <w:numPr>
          <w:ilvl w:val="0"/>
          <w:numId w:val="1"/>
        </w:numPr>
        <w:spacing w:after="100"/>
      </w:pPr>
      <w:r>
        <w:t xml:space="preserve">Fréquence exacte non arrêtée : quotidienne (façon rituel du matin) ou hebdomadaire, à trancher selon l'organisation de la classe.</w:t>
      </w:r>
    </w:p>
    <w:p>
      <w:pPr>
        <w:pStyle w:val="ListParagraph"/>
        <w:numPr>
          <w:ilvl w:val="0"/>
          <w:numId w:val="1"/>
        </w:numPr>
        <w:spacing w:after="100"/>
      </w:pPr>
      <w:r>
        <w:t xml:space="preserve">Support non arrêté : cahier dédié aux écrits courts, ou pages dédiées dans un cahier existant.</w:t>
      </w:r>
    </w:p>
    <w:p>
      <w:pPr>
        <w:pStyle w:val="ListParagraph"/>
        <w:numPr>
          <w:ilvl w:val="0"/>
          <w:numId w:val="1"/>
        </w:numPr>
        <w:spacing w:after="100"/>
      </w:pPr>
      <w:r>
        <w:t xml:space="preserve">Qui choisit la consigne du jour : l'enseignant systématiquement, une rotation entre plusieurs propositions, ou un tirage au sort parmi une banque de consignes — non tranché.</w:t>
      </w:r>
    </w:p>
    <w:p>
      <w:pPr>
        <w:pStyle w:val="ListParagraph"/>
        <w:numPr>
          <w:ilvl w:val="0"/>
          <w:numId w:val="1"/>
        </w:numPr>
        <w:spacing w:after="100"/>
      </w:pPr>
      <w:r>
        <w:t xml:space="preserve">Modalités exactes de partage collectif (lecture à voix haute systématique, affichage, ou simple écriture sans retour) restant à définir.</w:t>
      </w:r>
    </w:p>
    <w:p>
      <w:pPr>
        <w:pStyle w:val="ListParagraph"/>
        <w:numPr>
          <w:ilvl w:val="0"/>
          <w:numId w:val="1"/>
        </w:numPr>
        <w:spacing w:after="100"/>
      </w:pPr>
      <w:r>
        <w:t xml:space="preserve">Progression des critères communs (s'il y en a) sur l'année : rythme d'enrichissement non fixé précisément.</w:t>
      </w:r>
    </w:p>
    <w:p>
      <w:pPr>
        <w:pStyle w:val="Heading1"/>
      </w:pPr>
      <w:r>
        <w:t xml:space="preserve">En CM2</w:t>
      </w:r>
    </w:p>
    <w:p>
      <w:pPr>
        <w:pStyle w:val="BodyText"/>
      </w:pPr>
      <w:r>
        <w:t xml:space="preserve">Les gammes d’écriture gardent leur format (une à cinq phrases, une contrainte du jour). En CM2, des contraintes reprennent les ajouts des ceintures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7025"/>
        <w:gridCol w:w="2574"/>
      </w:tblGrid>
      <w:tr>
        <w:trPr>
          <w:tblHeader/>
        </w:trPr>
        <w:tc>
          <w:tcPr>
            <w:tcW w:type="dxa" w:w="7025"/>
            <w:shd w:fill="D9E2F3" w:val="clear"/>
          </w:tcPr>
          <w:p>
            <w:pPr>
              <w:spacing w:before="20" w:after="20"/>
            </w:pPr>
            <w:r>
              <w:rPr>
                <w:b/>
                <w:bCs/>
              </w:rPr>
              <w:t xml:space="preserve">Contrainte de la gamme</w:t>
            </w:r>
          </w:p>
        </w:tc>
        <w:tc>
          <w:tcPr>
            <w:tcW w:type="dxa" w:w="2574"/>
            <w:shd w:fill="D9E2F3" w:val="clear"/>
          </w:tcPr>
          <w:p>
            <w:pPr>
              <w:spacing w:before="20" w:after="20"/>
            </w:pPr>
            <w:r>
              <w:rPr>
                <w:b/>
                <w:bCs/>
              </w:rPr>
              <w:t xml:space="preserve">Ceinture CM2</w:t>
            </w:r>
          </w:p>
        </w:tc>
      </w:tr>
      <w:tr>
        <w:tc>
          <w:tcPr>
            <w:tcW w:type="dxa" w:w="7025"/>
          </w:tcPr>
          <w:p>
            <w:pPr>
              <w:spacing w:before="20" w:after="20"/>
            </w:pPr>
            <w:r>
              <w:t xml:space="preserve">Écrire une phrase complexe avec quand, parce que ou si</w:t>
            </w:r>
          </w:p>
        </w:tc>
        <w:tc>
          <w:tcPr>
            <w:tcW w:type="dxa" w:w="2574"/>
          </w:tcPr>
          <w:p>
            <w:pPr>
              <w:spacing w:before="20" w:after="20"/>
            </w:pPr>
            <w:r>
              <w:t xml:space="preserve">G2</w:t>
            </w:r>
          </w:p>
        </w:tc>
      </w:tr>
      <w:tr>
        <w:tc>
          <w:tcPr>
            <w:tcW w:type="dxa" w:w="7025"/>
          </w:tcPr>
          <w:p>
            <w:pPr>
              <w:spacing w:before="20" w:after="20"/>
            </w:pPr>
            <w:r>
              <w:t xml:space="preserve">Enrichir des noms avec un complément du nom</w:t>
            </w:r>
          </w:p>
        </w:tc>
        <w:tc>
          <w:tcPr>
            <w:tcW w:type="dxa" w:w="2574"/>
          </w:tcPr>
          <w:p>
            <w:pPr>
              <w:spacing w:before="20" w:after="20"/>
            </w:pPr>
            <w:r>
              <w:t xml:space="preserve">G3</w:t>
            </w:r>
          </w:p>
        </w:tc>
      </w:tr>
      <w:tr>
        <w:tc>
          <w:tcPr>
            <w:tcW w:type="dxa" w:w="7025"/>
          </w:tcPr>
          <w:p>
            <w:pPr>
              <w:spacing w:before="20" w:after="20"/>
            </w:pPr>
            <w:r>
              <w:t xml:space="preserve">Décrire un personnage avec des attributs du sujet (être, sembler, devenir)</w:t>
            </w:r>
          </w:p>
        </w:tc>
        <w:tc>
          <w:tcPr>
            <w:tcW w:type="dxa" w:w="2574"/>
          </w:tcPr>
          <w:p>
            <w:pPr>
              <w:spacing w:before="20" w:after="20"/>
            </w:pPr>
            <w:r>
              <w:t xml:space="preserve">G7</w:t>
            </w:r>
          </w:p>
        </w:tc>
      </w:tr>
      <w:tr>
        <w:tc>
          <w:tcPr>
            <w:tcW w:type="dxa" w:w="7025"/>
          </w:tcPr>
          <w:p>
            <w:pPr>
              <w:spacing w:before="20" w:after="20"/>
            </w:pPr>
            <w:r>
              <w:t xml:space="preserve">Rapporter une parole avec le sujet après le verbe (« Viens ! » dit sa mère.)</w:t>
            </w:r>
          </w:p>
        </w:tc>
        <w:tc>
          <w:tcPr>
            <w:tcW w:type="dxa" w:w="2574"/>
          </w:tcPr>
          <w:p>
            <w:pPr>
              <w:spacing w:before="20" w:after="20"/>
            </w:pPr>
            <w:r>
              <w:t xml:space="preserve">G1, G5</w:t>
            </w:r>
          </w:p>
        </w:tc>
      </w:tr>
      <w:tr>
        <w:tc>
          <w:tcPr>
            <w:tcW w:type="dxa" w:w="7025"/>
          </w:tcPr>
          <w:p>
            <w:pPr>
              <w:spacing w:before="20" w:after="20"/>
            </w:pPr>
            <w:r>
              <w:t xml:space="preserve">Raconter en trois phrases au passé simple et à l’imparfait</w:t>
            </w:r>
          </w:p>
        </w:tc>
        <w:tc>
          <w:tcPr>
            <w:tcW w:type="dxa" w:w="2574"/>
          </w:tcPr>
          <w:p>
            <w:pPr>
              <w:spacing w:before="20" w:after="20"/>
            </w:pPr>
            <w:r>
              <w:t xml:space="preserve">C3, C7</w:t>
            </w:r>
          </w:p>
        </w:tc>
      </w:tr>
      <w:tr>
        <w:tc>
          <w:tcPr>
            <w:tcW w:type="dxa" w:w="7025"/>
          </w:tcPr>
          <w:p>
            <w:pPr>
              <w:spacing w:before="20" w:after="20"/>
            </w:pPr>
            <w:r>
              <w:t xml:space="preserve">Dire ce qui s’était passé avant, au plus-que-parfait</w:t>
            </w:r>
          </w:p>
        </w:tc>
        <w:tc>
          <w:tcPr>
            <w:tcW w:type="dxa" w:w="2574"/>
          </w:tcPr>
          <w:p>
            <w:pPr>
              <w:spacing w:before="20" w:after="20"/>
            </w:pPr>
            <w:r>
              <w:t xml:space="preserve">C6</w:t>
            </w:r>
          </w:p>
        </w:tc>
      </w:tr>
      <w:tr>
        <w:tc>
          <w:tcPr>
            <w:tcW w:type="dxa" w:w="7025"/>
          </w:tcPr>
          <w:p>
            <w:pPr>
              <w:spacing w:before="20" w:after="20"/>
            </w:pPr>
            <w:r>
              <w:t xml:space="preserve">Écrire quatre phrases dans un même champ lexical</w:t>
            </w:r>
          </w:p>
        </w:tc>
        <w:tc>
          <w:tcPr>
            <w:tcW w:type="dxa" w:w="2574"/>
          </w:tcPr>
          <w:p>
            <w:pPr>
              <w:spacing w:before="20" w:after="20"/>
            </w:pPr>
            <w:r>
              <w:t xml:space="preserve">V5</w:t>
            </w:r>
          </w:p>
        </w:tc>
      </w:tr>
      <w:tr>
        <w:tc>
          <w:tcPr>
            <w:tcW w:type="dxa" w:w="7025"/>
          </w:tcPr>
          <w:p>
            <w:pPr>
              <w:spacing w:before="20" w:after="20"/>
            </w:pPr>
            <w:r>
              <w:t xml:space="preserve">Employer un mot dans deux sens différents</w:t>
            </w:r>
          </w:p>
        </w:tc>
        <w:tc>
          <w:tcPr>
            <w:tcW w:type="dxa" w:w="2574"/>
          </w:tcPr>
          <w:p>
            <w:pPr>
              <w:spacing w:before="20" w:after="20"/>
            </w:pPr>
            <w:r>
              <w:t xml:space="preserve">V6</w:t>
            </w:r>
          </w:p>
        </w:tc>
      </w:tr>
    </w:tbl>
    <w:p/>
    <w:p>
      <w:pPr>
        <w:pStyle w:val="BodyText"/>
      </w:pPr>
      <w:r>
        <w:t xml:space="preserve">Ces contraintes ne sont proposées à un élève qu’une fois la ceinture concernée travaillée.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2026-09-10T21:22:22.831Z</dcterms:created>
  <dcterms:modified xsi:type="dcterms:W3CDTF">2026-09-10T21:22:22.840Z</dcterms:modified>
</cp:coreProperties>
</file>

<file path=docProps/custom.xml><?xml version="1.0" encoding="utf-8"?>
<Properties xmlns="http://schemas.openxmlformats.org/officeDocument/2006/custom-properties" xmlns:vt="http://schemas.openxmlformats.org/officeDocument/2006/docPropsVTypes"/>
</file>