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Dispositif 1 bis — Homophones grammaticaux (H1 → H8)</w:t>
      </w:r>
    </w:p>
    <w:p>
      <w:pPr>
        <w:pStyle w:val="Heading2"/>
        <w:rPr/>
      </w:pPr>
      <w:bookmarkStart w:id="0" w:name="classe-de-cm1"/>
      <w:r>
        <w:rPr/>
        <w:t>Classe de CM1</w:t>
      </w:r>
    </w:p>
    <w:p>
      <w:pPr>
        <w:pStyle w:val="FirstParagraph"/>
        <w:rPr/>
      </w:pPr>
      <w:r>
        <w:rPr>
          <w:i/>
          <w:iCs/>
        </w:rPr>
        <w:t>Dispositif parallèle à G1-G7, sans modification de la progression grammaire existante. Rattaché au temps de grammaire (Dispositif 1). Version intégrant le jeu Profissime correspondant.</w:t>
      </w:r>
    </w:p>
    <w:p>
      <w:pPr>
        <w:pStyle w:val="BodyText"/>
        <w:rPr/>
      </w:pPr>
      <w:bookmarkStart w:id="1" w:name="classe-de-cm1"/>
      <w:r>
        <w:rPr>
          <w:i/>
          <w:iCs/>
        </w:rPr>
        <w:t>Mise à jour (septembre 2026) : nouveau parcours de ceinture (trois entraînements ciblés, un seul test — le test ciblé, en trois versions —, deux remédiations, trois entraînements spiralés sans test), entraînement collectif de 30 min à l’ardoise avec groupe de besoin, observations interactives, kit universel d’étiquettes, vocabulaire neutre dans les fiches. Détail : documents « Structure des ceintures ».</w:t>
      </w:r>
      <w:bookmarkEnd w:id="1"/>
    </w:p>
    <w:p>
      <w:pPr>
        <w:pStyle w:val="Heading1"/>
        <w:rPr/>
      </w:pPr>
      <w:bookmarkStart w:id="2" w:name="principe-de-construction"/>
      <w:r>
        <w:rPr/>
        <w:t>Principe de construction</w:t>
      </w:r>
    </w:p>
    <w:p>
      <w:pPr>
        <w:pStyle w:val="Normal"/>
        <w:numPr>
          <w:ilvl w:val="0"/>
          <w:numId w:val="1"/>
        </w:numPr>
        <w:rPr/>
      </w:pPr>
      <w:r>
        <w:rPr/>
        <w:t>Jamais deux mots d’une même paire jumelle (confusable à l’oral) dans la même ceinture — c’est la seule règle non négociable. Opposer a et à dans la même séance renforce l’association au lieu de la défaire.</w:t>
      </w:r>
    </w:p>
    <w:p>
      <w:pPr>
        <w:pStyle w:val="Normal"/>
        <w:numPr>
          <w:ilvl w:val="0"/>
          <w:numId w:val="1"/>
        </w:numPr>
        <w:rPr/>
      </w:pPr>
      <w:r>
        <w:rPr/>
        <w:t>Une ceinture peut regrouper des mots de natures grammaticales différentes, tant qu’ils n’ont pas de jumeau en commun et qu’ils partagent le même palier de prérequis.</w:t>
      </w:r>
    </w:p>
    <w:p>
      <w:pPr>
        <w:pStyle w:val="Normal"/>
        <w:numPr>
          <w:ilvl w:val="0"/>
          <w:numId w:val="1"/>
        </w:numPr>
        <w:rPr/>
      </w:pPr>
      <w:r>
        <w:rPr/>
        <w:t>Chaque mot s’ancre dans sa classe grammaticale, jamais dans un « truc » appris par cœur.</w:t>
      </w:r>
    </w:p>
    <w:p>
      <w:pPr>
        <w:pStyle w:val="Normal"/>
        <w:numPr>
          <w:ilvl w:val="0"/>
          <w:numId w:val="1"/>
        </w:numPr>
        <w:rPr/>
      </w:pPr>
      <w:bookmarkStart w:id="3" w:name="principe-de-construction"/>
      <w:r>
        <w:rPr/>
        <w:t>La spirale s’applique entre ceintures différentes, jamais entre une ceinture et son propre jumeau tant que les deux ne sont pas validées. Une fois qu’une paire est validée des deux côtés, elle rejoint le pool commun — c’est tout l’objet de H8 (transfert).</w:t>
      </w:r>
      <w:bookmarkEnd w:id="3"/>
    </w:p>
    <w:p>
      <w:pPr>
        <w:pStyle w:val="Heading1"/>
        <w:rPr/>
      </w:pPr>
      <w:bookmarkStart w:id="4" w:name="base-de-référence-utilisée"/>
      <w:r>
        <w:rPr/>
        <w:t>Base de référence utilisée</w:t>
      </w:r>
    </w:p>
    <w:p>
      <w:pPr>
        <w:pStyle w:val="FirstParagraph"/>
        <w:rPr/>
      </w:pPr>
      <w:r>
        <w:rPr/>
        <w:t>Liste du socle commun (paliers 1-2), reprise en l’absence de liste officielle actuelle dans le programme 2025 :</w:t>
      </w:r>
    </w:p>
    <w:p>
      <w:pPr>
        <w:pStyle w:val="BodyText"/>
        <w:rPr/>
      </w:pPr>
      <w:bookmarkStart w:id="5" w:name="base-de-référence-utilisée"/>
      <w:r>
        <w:rPr>
          <w:i/>
          <w:iCs/>
        </w:rPr>
        <w:t>a/à, on/ont, est/et, son/sont, ses/ces, mes/mais, on/on n’, ce/se, c’est/s’est (et c’était/s’était), ou/où, la/l’a/l’as/là.</w:t>
      </w:r>
      <w:bookmarkEnd w:id="5"/>
    </w:p>
    <w:p>
      <w:pPr>
        <w:pStyle w:val="Heading1"/>
        <w:rPr/>
      </w:pPr>
      <w:bookmarkStart w:id="6" w:name="vue-densemble"/>
      <w:r>
        <w:rPr/>
        <w:t>Vue d’ensemble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Mots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Période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Jeu associé</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 a, ont, es, est, sont (l’a, l’as en spiralé)</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P1-P2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là, où</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 ces, à</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 ou, mais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 c’est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son, ses, 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 s’est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Transfert (8 paires)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 P5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Ortho race</w:t>
            </w:r>
          </w:p>
        </w:tc>
      </w:tr>
    </w:tbl>
    <w:p>
      <w:pPr>
        <w:pStyle w:val="BodyText"/>
        <w:rPr/>
      </w:pPr>
      <w:r>
        <w:rPr>
          <w:i/>
          <w:iCs/>
        </w:rPr>
        <w:t>Ortho race (Pack CM1/CM2) couvre l’ensemble de la progression H de son pack, sans distinction fine par ceinture dans la plaquette source.</w:t>
      </w:r>
    </w:p>
    <w:p>
      <w:pPr>
        <w:pStyle w:val="Heading2"/>
        <w:rPr/>
      </w:pPr>
      <w:bookmarkStart w:id="7" w:name="h1-verbes-avoir-être-conjugués"/>
      <w:r>
        <w:rPr/>
        <w:t>H1 — Verbes avoir / être conjugués</w:t>
      </w:r>
    </w:p>
    <w:p>
      <w:pPr>
        <w:pStyle w:val="FirstParagraph"/>
        <w:rPr/>
      </w:pPr>
      <w:r>
        <w:rPr/>
        <w:t>Mots : ai, as, a, ont, es, est, sont ; l’a et l’as sont travaillés dans l’entraînement spiralé, sans être évalués au test. (ai et es ajoutés : sans eux, la série des formes du singulier est incomplète et j’est / tu est restent des erreurs fréquentes.)</w:t>
      </w:r>
    </w:p>
    <w:p>
      <w:pPr>
        <w:pStyle w:val="BodyText"/>
        <w:rPr/>
      </w:pPr>
      <w:r>
        <w:rPr/>
        <w:t>Objectif dominant : reconnaître une forme conjuguée du verbe avoir ou être, en la distinguant de son jumeau non verbal, grâce au test de réécriture à un autre temps (a → avait, as → avais, ont → avaient, sont/est → étaient/était ; imparfait déjà vu en CE2), complété par le changement de sujet (il a → ils ont). Le jumeau n’est jamais proposé : l’élève choisit entre les formes d’avoir et d’être grâce au sujet et au sens.</w:t>
      </w:r>
    </w:p>
    <w:p>
      <w:pPr>
        <w:pStyle w:val="BodyText"/>
        <w:rPr/>
      </w:pPr>
      <w:r>
        <w:rPr/>
        <w:t>Prérequis : sujet et verbe conjugué repérables (G1) ; conjugaison avoir/être au présent stabilisée (Dispositif 3).</w:t>
      </w:r>
    </w:p>
    <w:p>
      <w:pPr>
        <w:pStyle w:val="BodyText"/>
        <w:rPr/>
      </w:pPr>
      <w:bookmarkStart w:id="8" w:name="h1-verbes-avoir-être-conjugués"/>
      <w:r>
        <w:rPr/>
        <w:t>Points de vigilance : l’a/l’as suppose que le pronom complément l’ soit déjà repéré — d’où leur place dans l’entraînement spiralé seulement.</w:t>
      </w:r>
      <w:bookmarkEnd w:id="8"/>
    </w:p>
    <w:p>
      <w:pPr>
        <w:pStyle w:val="Heading2"/>
        <w:rPr/>
      </w:pPr>
      <w:bookmarkStart w:id="9" w:name="h2-on-là-où"/>
      <w:r>
        <w:rPr/>
        <w:t>H2 — on, là, où</w:t>
      </w:r>
    </w:p>
    <w:p>
      <w:pPr>
        <w:pStyle w:val="FirstParagraph"/>
        <w:rPr/>
      </w:pPr>
      <w:r>
        <w:rPr/>
        <w:t>Objectif dominant : identifier le pronom indéfini on (toujours singulier, remplaçable par quelqu’un/nous) et les adverbes de lieu là/où.</w:t>
      </w:r>
    </w:p>
    <w:p>
      <w:pPr>
        <w:pStyle w:val="BodyText"/>
        <w:rPr/>
      </w:pPr>
      <w:bookmarkStart w:id="10" w:name="h2-on-là-où"/>
      <w:r>
        <w:rPr/>
        <w:t>Prérequis : H1 validée depuis au moins une période.</w:t>
      </w:r>
      <w:bookmarkEnd w:id="10"/>
    </w:p>
    <w:p>
      <w:pPr>
        <w:pStyle w:val="Heading2"/>
        <w:rPr/>
      </w:pPr>
      <w:bookmarkStart w:id="11" w:name="h3-ce-ces-à"/>
      <w:r>
        <w:rPr/>
        <w:t>H3 — ce, ces, à</w:t>
      </w:r>
    </w:p>
    <w:p>
      <w:pPr>
        <w:pStyle w:val="FirstParagraph"/>
        <w:rPr/>
      </w:pPr>
      <w:r>
        <w:rPr/>
        <w:t>Objectif dominant : identifier la préposition à (non substituable par un temps de verbe) et les déterminants démonstratifs ce/ces.</w:t>
      </w:r>
    </w:p>
    <w:p>
      <w:pPr>
        <w:pStyle w:val="BodyText"/>
        <w:rPr/>
      </w:pPr>
      <w:bookmarkStart w:id="12" w:name="h3-ce-ces-à"/>
      <w:r>
        <w:rPr/>
        <w:t>Prérequis : classes grammaticales de base (G4) pour à ; déterminants (G3) pour ce/ces.</w:t>
      </w:r>
      <w:bookmarkEnd w:id="12"/>
    </w:p>
    <w:p>
      <w:pPr>
        <w:pStyle w:val="Heading2"/>
        <w:rPr/>
      </w:pPr>
      <w:bookmarkStart w:id="13" w:name="h4-et-ou-mais"/>
      <w:r>
        <w:rPr/>
        <w:t>H4 — et, ou, mais</w:t>
      </w:r>
    </w:p>
    <w:p>
      <w:pPr>
        <w:pStyle w:val="FirstParagraph"/>
        <w:rPr/>
      </w:pPr>
      <w:r>
        <w:rPr/>
        <w:t>Objectif dominant : identifier les conjonctions de coordination, réunies en un seul groupe cohérent (support possible : « mais où est donc Ornicar »).</w:t>
      </w:r>
    </w:p>
    <w:p>
      <w:pPr>
        <w:pStyle w:val="BodyText"/>
        <w:rPr/>
      </w:pPr>
      <w:r>
        <w:rPr/>
        <w:t>Prérequis : H1 (jumeau et/est) et H2 (jumeau ou/où) validées depuis au moins une période.</w:t>
      </w:r>
    </w:p>
    <w:p>
      <w:pPr>
        <w:pStyle w:val="BodyText"/>
        <w:rPr/>
      </w:pPr>
      <w:bookmarkStart w:id="14" w:name="h4-et-ou-mais"/>
      <w:r>
        <w:rPr/>
        <w:t>Points de vigilance : mais a pour jumeau mes, placé en H6 (P5) — l’écart est donc large et sans risque.</w:t>
      </w:r>
      <w:bookmarkEnd w:id="14"/>
    </w:p>
    <w:p>
      <w:pPr>
        <w:pStyle w:val="Heading2"/>
        <w:rPr/>
      </w:pPr>
      <w:bookmarkStart w:id="15" w:name="h5-la-cest"/>
      <w:r>
        <w:rPr/>
        <w:t>H5 — la, c’est</w:t>
      </w:r>
    </w:p>
    <w:p>
      <w:pPr>
        <w:pStyle w:val="FirstParagraph"/>
        <w:rPr/>
      </w:pPr>
      <w:r>
        <w:rPr/>
        <w:t>Objectif dominant : distinguer la déterminant/pronom de ses jumeaux, et orthographier c’est.</w:t>
      </w:r>
    </w:p>
    <w:p>
      <w:pPr>
        <w:pStyle w:val="BodyText"/>
        <w:rPr/>
      </w:pPr>
      <w:r>
        <w:rPr/>
        <w:t>Prérequis : H2 (jumeau de la = là) et H1 (jumeau = l’a/l’as) validées.</w:t>
      </w:r>
    </w:p>
    <w:p>
      <w:pPr>
        <w:pStyle w:val="BodyText"/>
        <w:rPr/>
      </w:pPr>
      <w:bookmarkStart w:id="16" w:name="h5-la-cest"/>
      <w:r>
        <w:rPr/>
        <w:t>Points de vigilance : c’est a pour jumeau s’est, placé en H7 (P5) — ne jamais introduire s’est dans les exercices de H5.</w:t>
      </w:r>
      <w:bookmarkEnd w:id="16"/>
    </w:p>
    <w:p>
      <w:pPr>
        <w:pStyle w:val="Heading2"/>
        <w:rPr/>
      </w:pPr>
      <w:bookmarkStart w:id="17" w:name="h6-son-ses-mes"/>
      <w:r>
        <w:rPr/>
        <w:t>H6 — son, ses, mes</w:t>
      </w:r>
    </w:p>
    <w:p>
      <w:pPr>
        <w:pStyle w:val="FirstParagraph"/>
        <w:rPr/>
      </w:pPr>
      <w:r>
        <w:rPr/>
        <w:t>Objectif dominant : identifier les déterminants possessifs, avec l’accord en nombre pour ses/mes.</w:t>
      </w:r>
    </w:p>
    <w:p>
      <w:pPr>
        <w:pStyle w:val="BodyText"/>
        <w:rPr/>
      </w:pPr>
      <w:bookmarkStart w:id="18" w:name="h6-son-ses-mes"/>
      <w:r>
        <w:rPr/>
        <w:t>Prérequis : accords dans le groupe nominal (G3) ; H3 (jumeau ces) et H4 (jumeau mais) validées.</w:t>
      </w:r>
      <w:bookmarkEnd w:id="18"/>
    </w:p>
    <w:p>
      <w:pPr>
        <w:pStyle w:val="Heading2"/>
        <w:rPr/>
      </w:pPr>
      <w:bookmarkStart w:id="19" w:name="h7-se-sest"/>
      <w:r>
        <w:rPr/>
        <w:t>H7 — se, s’est</w:t>
      </w:r>
    </w:p>
    <w:p>
      <w:pPr>
        <w:pStyle w:val="FirstParagraph"/>
        <w:rPr/>
      </w:pPr>
      <w:r>
        <w:rPr/>
        <w:t>Objectif dominant : identifier le pronom réfléchi se et sa forme au passé composé s’est (accord avec être).</w:t>
      </w:r>
    </w:p>
    <w:p>
      <w:pPr>
        <w:pStyle w:val="BodyText"/>
        <w:rPr/>
      </w:pPr>
      <w:r>
        <w:rPr/>
        <w:t>Prérequis : notion de verbe pronominal (Dispositif 3) ; accord du participe passé avec être (G7) pour s’est spécifiquement ; H3 et H5 validées.</w:t>
      </w:r>
    </w:p>
    <w:p>
      <w:pPr>
        <w:pStyle w:val="BodyText"/>
        <w:rPr/>
      </w:pPr>
      <w:bookmarkStart w:id="20" w:name="h7-se-sest"/>
      <w:r>
        <w:rPr/>
        <w:t>Points de vigilance : c’est la seule ceinture du dispositif où le regroupement retarde un mot (se) qui aurait pu être prêt plus tôt — décision assumée pour limiter le nombre total de ceintures.</w:t>
      </w:r>
      <w:bookmarkEnd w:id="20"/>
    </w:p>
    <w:p>
      <w:pPr>
        <w:pStyle w:val="Heading2"/>
        <w:rPr/>
      </w:pPr>
      <w:bookmarkStart w:id="21" w:name="h8-transfert-en-contexte"/>
      <w:r>
        <w:rPr/>
        <w:t>H8 — Transfert en contexte</w:t>
      </w:r>
    </w:p>
    <w:p>
      <w:pPr>
        <w:pStyle w:val="FirstParagraph"/>
        <w:rPr/>
      </w:pPr>
      <w:r>
        <w:rPr/>
        <w:t>Objectif dominant : réinvestir en production réelle (dictée, écriture) l’ensemble des 8 paires validées.</w:t>
      </w:r>
    </w:p>
    <w:p>
      <w:pPr>
        <w:pStyle w:val="BodyText"/>
        <w:rPr/>
      </w:pPr>
      <w:bookmarkStart w:id="22" w:name="vue-densemble"/>
      <w:bookmarkStart w:id="23" w:name="h8-transfert-en-contexte"/>
      <w:r>
        <w:rPr/>
        <w:t>Justification : miroir de G7 côté grammaire — ceinture de synthèse non enseignée collectivement, atteinte seulement en fin de spirale.</w:t>
      </w:r>
      <w:bookmarkEnd w:id="22"/>
      <w:bookmarkEnd w:id="23"/>
    </w:p>
    <w:p>
      <w:pPr>
        <w:pStyle w:val="Heading1"/>
        <w:rPr/>
      </w:pPr>
      <w:bookmarkStart w:id="24" w:name="mise-en-œuvre"/>
      <w:r>
        <w:rPr/>
        <w:t>Mise en œuvre</w:t>
      </w:r>
    </w:p>
    <w:p>
      <w:pPr>
        <w:pStyle w:val="Normal"/>
        <w:numPr>
          <w:ilvl w:val="0"/>
          <w:numId w:val="5"/>
        </w:numPr>
        <w:rPr/>
      </w:pPr>
      <w:r>
        <w:rPr/>
        <w:t>Entraînement collectif à l’ardoise : la réponse tient en un mot, tous les élèves répondent et l’enseignant voit tout d’un coup d’œil.</w:t>
      </w:r>
    </w:p>
    <w:p>
      <w:pPr>
        <w:pStyle w:val="Normal"/>
        <w:numPr>
          <w:ilvl w:val="0"/>
          <w:numId w:val="6"/>
        </w:numPr>
        <w:rPr/>
      </w:pPr>
      <w:r>
        <w:rPr/>
        <w:t>Kit universel : un sachet par ceinture (H1 à H7), qui ne contient que les mots de la ceinture ; jamais deux jumeaux sortis ensemble avant la validation du premier.</w:t>
      </w:r>
    </w:p>
    <w:p>
      <w:pPr>
        <w:pStyle w:val="Normal"/>
        <w:numPr>
          <w:ilvl w:val="0"/>
          <w:numId w:val="7"/>
        </w:numPr>
        <w:rPr/>
      </w:pPr>
      <w:r>
        <w:rPr/>
        <w:t>H8 n’étant pas enseignée collectivement, son entraînement collectif prend la forme d’une dictée négociée plutôt que de l’ardoise.</w:t>
      </w:r>
    </w:p>
    <w:p>
      <w:pPr>
        <w:pStyle w:val="Normal"/>
        <w:numPr>
          <w:ilvl w:val="0"/>
          <w:numId w:val="8"/>
        </w:numPr>
        <w:rPr/>
      </w:pPr>
      <w:bookmarkStart w:id="25" w:name="mise-en-œuvre"/>
      <w:r>
        <w:rPr/>
        <w:t>Ceinture produite selon le nouveau parcours : H1.</w:t>
      </w:r>
      <w:bookmarkEnd w:id="25"/>
    </w:p>
    <w:p>
      <w:pPr>
        <w:pStyle w:val="Heading1"/>
        <w:rPr/>
      </w:pPr>
      <w:bookmarkStart w:id="26" w:name="points-non-tranchés"/>
      <w:r>
        <w:rPr/>
        <w:t>Points non tranchés</w:t>
      </w:r>
    </w:p>
    <w:p>
      <w:pPr>
        <w:pStyle w:val="Normal"/>
        <w:numPr>
          <w:ilvl w:val="0"/>
          <w:numId w:val="9"/>
        </w:numPr>
        <w:rPr/>
      </w:pPr>
      <w:r>
        <w:rPr/>
        <w:t>Coût de H7 : le regroupement se + s’est retarde se d’une période complète pour rester avec s’est (contrainte par G7). Une variante à 9 ceintures (H7 = s’est seul, se réintégré en H2 ou H3) libérerait se plus tôt — non retenue pour l’instant.</w:t>
      </w:r>
    </w:p>
    <w:p>
      <w:pPr>
        <w:pStyle w:val="Normal"/>
        <w:numPr>
          <w:ilvl w:val="0"/>
          <w:numId w:val="10"/>
        </w:numPr>
        <w:spacing w:before="0" w:after="200"/>
        <w:rPr/>
      </w:pPr>
      <w:bookmarkStart w:id="27" w:name="points-non-tranchés"/>
      <w:r>
        <w:rPr/>
        <w:t>Volume horaire réel : ce dispositif s’ajoute au temps déjà prévu pour la grammaire (45 min/semaine) sans qu’un volume dédié ait été chiffré — à tester en classe.</w:t>
      </w:r>
      <w:bookmarkEnd w:id="27"/>
    </w:p>
    <w:p>
      <w:pPr>
        <w:pStyle w:val="Heading1"/>
      </w:pPr>
      <w:r>
        <w:t xml:space="preserve">En CM2 : les mêmes ceintures, approfondies</w:t>
      </w:r>
    </w:p>
    <w:p>
      <w:pPr>
        <w:pStyle w:val="BodyText"/>
      </w:pPr>
      <w:r>
        <w:t xml:space="preserve">Depuis octobre 2026, chaque ceinture CM2 porte le même numéro, la même couleur et la même notion qu’en CM1. En classe à double niveau, l’observation et la trace écrite sont communes ; le CM2 va plus loin avec des écrans et des exercices en plus, et passe son propre test.</w:t>
      </w:r>
    </w:p>
    <w:p>
      <w:pPr>
        <w:pStyle w:val="BodyText"/>
        <w:numPr>
          <w:ilvl w:val="0"/>
          <w:numId w:val="1"/>
        </w:numPr>
        <w:spacing w:after="60"/>
      </w:pPr>
      <w:r>
        <w:rPr>
          <w:b/>
          <w:bCs/>
        </w:rPr>
        <w:t xml:space="preserve">Trace écrite</w:t>
      </w:r>
      <w:r>
        <w:t xml:space="preserve"> : la carte mentale est la même ; un encadré « En CM2, j’apprends aussi » la complète (page interactive et impression).</w:t>
      </w:r>
    </w:p>
    <w:p>
      <w:pPr>
        <w:pStyle w:val="BodyText"/>
        <w:numPr>
          <w:ilvl w:val="0"/>
          <w:numId w:val="1"/>
        </w:numPr>
        <w:spacing w:after="60"/>
      </w:pPr>
      <w:r>
        <w:rPr>
          <w:b/>
          <w:bCs/>
        </w:rPr>
        <w:t xml:space="preserve">Page interactive</w:t>
      </w:r>
      <w:r>
        <w:t xml:space="preserve"> : bouton « CM2 » du sommaire ; les écrans propres au CM2 portent l’étiquette « CM2 ».</w:t>
      </w:r>
    </w:p>
    <w:p>
      <w:pPr>
        <w:pStyle w:val="BodyText"/>
        <w:numPr>
          <w:ilvl w:val="0"/>
          <w:numId w:val="1"/>
        </w:numPr>
        <w:spacing w:after="60"/>
      </w:pPr>
      <w:r>
        <w:rPr>
          <w:b/>
          <w:bCs/>
        </w:rPr>
        <w:t xml:space="preserve">Parcours</w:t>
      </w:r>
      <w:r>
        <w:t xml:space="preserve"> : inchangé (Structure des ceintures) ; test ciblé A/B/C, réussite 6/6. Pour le CM2, chaque version du test compte 3 items sur le tronc commun et 3 items sur l’ajout CM2.</w:t>
      </w:r>
    </w:p>
    <w:p>
      <w:pPr>
        <w:pStyle w:val="BodyText"/>
        <w:numPr>
          <w:ilvl w:val="0"/>
          <w:numId w:val="1"/>
        </w:numPr>
        <w:spacing w:after="60"/>
      </w:pPr>
      <w:r>
        <w:rPr>
          <w:b/>
          <w:bCs/>
        </w:rPr>
        <w:t xml:space="preserve">Cahier de progrès</w:t>
      </w:r>
      <w:r>
        <w:t xml:space="preserve"> : parcours C des fiches CE2-CM1-CM2, renuméroté sur le CM1.</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696"/>
        <w:gridCol w:w="1097"/>
        <w:gridCol w:w="2229"/>
        <w:gridCol w:w="3097"/>
        <w:gridCol w:w="2478"/>
      </w:tblGrid>
      <w:tr>
        <w:trPr>
          <w:tblHeader/>
        </w:trPr>
        <w:tc>
          <w:tcPr>
            <w:tcW w:type="dxa" w:w="696"/>
            <w:shd w:fill="D9E2F3" w:val="clear"/>
          </w:tcPr>
          <w:p>
            <w:pPr>
              <w:spacing w:before="20" w:after="20"/>
            </w:pPr>
            <w:r>
              <w:rPr>
                <w:b/>
                <w:bCs/>
              </w:rPr>
              <w:t xml:space="preserve">N°</w:t>
            </w:r>
          </w:p>
        </w:tc>
        <w:tc>
          <w:tcPr>
            <w:tcW w:type="dxa" w:w="1097"/>
            <w:shd w:fill="D9E2F3" w:val="clear"/>
          </w:tcPr>
          <w:p>
            <w:pPr>
              <w:spacing w:before="20" w:after="20"/>
            </w:pPr>
            <w:r>
              <w:rPr>
                <w:b/>
                <w:bCs/>
              </w:rPr>
              <w:t xml:space="preserve">Couleur</w:t>
            </w:r>
          </w:p>
        </w:tc>
        <w:tc>
          <w:tcPr>
            <w:tcW w:type="dxa" w:w="2229"/>
            <w:shd w:fill="D9E2F3" w:val="clear"/>
          </w:tcPr>
          <w:p>
            <w:pPr>
              <w:spacing w:before="20" w:after="20"/>
            </w:pPr>
            <w:r>
              <w:rPr>
                <w:b/>
                <w:bCs/>
              </w:rPr>
              <w:t xml:space="preserve">Tronc commun (CM1)</w:t>
            </w:r>
          </w:p>
        </w:tc>
        <w:tc>
          <w:tcPr>
            <w:tcW w:type="dxa" w:w="3097"/>
            <w:shd w:fill="D9E2F3" w:val="clear"/>
          </w:tcPr>
          <w:p>
            <w:pPr>
              <w:spacing w:before="20" w:after="20"/>
            </w:pPr>
            <w:r>
              <w:rPr>
                <w:b/>
                <w:bCs/>
              </w:rPr>
              <w:t xml:space="preserve">En plus en CM2</w:t>
            </w:r>
          </w:p>
        </w:tc>
        <w:tc>
          <w:tcPr>
            <w:tcW w:type="dxa" w:w="2478"/>
            <w:shd w:fill="D9E2F3" w:val="clear"/>
          </w:tcPr>
          <w:p>
            <w:pPr>
              <w:spacing w:before="20" w:after="20"/>
            </w:pPr>
            <w:r>
              <w:rPr>
                <w:b/>
                <w:bCs/>
              </w:rPr>
              <w:t xml:space="preserve">Preuve du mot ajouté</w:t>
            </w:r>
          </w:p>
        </w:tc>
      </w:tr>
      <w:tr>
        <w:tc>
          <w:tcPr>
            <w:tcW w:type="dxa" w:w="696"/>
          </w:tcPr>
          <w:p>
            <w:pPr>
              <w:spacing w:before="20" w:after="20"/>
            </w:pPr>
            <w:r>
              <w:t xml:space="preserve">H1</w:t>
            </w:r>
          </w:p>
        </w:tc>
        <w:tc>
          <w:tcPr>
            <w:tcW w:type="dxa" w:w="1097"/>
          </w:tcPr>
          <w:p>
            <w:pPr>
              <w:spacing w:before="20" w:after="20"/>
            </w:pPr>
            <w:r>
              <w:t xml:space="preserve">Blanche</w:t>
            </w:r>
          </w:p>
        </w:tc>
        <w:tc>
          <w:tcPr>
            <w:tcW w:type="dxa" w:w="2229"/>
          </w:tcPr>
          <w:p>
            <w:pPr>
              <w:spacing w:before="20" w:after="20"/>
            </w:pPr>
            <w:r>
              <w:t xml:space="preserve">ai, as, a, ont, es, est, sont</w:t>
            </w:r>
          </w:p>
        </w:tc>
        <w:tc>
          <w:tcPr>
            <w:tcW w:type="dxa" w:w="3097"/>
          </w:tcPr>
          <w:p>
            <w:pPr>
              <w:spacing w:before="20" w:after="20"/>
            </w:pPr>
            <w:r>
              <w:t xml:space="preserve">Le verbe placé avant le sujet (questions)</w:t>
            </w:r>
          </w:p>
        </w:tc>
        <w:tc>
          <w:tcPr>
            <w:tcW w:type="dxa" w:w="2478"/>
          </w:tcPr>
          <w:p>
            <w:pPr>
              <w:spacing w:before="20" w:after="20"/>
            </w:pPr>
            <w:r>
              <w:t xml:space="preserve">l’imparfait, comme en CM1</w:t>
            </w:r>
          </w:p>
        </w:tc>
      </w:tr>
      <w:tr>
        <w:tc>
          <w:tcPr>
            <w:tcW w:type="dxa" w:w="696"/>
          </w:tcPr>
          <w:p>
            <w:pPr>
              <w:spacing w:before="20" w:after="20"/>
            </w:pPr>
            <w:r>
              <w:t xml:space="preserve">H2</w:t>
            </w:r>
          </w:p>
        </w:tc>
        <w:tc>
          <w:tcPr>
            <w:tcW w:type="dxa" w:w="1097"/>
          </w:tcPr>
          <w:p>
            <w:pPr>
              <w:spacing w:before="20" w:after="20"/>
            </w:pPr>
            <w:r>
              <w:t xml:space="preserve">Rose</w:t>
            </w:r>
          </w:p>
        </w:tc>
        <w:tc>
          <w:tcPr>
            <w:tcW w:type="dxa" w:w="2229"/>
          </w:tcPr>
          <w:p>
            <w:pPr>
              <w:spacing w:before="20" w:after="20"/>
            </w:pPr>
            <w:r>
              <w:t xml:space="preserve">on ; là, où</w:t>
            </w:r>
          </w:p>
        </w:tc>
        <w:tc>
          <w:tcPr>
            <w:tcW w:type="dxa" w:w="3097"/>
          </w:tcPr>
          <w:p>
            <w:pPr>
              <w:spacing w:before="20" w:after="20"/>
            </w:pPr>
            <w:r>
              <w:t xml:space="preserve">qu’elle(s)</w:t>
            </w:r>
          </w:p>
        </w:tc>
        <w:tc>
          <w:tcPr>
            <w:tcW w:type="dxa" w:w="2478"/>
          </w:tcPr>
          <w:p>
            <w:pPr>
              <w:spacing w:before="20" w:after="20"/>
            </w:pPr>
            <w:r>
              <w:t xml:space="preserve">je remplace par « qu’il(s) »</w:t>
            </w:r>
          </w:p>
        </w:tc>
      </w:tr>
      <w:tr>
        <w:tc>
          <w:tcPr>
            <w:tcW w:type="dxa" w:w="696"/>
          </w:tcPr>
          <w:p>
            <w:pPr>
              <w:spacing w:before="20" w:after="20"/>
            </w:pPr>
            <w:r>
              <w:t xml:space="preserve">H3</w:t>
            </w:r>
          </w:p>
        </w:tc>
        <w:tc>
          <w:tcPr>
            <w:tcW w:type="dxa" w:w="1097"/>
          </w:tcPr>
          <w:p>
            <w:pPr>
              <w:spacing w:before="20" w:after="20"/>
            </w:pPr>
            <w:r>
              <w:t xml:space="preserve">Jaune</w:t>
            </w:r>
          </w:p>
        </w:tc>
        <w:tc>
          <w:tcPr>
            <w:tcW w:type="dxa" w:w="2229"/>
          </w:tcPr>
          <w:p>
            <w:pPr>
              <w:spacing w:before="20" w:after="20"/>
            </w:pPr>
            <w:r>
              <w:t xml:space="preserve">ce, cet, cette, ces ; à</w:t>
            </w:r>
          </w:p>
        </w:tc>
        <w:tc>
          <w:tcPr>
            <w:tcW w:type="dxa" w:w="3097"/>
          </w:tcPr>
          <w:p>
            <w:pPr>
              <w:spacing w:before="20" w:after="20"/>
            </w:pPr>
            <w:r>
              <w:t xml:space="preserve">sans</w:t>
            </w:r>
          </w:p>
        </w:tc>
        <w:tc>
          <w:tcPr>
            <w:tcW w:type="dxa" w:w="2478"/>
          </w:tcPr>
          <w:p>
            <w:pPr>
              <w:spacing w:before="20" w:after="20"/>
            </w:pPr>
            <w:r>
              <w:t xml:space="preserve">je remplace par « avec »</w:t>
            </w:r>
          </w:p>
        </w:tc>
      </w:tr>
      <w:tr>
        <w:tc>
          <w:tcPr>
            <w:tcW w:type="dxa" w:w="696"/>
          </w:tcPr>
          <w:p>
            <w:pPr>
              <w:spacing w:before="20" w:after="20"/>
            </w:pPr>
            <w:r>
              <w:t xml:space="preserve">H4</w:t>
            </w:r>
          </w:p>
        </w:tc>
        <w:tc>
          <w:tcPr>
            <w:tcW w:type="dxa" w:w="1097"/>
          </w:tcPr>
          <w:p>
            <w:pPr>
              <w:spacing w:before="20" w:after="20"/>
            </w:pPr>
            <w:r>
              <w:t xml:space="preserve">Orange</w:t>
            </w:r>
          </w:p>
        </w:tc>
        <w:tc>
          <w:tcPr>
            <w:tcW w:type="dxa" w:w="2229"/>
          </w:tcPr>
          <w:p>
            <w:pPr>
              <w:spacing w:before="20" w:after="20"/>
            </w:pPr>
            <w:r>
              <w:t xml:space="preserve">et, ou, mais</w:t>
            </w:r>
          </w:p>
        </w:tc>
        <w:tc>
          <w:tcPr>
            <w:tcW w:type="dxa" w:w="3097"/>
          </w:tcPr>
          <w:p>
            <w:pPr>
              <w:spacing w:before="20" w:after="20"/>
            </w:pPr>
            <w:r>
              <w:t xml:space="preserve">donc</w:t>
            </w:r>
          </w:p>
        </w:tc>
        <w:tc>
          <w:tcPr>
            <w:tcW w:type="dxa" w:w="2478"/>
          </w:tcPr>
          <w:p>
            <w:pPr>
              <w:spacing w:before="20" w:after="20"/>
            </w:pPr>
            <w:r>
              <w:t xml:space="preserve">je remplace par « alors »</w:t>
            </w:r>
          </w:p>
        </w:tc>
      </w:tr>
      <w:tr>
        <w:tc>
          <w:tcPr>
            <w:tcW w:type="dxa" w:w="696"/>
          </w:tcPr>
          <w:p>
            <w:pPr>
              <w:spacing w:before="20" w:after="20"/>
            </w:pPr>
            <w:r>
              <w:t xml:space="preserve">H5</w:t>
            </w:r>
          </w:p>
        </w:tc>
        <w:tc>
          <w:tcPr>
            <w:tcW w:type="dxa" w:w="1097"/>
          </w:tcPr>
          <w:p>
            <w:pPr>
              <w:spacing w:before="20" w:after="20"/>
            </w:pPr>
            <w:r>
              <w:t xml:space="preserve">Verte</w:t>
            </w:r>
          </w:p>
        </w:tc>
        <w:tc>
          <w:tcPr>
            <w:tcW w:type="dxa" w:w="2229"/>
          </w:tcPr>
          <w:p>
            <w:pPr>
              <w:spacing w:before="20" w:after="20"/>
            </w:pPr>
            <w:r>
              <w:t xml:space="preserve">la ; c’est</w:t>
            </w:r>
          </w:p>
        </w:tc>
        <w:tc>
          <w:tcPr>
            <w:tcW w:type="dxa" w:w="3097"/>
          </w:tcPr>
          <w:p>
            <w:pPr>
              <w:spacing w:before="20" w:after="20"/>
            </w:pPr>
            <w:r>
              <w:t xml:space="preserve">dont</w:t>
            </w:r>
          </w:p>
        </w:tc>
        <w:tc>
          <w:tcPr>
            <w:tcW w:type="dxa" w:w="2478"/>
          </w:tcPr>
          <w:p>
            <w:pPr>
              <w:spacing w:before="20" w:after="20"/>
            </w:pPr>
            <w:r>
              <w:t xml:space="preserve">dont = de + le nom (je parle de ce livre)</w:t>
            </w:r>
          </w:p>
        </w:tc>
      </w:tr>
      <w:tr>
        <w:tc>
          <w:tcPr>
            <w:tcW w:type="dxa" w:w="696"/>
          </w:tcPr>
          <w:p>
            <w:pPr>
              <w:spacing w:before="20" w:after="20"/>
            </w:pPr>
            <w:r>
              <w:t xml:space="preserve">H6</w:t>
            </w:r>
          </w:p>
        </w:tc>
        <w:tc>
          <w:tcPr>
            <w:tcW w:type="dxa" w:w="1097"/>
          </w:tcPr>
          <w:p>
            <w:pPr>
              <w:spacing w:before="20" w:after="20"/>
            </w:pPr>
            <w:r>
              <w:t xml:space="preserve">Bleue</w:t>
            </w:r>
          </w:p>
        </w:tc>
        <w:tc>
          <w:tcPr>
            <w:tcW w:type="dxa" w:w="2229"/>
          </w:tcPr>
          <w:p>
            <w:pPr>
              <w:spacing w:before="20" w:after="20"/>
            </w:pPr>
            <w:r>
              <w:t xml:space="preserve">son, ses, mes</w:t>
            </w:r>
          </w:p>
        </w:tc>
        <w:tc>
          <w:tcPr>
            <w:tcW w:type="dxa" w:w="3097"/>
          </w:tcPr>
          <w:p>
            <w:pPr>
              <w:spacing w:before="20" w:after="20"/>
            </w:pPr>
            <w:r>
              <w:t xml:space="preserve">quel(s), quelle(s)</w:t>
            </w:r>
          </w:p>
        </w:tc>
        <w:tc>
          <w:tcPr>
            <w:tcW w:type="dxa" w:w="2478"/>
          </w:tcPr>
          <w:p>
            <w:pPr>
              <w:spacing w:before="20" w:after="20"/>
            </w:pPr>
            <w:r>
              <w:t xml:space="preserve">il s’accorde avec le nom</w:t>
            </w:r>
          </w:p>
        </w:tc>
      </w:tr>
      <w:tr>
        <w:tc>
          <w:tcPr>
            <w:tcW w:type="dxa" w:w="696"/>
          </w:tcPr>
          <w:p>
            <w:pPr>
              <w:spacing w:before="20" w:after="20"/>
            </w:pPr>
            <w:r>
              <w:t xml:space="preserve">H7</w:t>
            </w:r>
          </w:p>
        </w:tc>
        <w:tc>
          <w:tcPr>
            <w:tcW w:type="dxa" w:w="1097"/>
          </w:tcPr>
          <w:p>
            <w:pPr>
              <w:spacing w:before="20" w:after="20"/>
            </w:pPr>
            <w:r>
              <w:t xml:space="preserve">Violette</w:t>
            </w:r>
          </w:p>
        </w:tc>
        <w:tc>
          <w:tcPr>
            <w:tcW w:type="dxa" w:w="2229"/>
          </w:tcPr>
          <w:p>
            <w:pPr>
              <w:spacing w:before="20" w:after="20"/>
            </w:pPr>
            <w:r>
              <w:t xml:space="preserve">se ; s’est</w:t>
            </w:r>
          </w:p>
        </w:tc>
        <w:tc>
          <w:tcPr>
            <w:tcW w:type="dxa" w:w="3097"/>
          </w:tcPr>
          <w:p>
            <w:pPr>
              <w:spacing w:before="20" w:after="20"/>
            </w:pPr>
            <w:r>
              <w:t xml:space="preserve">s’en</w:t>
            </w:r>
          </w:p>
        </w:tc>
        <w:tc>
          <w:tcPr>
            <w:tcW w:type="dxa" w:w="2478"/>
          </w:tcPr>
          <w:p>
            <w:pPr>
              <w:spacing w:before="20" w:after="20"/>
            </w:pPr>
            <w:r>
              <w:t xml:space="preserve">je change de personne : je m’en vais</w:t>
            </w:r>
          </w:p>
        </w:tc>
      </w:tr>
      <w:tr>
        <w:tc>
          <w:tcPr>
            <w:tcW w:type="dxa" w:w="696"/>
          </w:tcPr>
          <w:p>
            <w:pPr>
              <w:spacing w:before="20" w:after="20"/>
            </w:pPr>
            <w:r>
              <w:t xml:space="preserve">H8</w:t>
            </w:r>
          </w:p>
        </w:tc>
        <w:tc>
          <w:tcPr>
            <w:tcW w:type="dxa" w:w="1097"/>
          </w:tcPr>
          <w:p>
            <w:pPr>
              <w:spacing w:before="20" w:after="20"/>
            </w:pPr>
            <w:r>
              <w:t xml:space="preserve">Marron</w:t>
            </w:r>
          </w:p>
        </w:tc>
        <w:tc>
          <w:tcPr>
            <w:tcW w:type="dxa" w:w="2229"/>
          </w:tcPr>
          <w:p>
            <w:pPr>
              <w:spacing w:before="20" w:after="20"/>
            </w:pPr>
            <w:r>
              <w:t xml:space="preserve">Transfert en dictée et en écriture</w:t>
            </w:r>
          </w:p>
        </w:tc>
        <w:tc>
          <w:tcPr>
            <w:tcW w:type="dxa" w:w="3097"/>
          </w:tcPr>
          <w:p>
            <w:pPr>
              <w:spacing w:before="20" w:after="20"/>
            </w:pPr>
            <w:r>
              <w:t xml:space="preserve">Les paires du CM2 : sans / s’en, donc / dont, quel / qu’elle</w:t>
            </w:r>
          </w:p>
        </w:tc>
        <w:tc>
          <w:tcPr>
            <w:tcW w:type="dxa" w:w="2478"/>
          </w:tcPr>
          <w:p>
            <w:pPr>
              <w:spacing w:before="20" w:after="20"/>
            </w:pPr>
            <w:r>
              <w:t xml:space="preserve">toutes les preuves</w:t>
            </w:r>
          </w:p>
        </w:tc>
      </w:tr>
    </w:tbl>
    <w:p/>
    <w:p>
      <w:pPr>
        <w:pStyle w:val="BodyText"/>
      </w:pPr>
      <w:r>
        <w:t xml:space="preserve">Règle des jumeaux respectée : chaque mot ajouté et son jumeau sont dans deux ceintures différentes (sans en H3, s’en en H7 ; donc en H4, dont en H5 ; quel en H6, qu’elle en H2). Les paires ne se retrouvent qu’en H8.</w:t>
      </w:r>
    </w:p>
    <w:p>
      <w:pPr>
        <w:pStyle w:val="BodyText"/>
      </w:pPr>
      <w:r>
        <w:t xml:space="preserve">L’ancien cahier CM2 prévoyait une ceinture H9 (dont, qu’elle) après H8 : ces mots sont désormais placés en H5 et en H2, pour que la ceinture de transfert H8 reprenne toutes les paires.</w:t>
      </w:r>
    </w:p>
    <w:p>
      <w:pPr>
        <w:pStyle w:val="BodyText"/>
      </w:pPr>
      <w:r>
        <w:t xml:space="preserve">Point de vigilance : donc (H4) et dont (H5) sont tous deux en période 4 ; valider H4 avant de commencer H5.</w:t>
      </w:r>
    </w:p>
    <w:p>
      <w:pPr>
        <w:pStyle w:val="Heading1"/>
      </w:pPr>
      <w:r>
        <w:t xml:space="preserve">En CE2 : les mêmes ceintures, en plus simple</w:t>
      </w:r>
    </w:p>
    <w:p>
      <w:pPr>
        <w:pStyle w:val="BodyText"/>
      </w:pPr>
      <w:r>
        <w:t xml:space="preserve">Pas de ceintures d’homophones au CE2 : le programme de français du cycle 2 (2025) ne les prévoit pas (décision d’octobre 2026). Les homophones grammaticaux commencent au CM1, avec H1.</w:t>
      </w:r>
    </w:p>
    <w:p>
      <w:pPr>
        <w:pStyle w:val="BodyText"/>
      </w:pPr>
      <w:r>
        <w:t xml:space="preserve">Au CE2, les mots qui se prononcent pareil (a / à, on / ont, et / est, son / sont) sont rencontrés au fil des dictées et des écrits, sans ceinture ni test : le verbe être et le verbe avoir sont travaillés en conjugaison (C1), les déterminants et les petits mots invariables en grammaire (G3, G4).</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2026-09-24T08:16:47Z</dcterms:created>
  <dc:creator/>
  <dc:description/>
  <dc:language>en-US</dc:language>
  <cp:lastModifiedBy/>
  <dcterms:modified xsi:type="dcterms:W3CDTF">2026-09-24T08:16:47Z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