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Dispositif 5 — Vocabulaire interdisciplinaire (carnet de mots)</w:t>
      </w:r>
    </w:p>
    <w:p>
      <w:pPr>
        <w:pStyle w:val="BodyText"/>
      </w:pPr>
      <w:r>
        <w:rPr>
          <w:iCs/>
          <w:i/>
          <w:bCs/>
          <w:b/>
        </w:rPr>
        <w:t xml:space="preserve">Classe de CM1</w:t>
      </w:r>
    </w:p>
    <w:p>
      <w:pPr>
        <w:pStyle w:val="BodyText"/>
      </w:pPr>
      <w:r>
        <w:rPr>
          <w:iCs/>
          <w:i/>
        </w:rPr>
        <w:t xml:space="preserve">Document construit à partir des repères du programme de français (cycle 3, entrée « Vocabulaire », compétence « Enrichir son vocabulaire dans toutes les disciplines ») et des ressources Éduscol sur l</w:t>
      </w:r>
      <w:r>
        <w:rPr>
          <w:bCs/>
          <w:b/>
          <w:iCs/>
          <w:i/>
        </w:rPr>
        <w:t xml:space="preserve">‘</w:t>
      </w:r>
      <w:r>
        <w:rPr>
          <w:bCs/>
          <w:b/>
          <w:bCs/>
          <w:b/>
          <w:iCs/>
          <w:i/>
        </w:rPr>
        <w:t xml:space="preserve">enseignement du lexique au cycle 3. Dispositif complémentaire au Dispositif 4 (Vocabulaire) : il en reprend le principe organisateur (V1, hyperonymes/hyponymes) mais porte sur la collecte des mots rencontrés en contexte — dans les autres disciplines comme en français lui-même (lecture, étude de la langue, production d</w:t>
      </w:r>
      <w:r>
        <w:rPr>
          <w:bCs/>
          <w:b/>
          <w:iCs/>
          <w:i/>
        </w:rPr>
        <w:t xml:space="preserve">’</w:t>
      </w:r>
      <w:r>
        <w:rPr>
          <w:iCs/>
          <w:i/>
        </w:rPr>
        <w:t xml:space="preserve">écrits) — et non sur une progression de ceintures. Mise à jour (septembre 2026) : références alignées sur le programme du cycle 3 publié au BO n° 16 du 17 avril 2025 (§1) ; ajout d’une troisième entrée, par la recherche collective de mots lors de la préparation d’un écrit long (§4, §5.3). Seconde mise à jour : le support est tranché — le carnet de mots devient un carnet collectif de la classe, sous forme d’un fichier HTML projeté au TBI (« Carnet de mots de la classe », §6) ; le collage de bandes dans des carnets individuels est abandonné (§5.3).</w:t>
      </w:r>
    </w:p>
    <w:bookmarkStart w:id="20" w:name="ce-que-dit-le-programme"/>
    <w:p>
      <w:pPr>
        <w:pStyle w:val="Heading1"/>
      </w:pPr>
      <w:r>
        <w:t xml:space="preserve">1. Ce que dit le programme</w:t>
      </w:r>
    </w:p>
    <w:p>
      <w:pPr>
        <w:pStyle w:val="FirstParagraph"/>
      </w:pPr>
      <w:r>
        <w:t xml:space="preserve">Le programme de français du cycle 3 (BO n° 16 du 17 avril 2025, applicable en CM1 depuis la rentrée 2025) distingue, au sein du domaine Vocabulaire, quatre compétences : enrichir son vocabulaire dans toutes les disciplines, établir des relations entre les mots, réemployer le vocabulaire étudié, mémoriser l’orthographe des mots. La première est explicitement transversale : elle vise l’appropriation du vocabulaire spécifique rencontré dans toutes les disciplines, et non uniquement du lexique travaillé pendant les séances de français.</w:t>
      </w:r>
    </w:p>
    <w:p>
      <w:pPr>
        <w:pStyle w:val="BodyText"/>
      </w:pPr>
      <w:r>
        <w:t xml:space="preserve">Le programme précise que les activités de vocabulaire suivent trois étapes : la rencontre en contexte avec le mot nouveau ; l’étude régulière et systématique du lexique (structuration, catégorisation) ; le réemploi à l’oral et surtout à l’écrit. Les corpus de mots sont constitués en s’appuyant sur les entrées de culture littéraire et artistique et sur les contenus de toutes les disciplines, de manière cumulative d’une année sur l’autre.</w:t>
      </w:r>
    </w:p>
    <w:p>
      <w:pPr>
        <w:pStyle w:val="BodyText"/>
      </w:pPr>
      <w:r>
        <w:t xml:space="preserve">Pour permettre une mémorisation durable, le programme prévoit que l’élève dispose d’un outil qui consigne les mots rencontrés et peut l’accompagner tout au long du cycle. Cet outil s’appuie sur une organisation des mots en réseau à partir de grandes catégories, dans un emboîtement d’hyperonymes et d’hyponymes. Au cours moyen, l’élève construit un outil récapitulatif et évolutif, qui fait une place croissante au vocabulaire des différentes disciplines. Une ressource Éduscol ajoute que cet outil, complété par les outils collectifs (affiches, dictionnaire de la classe), devient une « banque » où l’élève puise pour écrire. C’est cet outil — le carnet de mots — qui constitue le cœur du Dispositif 5.</w:t>
      </w:r>
    </w:p>
    <w:p>
      <w:pPr>
        <w:pStyle w:val="BodyText"/>
      </w:pPr>
      <w:r>
        <w:t xml:space="preserve">Choix d’un outil collectif. Le programme formule l’outil du point de vue de l’élève (« l’élève construit un outil récapitulatif »). Le Dispositif 5 fait le choix d’un carnet unique pour la classe, construit collectivement et consultable par tous : il garantit que chaque élève dispose de la même banque complète, sans coût de copie, et que le classement par hyperonymes reste cohérent d’un bout à l’autre de l’année. La part individuelle de l’appropriation passe par le choix et le réemploi des mots dans les écrits (Dispositif 7a, étape ⑤) et par la mémorisation personnelle des mots fréquents (Dispositif 6, boîtes Leitner individuelles). La question d’une trace personnelle complémentaire reste ouverte (§7).</w:t>
      </w:r>
    </w:p>
    <w:bookmarkEnd w:id="20"/>
    <w:bookmarkStart w:id="21" w:name="X88ab903e8f44c70a289eb03c803fd4dd96ae963"/>
    <w:p>
      <w:pPr>
        <w:pStyle w:val="Heading1"/>
      </w:pPr>
      <w:r>
        <w:t xml:space="preserve">2. Ce qui distingue le Dispositif 5 des Dispositifs 2 et 4</w:t>
      </w:r>
    </w:p>
    <w:tbl>
      <w:tblPr>
        <w:tblStyle w:val="Table"/>
        <w:tblW w:type="pct" w:w="5000"/>
        <w:tblLook w:firstRow="1" w:lastRow="0" w:firstColumn="0" w:lastColumn="0" w:noHBand="0" w:noVBand="0" w:val="0020"/>
        <w:jc w:val="start"/>
        <w:tblBorders>
          <w:top w:val="single" w:sz="4" w:color="8EAADB"/>
          <w:left w:val="single" w:sz="4" w:color="8EAADB"/>
          <w:bottom w:val="single" w:sz="4" w:color="8EAADB"/>
          <w:right w:val="single" w:sz="4" w:color="8EAADB"/>
          <w:insideH w:val="single" w:sz="4" w:color="8EAADB"/>
          <w:insideV w:val="single" w:sz="4" w:color="8EAADB"/>
        </w:tblBorders>
      </w:tblPr>
      <w:tblGrid>
        <w:gridCol w:w="1980"/>
        <w:gridCol w:w="1980"/>
        <w:gridCol w:w="1980"/>
        <w:gridCol w:w="1980"/>
      </w:tblGrid>
      <w:tr>
        <w:trPr>
          <w:tblHeader w:val="true"/>
          <w:cantSplit/>
        </w:trPr>
        <w:tc>
          <w:tcPr>
            <w:tcMar>
              <w:left w:w="70" w:type="dxa"/>
              <w:right w:w="70" w:type="dxa"/>
              <w:top w:w="70" w:type="dxa"/>
              <w:bottom w:w="70" w:type="dxa"/>
            </w:tcMar>
            <w:shd w:val="clear" w:color="auto" w:fill="DEEAF6"/>
          </w:tcPr>
          <w:p>
            <w:pPr>
              <w:pStyle w:val="Compact"/>
              <w:spacing w:after="0"/>
            </w:pPr>
          </w:p>
        </w:tc>
        <w:tc>
          <w:tcPr>
            <w:tcMar>
              <w:left w:w="70" w:type="dxa"/>
              <w:right w:w="70" w:type="dxa"/>
              <w:top w:w="70" w:type="dxa"/>
              <w:bottom w:w="70" w:type="dxa"/>
            </w:tcMar>
            <w:shd w:val="clear" w:color="auto" w:fill="DEEAF6"/>
          </w:tcPr>
          <w:p>
            <w:pPr>
              <w:pStyle w:val="Compact"/>
              <w:spacing w:after="0"/>
              <w:jc w:val="left"/>
            </w:pPr>
            <w:r>
              <w:rPr>
                <w:bCs/>
                <w:b/>
                <w:sz w:val="19"/>
              </w:rPr>
              <w:t xml:space="preserve">Dispositif 2 — Orthographe lexicale</w:t>
            </w:r>
          </w:p>
        </w:tc>
        <w:tc>
          <w:tcPr>
            <w:tcMar>
              <w:left w:w="70" w:type="dxa"/>
              <w:right w:w="70" w:type="dxa"/>
              <w:top w:w="70" w:type="dxa"/>
              <w:bottom w:w="70" w:type="dxa"/>
            </w:tcMar>
            <w:shd w:val="clear" w:color="auto" w:fill="DEEAF6"/>
          </w:tcPr>
          <w:p>
            <w:pPr>
              <w:pStyle w:val="Compact"/>
              <w:spacing w:after="0"/>
              <w:jc w:val="left"/>
            </w:pPr>
            <w:r>
              <w:rPr>
                <w:bCs/>
                <w:b/>
                <w:sz w:val="19"/>
              </w:rPr>
              <w:t xml:space="preserve">Dispositif 4 — Vocabulaire</w:t>
            </w:r>
          </w:p>
        </w:tc>
        <w:tc>
          <w:tcPr>
            <w:tcMar>
              <w:left w:w="70" w:type="dxa"/>
              <w:right w:w="70" w:type="dxa"/>
              <w:top w:w="70" w:type="dxa"/>
              <w:bottom w:w="70" w:type="dxa"/>
            </w:tcMar>
            <w:shd w:val="clear" w:color="auto" w:fill="DEEAF6"/>
          </w:tcPr>
          <w:p>
            <w:pPr>
              <w:pStyle w:val="Compact"/>
              <w:spacing w:after="0"/>
              <w:jc w:val="left"/>
            </w:pPr>
            <w:r>
              <w:rPr>
                <w:bCs/>
                <w:b/>
                <w:sz w:val="19"/>
              </w:rPr>
              <w:t xml:space="preserve">Dispositif 5 — Vocabulaire interdisciplinaire</w:t>
            </w:r>
          </w:p>
        </w:tc>
      </w:tr>
      <w:tr>
        <w:trPr>
          <w:cantSplit/>
        </w:trPr>
        <w:tc>
          <w:tcPr>
            <w:tcMar>
              <w:left w:w="70" w:type="dxa"/>
              <w:right w:w="70" w:type="dxa"/>
              <w:top w:w="70" w:type="dxa"/>
              <w:bottom w:w="70" w:type="dxa"/>
            </w:tcMar>
          </w:tcPr>
          <w:p>
            <w:pPr>
              <w:pStyle w:val="Compact"/>
              <w:spacing w:after="0"/>
              <w:jc w:val="left"/>
            </w:pPr>
            <w:r>
              <w:rPr>
                <w:sz w:val="19"/>
              </w:rPr>
              <w:t xml:space="preserve">Nature des mots</w:t>
            </w:r>
          </w:p>
        </w:tc>
        <w:tc>
          <w:tcPr>
            <w:tcMar>
              <w:left w:w="70" w:type="dxa"/>
              <w:right w:w="70" w:type="dxa"/>
              <w:top w:w="70" w:type="dxa"/>
              <w:bottom w:w="70" w:type="dxa"/>
            </w:tcMar>
          </w:tcPr>
          <w:p>
            <w:pPr>
              <w:pStyle w:val="Compact"/>
              <w:spacing w:after="0"/>
              <w:jc w:val="left"/>
            </w:pPr>
            <w:r>
              <w:rPr>
                <w:sz w:val="19"/>
              </w:rPr>
              <w:t xml:space="preserve">Régularités graphophonologiques (acquis de cycle 2 à réactiver)</w:t>
            </w:r>
          </w:p>
        </w:tc>
        <w:tc>
          <w:tcPr>
            <w:tcMar>
              <w:left w:w="70" w:type="dxa"/>
              <w:right w:w="70" w:type="dxa"/>
              <w:top w:w="70" w:type="dxa"/>
              <w:bottom w:w="70" w:type="dxa"/>
            </w:tcMar>
          </w:tcPr>
          <w:p>
            <w:pPr>
              <w:pStyle w:val="Compact"/>
              <w:spacing w:after="0"/>
              <w:jc w:val="left"/>
            </w:pPr>
            <w:r>
              <w:rPr>
                <w:sz w:val="19"/>
              </w:rPr>
              <w:t xml:space="preserve">Lexique général travaillé en français (hyperonymie, morphologie, synonymie…)</w:t>
            </w:r>
          </w:p>
        </w:tc>
        <w:tc>
          <w:tcPr>
            <w:tcMar>
              <w:left w:w="70" w:type="dxa"/>
              <w:right w:w="70" w:type="dxa"/>
              <w:top w:w="70" w:type="dxa"/>
              <w:bottom w:w="70" w:type="dxa"/>
            </w:tcMar>
          </w:tcPr>
          <w:p>
            <w:pPr>
              <w:pStyle w:val="Compact"/>
              <w:spacing w:after="0"/>
              <w:jc w:val="left"/>
            </w:pPr>
            <w:r>
              <w:rPr>
                <w:sz w:val="19"/>
              </w:rPr>
              <w:t xml:space="preserve">Mots rencontrés en contexte, dans une discipline ou en français</w:t>
            </w:r>
          </w:p>
        </w:tc>
      </w:tr>
      <w:tr>
        <w:trPr>
          <w:cantSplit/>
        </w:trPr>
        <w:tc>
          <w:tcPr>
            <w:tcMar>
              <w:left w:w="70" w:type="dxa"/>
              <w:right w:w="70" w:type="dxa"/>
              <w:top w:w="70" w:type="dxa"/>
              <w:bottom w:w="70" w:type="dxa"/>
            </w:tcMar>
          </w:tcPr>
          <w:p>
            <w:pPr>
              <w:pStyle w:val="Compact"/>
              <w:spacing w:after="0"/>
              <w:jc w:val="left"/>
            </w:pPr>
            <w:r>
              <w:rPr>
                <w:sz w:val="19"/>
              </w:rPr>
              <w:t xml:space="preserve">Origine des mots</w:t>
            </w:r>
          </w:p>
        </w:tc>
        <w:tc>
          <w:tcPr>
            <w:tcMar>
              <w:left w:w="70" w:type="dxa"/>
              <w:right w:w="70" w:type="dxa"/>
              <w:top w:w="70" w:type="dxa"/>
              <w:bottom w:w="70" w:type="dxa"/>
            </w:tcMar>
          </w:tcPr>
          <w:p>
            <w:pPr>
              <w:pStyle w:val="Compact"/>
              <w:spacing w:after="0"/>
              <w:jc w:val="left"/>
            </w:pPr>
            <w:r>
              <w:rPr>
                <w:sz w:val="19"/>
              </w:rPr>
              <w:t xml:space="preserve">Notions ciblées à l’avance</w:t>
            </w:r>
          </w:p>
        </w:tc>
        <w:tc>
          <w:tcPr>
            <w:tcMar>
              <w:left w:w="70" w:type="dxa"/>
              <w:right w:w="70" w:type="dxa"/>
              <w:top w:w="70" w:type="dxa"/>
              <w:bottom w:w="70" w:type="dxa"/>
            </w:tcMar>
          </w:tcPr>
          <w:p>
            <w:pPr>
              <w:pStyle w:val="Compact"/>
              <w:spacing w:after="0"/>
              <w:jc w:val="left"/>
            </w:pPr>
            <w:r>
              <w:rPr>
                <w:sz w:val="19"/>
              </w:rPr>
              <w:t xml:space="preserve">Lectures de la classe, autres disciplines, et mots déjà travaillés en ceintures V précédentes</w:t>
            </w:r>
          </w:p>
        </w:tc>
        <w:tc>
          <w:tcPr>
            <w:tcMar>
              <w:left w:w="70" w:type="dxa"/>
              <w:right w:w="70" w:type="dxa"/>
              <w:top w:w="70" w:type="dxa"/>
              <w:bottom w:w="70" w:type="dxa"/>
            </w:tcMar>
          </w:tcPr>
          <w:p>
            <w:pPr>
              <w:pStyle w:val="Compact"/>
              <w:spacing w:after="0"/>
              <w:jc w:val="left"/>
            </w:pPr>
            <w:r>
              <w:rPr>
                <w:sz w:val="19"/>
              </w:rPr>
              <w:t xml:space="preserve">Toute discipline, y compris le français : lecture (mot à retravailler en étude de la langue), production d’écrits (mot dont l’élève a besoin pour écrire)</w:t>
            </w:r>
          </w:p>
        </w:tc>
      </w:tr>
      <w:tr>
        <w:trPr>
          <w:cantSplit/>
        </w:trPr>
        <w:tc>
          <w:tcPr>
            <w:tcMar>
              <w:left w:w="70" w:type="dxa"/>
              <w:right w:w="70" w:type="dxa"/>
              <w:top w:w="70" w:type="dxa"/>
              <w:bottom w:w="70" w:type="dxa"/>
            </w:tcMar>
          </w:tcPr>
          <w:p>
            <w:pPr>
              <w:pStyle w:val="Compact"/>
              <w:spacing w:after="0"/>
              <w:jc w:val="left"/>
            </w:pPr>
            <w:r>
              <w:rPr>
                <w:sz w:val="19"/>
              </w:rPr>
              <w:t xml:space="preserve">Organisation</w:t>
            </w:r>
          </w:p>
        </w:tc>
        <w:tc>
          <w:tcPr>
            <w:tcMar>
              <w:left w:w="70" w:type="dxa"/>
              <w:right w:w="70" w:type="dxa"/>
              <w:top w:w="70" w:type="dxa"/>
              <w:bottom w:w="70" w:type="dxa"/>
            </w:tcMar>
          </w:tcPr>
          <w:p>
            <w:pPr>
              <w:pStyle w:val="Compact"/>
              <w:spacing w:after="0"/>
              <w:jc w:val="left"/>
            </w:pPr>
            <w:r>
              <w:rPr>
                <w:sz w:val="19"/>
              </w:rPr>
              <w:t xml:space="preserve">Jeux de cartes, sans ceintures</w:t>
            </w:r>
          </w:p>
        </w:tc>
        <w:tc>
          <w:tcPr>
            <w:tcMar>
              <w:left w:w="70" w:type="dxa"/>
              <w:right w:w="70" w:type="dxa"/>
              <w:top w:w="70" w:type="dxa"/>
              <w:bottom w:w="70" w:type="dxa"/>
            </w:tcMar>
          </w:tcPr>
          <w:p>
            <w:pPr>
              <w:pStyle w:val="Compact"/>
              <w:spacing w:after="0"/>
              <w:jc w:val="left"/>
            </w:pPr>
            <w:r>
              <w:rPr>
                <w:sz w:val="19"/>
              </w:rPr>
              <w:t xml:space="preserve">Ceintures V1 à V6</w:t>
            </w:r>
          </w:p>
        </w:tc>
        <w:tc>
          <w:tcPr>
            <w:tcMar>
              <w:left w:w="70" w:type="dxa"/>
              <w:right w:w="70" w:type="dxa"/>
              <w:top w:w="70" w:type="dxa"/>
              <w:bottom w:w="70" w:type="dxa"/>
            </w:tcMar>
          </w:tcPr>
          <w:p>
            <w:pPr>
              <w:pStyle w:val="Compact"/>
              <w:spacing w:after="0"/>
              <w:jc w:val="left"/>
            </w:pPr>
            <w:r>
              <w:rPr>
                <w:sz w:val="19"/>
              </w:rPr>
              <w:t xml:space="preserve">Carnet de mots collectif (fichier HTML de la classe), organisé selon le principe hyperonyme/hyponyme installé par V1</w:t>
            </w:r>
          </w:p>
        </w:tc>
      </w:tr>
      <w:tr>
        <w:trPr>
          <w:cantSplit/>
        </w:trPr>
        <w:tc>
          <w:tcPr>
            <w:tcMar>
              <w:left w:w="70" w:type="dxa"/>
              <w:right w:w="70" w:type="dxa"/>
              <w:top w:w="70" w:type="dxa"/>
              <w:bottom w:w="70" w:type="dxa"/>
            </w:tcMar>
          </w:tcPr>
          <w:p>
            <w:pPr>
              <w:pStyle w:val="Compact"/>
              <w:spacing w:after="0"/>
              <w:jc w:val="left"/>
            </w:pPr>
            <w:r>
              <w:rPr>
                <w:sz w:val="19"/>
              </w:rPr>
              <w:t xml:space="preserve">Test de passage</w:t>
            </w:r>
          </w:p>
        </w:tc>
        <w:tc>
          <w:tcPr>
            <w:tcMar>
              <w:left w:w="70" w:type="dxa"/>
              <w:right w:w="70" w:type="dxa"/>
              <w:top w:w="70" w:type="dxa"/>
              <w:bottom w:w="70" w:type="dxa"/>
            </w:tcMar>
          </w:tcPr>
          <w:p>
            <w:pPr>
              <w:pStyle w:val="Compact"/>
              <w:spacing w:after="0"/>
              <w:jc w:val="left"/>
            </w:pPr>
            <w:r>
              <w:rPr>
                <w:sz w:val="19"/>
              </w:rPr>
              <w:t xml:space="preserve">Non</w:t>
            </w:r>
          </w:p>
        </w:tc>
        <w:tc>
          <w:tcPr>
            <w:tcMar>
              <w:left w:w="70" w:type="dxa"/>
              <w:right w:w="70" w:type="dxa"/>
              <w:top w:w="70" w:type="dxa"/>
              <w:bottom w:w="70" w:type="dxa"/>
            </w:tcMar>
          </w:tcPr>
          <w:p>
            <w:pPr>
              <w:pStyle w:val="Compact"/>
              <w:spacing w:after="0"/>
              <w:jc w:val="left"/>
            </w:pPr>
            <w:r>
              <w:rPr>
                <w:sz w:val="19"/>
              </w:rPr>
              <w:t xml:space="preserve">Oui (test de validation)</w:t>
            </w:r>
          </w:p>
        </w:tc>
        <w:tc>
          <w:tcPr>
            <w:tcMar>
              <w:left w:w="70" w:type="dxa"/>
              <w:right w:w="70" w:type="dxa"/>
              <w:top w:w="70" w:type="dxa"/>
              <w:bottom w:w="70" w:type="dxa"/>
            </w:tcMar>
          </w:tcPr>
          <w:p>
            <w:pPr>
              <w:pStyle w:val="Compact"/>
              <w:spacing w:after="0"/>
              <w:jc w:val="left"/>
            </w:pPr>
            <w:r>
              <w:rPr>
                <w:sz w:val="19"/>
              </w:rPr>
              <w:t xml:space="preserve">Non</w:t>
            </w:r>
          </w:p>
        </w:tc>
      </w:tr>
    </w:tbl>
    <w:p>
      <w:pPr>
        <w:pStyle w:val="BodyText"/>
      </w:pPr>
      <w:r>
        <w:t xml:space="preserve">Le Dispositif 5 n’introduit donc pas une nouvelle compétence linguistique : il fournit le contenant (le carnet de la classe) et le principe de classement (hérité de V1) qui permettent de recueillir, au fil de l’année et dans toutes les disciplines, le vocabulaire que les Dispositifs 2 et 4 ne couvrent pas.</w:t>
      </w:r>
    </w:p>
    <w:bookmarkEnd w:id="21"/>
    <w:bookmarkStart w:id="22" w:name="principe-dorganisation-hériter-de-v1"/>
    <w:p>
      <w:pPr>
        <w:pStyle w:val="Heading1"/>
      </w:pPr>
      <w:r>
        <w:t xml:space="preserve">3. Principe d’organisation : hériter de V1</w:t>
      </w:r>
    </w:p>
    <w:p>
      <w:pPr>
        <w:pStyle w:val="FirstParagraph"/>
      </w:pPr>
      <w:r>
        <w:t xml:space="preserve">Le Dispositif 4 installe dès la première ceinture (V1) la distinction entre hyperonymes (termes génériques) et hyponymes (termes spécifiques). Le carnet de mots du Dispositif 5 reprend ce même principe comme clé de rangement : chaque mot nouveau, rencontré dans une discipline, est relié à un terme générique déjà connu ou à construire, avant d’être noté. Dans le carnet numérique, chaque terme générique est un mot-étiquette qui a sa propre page ; un mot-étiquette peut être rangé sous un autre (« les chaussures » sous « les vêtements »), ce qui reproduit l’emboîtement d’hyperonymes et d’hyponymes demandé par le programme.</w:t>
      </w:r>
    </w:p>
    <w:p>
      <w:pPr>
        <w:pStyle w:val="BodyText"/>
      </w:pPr>
      <w:r>
        <w:t xml:space="preserve">Exemple : en sciences, le mot « mammifère » (hyperonyme) accueille des hyponymes rencontrés au fil des séances — chauve-souris, baleine, etc. En histoire, le mot « souverain » peut accueillir roi, empereur, reine. Ce classement rend le carnet consultable comme un outil de recherche, pas seulement comme une liste chronologique de mots.</w:t>
      </w:r>
    </w:p>
    <w:bookmarkEnd w:id="22"/>
    <w:bookmarkStart w:id="23" w:name="ce-qui-alimente-le-carnet"/>
    <w:p>
      <w:pPr>
        <w:pStyle w:val="Heading1"/>
      </w:pPr>
      <w:r>
        <w:t xml:space="preserve">4. Ce qui alimente le carnet</w:t>
      </w:r>
    </w:p>
    <w:p>
      <w:pPr>
        <w:pStyle w:val="FirstParagraph"/>
      </w:pPr>
      <w:r>
        <w:t xml:space="preserve">Contrairement au Dispositif 2 (notions fixées à l’avance) ou au Dispositif 4 (progression en ceintures), le Dispositif 5 n’a pas de programmation propre : son contenu dépend entièrement de ce qui se rencontre en classe, dans les autres disciplines comme en français. Le tableau suivant donne des exemples de sources, sans valeur de liste exhaustive ni de calendrier imposé.</w:t>
      </w:r>
    </w:p>
    <w:tbl>
      <w:tblPr>
        <w:tblStyle w:val="Table"/>
        <w:tblW w:type="pct" w:w="5000"/>
        <w:tblLook w:firstRow="1" w:lastRow="0" w:firstColumn="0" w:lastColumn="0" w:noHBand="0" w:noVBand="0" w:val="0020"/>
        <w:jc w:val="start"/>
        <w:tblBorders>
          <w:top w:val="single" w:sz="4" w:color="8EAADB"/>
          <w:left w:val="single" w:sz="4" w:color="8EAADB"/>
          <w:bottom w:val="single" w:sz="4" w:color="8EAADB"/>
          <w:right w:val="single" w:sz="4" w:color="8EAADB"/>
          <w:insideH w:val="single" w:sz="4" w:color="8EAADB"/>
          <w:insideV w:val="single" w:sz="4" w:color="8EAADB"/>
        </w:tblBorders>
      </w:tblPr>
      <w:tblGrid>
        <w:gridCol w:w="2640"/>
        <w:gridCol w:w="2640"/>
        <w:gridCol w:w="2640"/>
      </w:tblGrid>
      <w:tr>
        <w:trPr>
          <w:tblHeader w:val="true"/>
          <w:cantSplit/>
        </w:trPr>
        <w:tc>
          <w:tcPr>
            <w:tcMar>
              <w:left w:w="70" w:type="dxa"/>
              <w:right w:w="70" w:type="dxa"/>
              <w:top w:w="70" w:type="dxa"/>
              <w:bottom w:w="70" w:type="dxa"/>
            </w:tcMar>
            <w:shd w:val="clear" w:color="auto" w:fill="DEEAF6"/>
          </w:tcPr>
          <w:p>
            <w:pPr>
              <w:pStyle w:val="Compact"/>
              <w:spacing w:after="0"/>
              <w:jc w:val="left"/>
            </w:pPr>
            <w:r>
              <w:rPr>
                <w:bCs/>
                <w:b/>
                <w:sz w:val="19"/>
              </w:rPr>
              <w:t xml:space="preserve">Discipline / entrée</w:t>
            </w:r>
          </w:p>
        </w:tc>
        <w:tc>
          <w:tcPr>
            <w:tcMar>
              <w:left w:w="70" w:type="dxa"/>
              <w:right w:w="70" w:type="dxa"/>
              <w:top w:w="70" w:type="dxa"/>
              <w:bottom w:w="70" w:type="dxa"/>
            </w:tcMar>
            <w:shd w:val="clear" w:color="auto" w:fill="DEEAF6"/>
          </w:tcPr>
          <w:p>
            <w:pPr>
              <w:pStyle w:val="Compact"/>
              <w:spacing w:after="0"/>
              <w:jc w:val="left"/>
            </w:pPr>
            <w:r>
              <w:rPr>
                <w:bCs/>
                <w:b/>
                <w:sz w:val="19"/>
              </w:rPr>
              <w:t xml:space="preserve">Type de vocabulaire concerné</w:t>
            </w:r>
          </w:p>
        </w:tc>
        <w:tc>
          <w:tcPr>
            <w:tcMar>
              <w:left w:w="70" w:type="dxa"/>
              <w:right w:w="70" w:type="dxa"/>
              <w:top w:w="70" w:type="dxa"/>
              <w:bottom w:w="70" w:type="dxa"/>
            </w:tcMar>
            <w:shd w:val="clear" w:color="auto" w:fill="DEEAF6"/>
          </w:tcPr>
          <w:p>
            <w:pPr>
              <w:pStyle w:val="Compact"/>
              <w:spacing w:after="0"/>
              <w:jc w:val="left"/>
            </w:pPr>
            <w:r>
              <w:rPr>
                <w:bCs/>
                <w:b/>
                <w:sz w:val="19"/>
              </w:rPr>
              <w:t xml:space="preserve">Exemple</w:t>
            </w:r>
          </w:p>
        </w:tc>
      </w:tr>
      <w:tr>
        <w:trPr>
          <w:cantSplit/>
        </w:trPr>
        <w:tc>
          <w:tcPr>
            <w:tcMar>
              <w:left w:w="70" w:type="dxa"/>
              <w:right w:w="70" w:type="dxa"/>
              <w:top w:w="70" w:type="dxa"/>
              <w:bottom w:w="70" w:type="dxa"/>
            </w:tcMar>
          </w:tcPr>
          <w:p>
            <w:pPr>
              <w:pStyle w:val="Compact"/>
              <w:spacing w:after="0"/>
              <w:jc w:val="left"/>
            </w:pPr>
            <w:r>
              <w:rPr>
                <w:sz w:val="19"/>
              </w:rPr>
              <w:t xml:space="preserve">Français — lecture</w:t>
            </w:r>
          </w:p>
        </w:tc>
        <w:tc>
          <w:tcPr>
            <w:tcMar>
              <w:left w:w="70" w:type="dxa"/>
              <w:right w:w="70" w:type="dxa"/>
              <w:top w:w="70" w:type="dxa"/>
              <w:bottom w:w="70" w:type="dxa"/>
            </w:tcMar>
          </w:tcPr>
          <w:p>
            <w:pPr>
              <w:pStyle w:val="Compact"/>
              <w:spacing w:after="0"/>
              <w:jc w:val="left"/>
            </w:pPr>
            <w:r>
              <w:rPr>
                <w:sz w:val="19"/>
              </w:rPr>
              <w:t xml:space="preserve">Mot rencontré dans un texte, à comprendre puis à retravailler en étude de la langue (sens, classe, famille, etc.)</w:t>
            </w:r>
          </w:p>
        </w:tc>
        <w:tc>
          <w:tcPr>
            <w:tcMar>
              <w:left w:w="70" w:type="dxa"/>
              <w:right w:w="70" w:type="dxa"/>
              <w:top w:w="70" w:type="dxa"/>
              <w:bottom w:w="70" w:type="dxa"/>
            </w:tcMar>
          </w:tcPr>
          <w:p>
            <w:pPr>
              <w:pStyle w:val="Compact"/>
              <w:spacing w:after="0"/>
              <w:jc w:val="left"/>
            </w:pPr>
            <w:r>
              <w:rPr>
                <w:sz w:val="19"/>
              </w:rPr>
              <w:t xml:space="preserve">un mot inconnu d’une œuvre en cours de lecture</w:t>
            </w:r>
          </w:p>
        </w:tc>
      </w:tr>
      <w:tr>
        <w:trPr>
          <w:cantSplit/>
        </w:trPr>
        <w:tc>
          <w:tcPr>
            <w:tcMar>
              <w:left w:w="70" w:type="dxa"/>
              <w:right w:w="70" w:type="dxa"/>
              <w:top w:w="70" w:type="dxa"/>
              <w:bottom w:w="70" w:type="dxa"/>
            </w:tcMar>
          </w:tcPr>
          <w:p>
            <w:pPr>
              <w:pStyle w:val="Compact"/>
              <w:spacing w:after="0"/>
              <w:jc w:val="left"/>
            </w:pPr>
            <w:r>
              <w:rPr>
                <w:sz w:val="19"/>
              </w:rPr>
              <w:t xml:space="preserve">Français — production d’écrits</w:t>
            </w:r>
          </w:p>
        </w:tc>
        <w:tc>
          <w:tcPr>
            <w:tcMar>
              <w:left w:w="70" w:type="dxa"/>
              <w:right w:w="70" w:type="dxa"/>
              <w:top w:w="70" w:type="dxa"/>
              <w:bottom w:w="70" w:type="dxa"/>
            </w:tcMar>
          </w:tcPr>
          <w:p>
            <w:pPr>
              <w:pStyle w:val="Compact"/>
              <w:spacing w:after="0"/>
              <w:jc w:val="left"/>
            </w:pPr>
            <w:r>
              <w:rPr>
                <w:sz w:val="19"/>
              </w:rPr>
              <w:t xml:space="preserve">Mot dont l’élève a besoin pour écrire plus précisément (recherche active, pas seulement réception)</w:t>
            </w:r>
          </w:p>
        </w:tc>
        <w:tc>
          <w:tcPr>
            <w:tcMar>
              <w:left w:w="70" w:type="dxa"/>
              <w:right w:w="70" w:type="dxa"/>
              <w:top w:w="70" w:type="dxa"/>
              <w:bottom w:w="70" w:type="dxa"/>
            </w:tcMar>
          </w:tcPr>
          <w:p>
            <w:pPr>
              <w:pStyle w:val="Compact"/>
              <w:spacing w:after="0"/>
              <w:jc w:val="left"/>
            </w:pPr>
            <w:r>
              <w:rPr>
                <w:sz w:val="19"/>
              </w:rPr>
              <w:t xml:space="preserve">un synonyme plus précis que « dit », un connecteur logique</w:t>
            </w:r>
          </w:p>
        </w:tc>
      </w:tr>
      <w:tr>
        <w:trPr>
          <w:cantSplit/>
        </w:trPr>
        <w:tc>
          <w:tcPr>
            <w:tcMar>
              <w:left w:w="70" w:type="dxa"/>
              <w:right w:w="70" w:type="dxa"/>
              <w:top w:w="70" w:type="dxa"/>
              <w:bottom w:w="70" w:type="dxa"/>
            </w:tcMar>
          </w:tcPr>
          <w:p>
            <w:pPr>
              <w:pStyle w:val="Compact"/>
              <w:spacing w:after="0"/>
              <w:jc w:val="left"/>
            </w:pPr>
            <w:r>
              <w:rPr>
                <w:sz w:val="19"/>
              </w:rPr>
              <w:t xml:space="preserve">Français — recherche collective avant un écrit long</w:t>
            </w:r>
          </w:p>
        </w:tc>
        <w:tc>
          <w:tcPr>
            <w:tcMar>
              <w:left w:w="70" w:type="dxa"/>
              <w:right w:w="70" w:type="dxa"/>
              <w:top w:w="70" w:type="dxa"/>
              <w:bottom w:w="70" w:type="dxa"/>
            </w:tcMar>
          </w:tcPr>
          <w:p>
            <w:pPr>
              <w:pStyle w:val="Compact"/>
              <w:spacing w:after="0"/>
              <w:jc w:val="left"/>
            </w:pPr>
            <w:r>
              <w:rPr>
                <w:sz w:val="19"/>
              </w:rPr>
              <w:t xml:space="preserve">Mots trouvés ensemble lors de la recherche d’idées (Dispositif 7a), classés par mot-étiquette sur une affiche</w:t>
            </w:r>
          </w:p>
        </w:tc>
        <w:tc>
          <w:tcPr>
            <w:tcMar>
              <w:left w:w="70" w:type="dxa"/>
              <w:right w:w="70" w:type="dxa"/>
              <w:top w:w="70" w:type="dxa"/>
              <w:bottom w:w="70" w:type="dxa"/>
            </w:tcMar>
          </w:tcPr>
          <w:p>
            <w:pPr>
              <w:pStyle w:val="Compact"/>
              <w:spacing w:after="0"/>
              <w:jc w:val="left"/>
            </w:pPr>
            <w:r>
              <w:rPr>
                <w:sz w:val="19"/>
              </w:rPr>
              <w:t xml:space="preserve">les listes « Dire », « Les vêtements », « Les objets » de la séquence « Fer à repasser »</w:t>
            </w:r>
          </w:p>
        </w:tc>
      </w:tr>
      <w:tr>
        <w:trPr>
          <w:cantSplit/>
        </w:trPr>
        <w:tc>
          <w:tcPr>
            <w:tcMar>
              <w:left w:w="70" w:type="dxa"/>
              <w:right w:w="70" w:type="dxa"/>
              <w:top w:w="70" w:type="dxa"/>
              <w:bottom w:w="70" w:type="dxa"/>
            </w:tcMar>
          </w:tcPr>
          <w:p>
            <w:pPr>
              <w:pStyle w:val="Compact"/>
              <w:spacing w:after="0"/>
              <w:jc w:val="left"/>
            </w:pPr>
            <w:r>
              <w:rPr>
                <w:sz w:val="19"/>
              </w:rPr>
              <w:t xml:space="preserve">Histoire</w:t>
            </w:r>
          </w:p>
        </w:tc>
        <w:tc>
          <w:tcPr>
            <w:tcMar>
              <w:left w:w="70" w:type="dxa"/>
              <w:right w:w="70" w:type="dxa"/>
              <w:top w:w="70" w:type="dxa"/>
              <w:bottom w:w="70" w:type="dxa"/>
            </w:tcMar>
          </w:tcPr>
          <w:p>
            <w:pPr>
              <w:pStyle w:val="Compact"/>
              <w:spacing w:after="0"/>
              <w:jc w:val="left"/>
            </w:pPr>
            <w:r>
              <w:rPr>
                <w:sz w:val="19"/>
              </w:rPr>
              <w:t xml:space="preserve">Notions et institutions d’une période étudiée</w:t>
            </w:r>
          </w:p>
        </w:tc>
        <w:tc>
          <w:tcPr>
            <w:tcMar>
              <w:left w:w="70" w:type="dxa"/>
              <w:right w:w="70" w:type="dxa"/>
              <w:top w:w="70" w:type="dxa"/>
              <w:bottom w:w="70" w:type="dxa"/>
            </w:tcMar>
          </w:tcPr>
          <w:p>
            <w:pPr>
              <w:pStyle w:val="Compact"/>
              <w:spacing w:after="0"/>
              <w:jc w:val="left"/>
            </w:pPr>
            <w:r>
              <w:rPr>
                <w:sz w:val="19"/>
              </w:rPr>
              <w:t xml:space="preserve">seigneur, vassal, fief, suzerain</w:t>
            </w:r>
          </w:p>
        </w:tc>
      </w:tr>
      <w:tr>
        <w:trPr>
          <w:cantSplit/>
        </w:trPr>
        <w:tc>
          <w:tcPr>
            <w:tcMar>
              <w:left w:w="70" w:type="dxa"/>
              <w:right w:w="70" w:type="dxa"/>
              <w:top w:w="70" w:type="dxa"/>
              <w:bottom w:w="70" w:type="dxa"/>
            </w:tcMar>
          </w:tcPr>
          <w:p>
            <w:pPr>
              <w:pStyle w:val="Compact"/>
              <w:spacing w:after="0"/>
              <w:jc w:val="left"/>
            </w:pPr>
            <w:r>
              <w:rPr>
                <w:sz w:val="19"/>
              </w:rPr>
              <w:t xml:space="preserve">Géographie</w:t>
            </w:r>
          </w:p>
        </w:tc>
        <w:tc>
          <w:tcPr>
            <w:tcMar>
              <w:left w:w="70" w:type="dxa"/>
              <w:right w:w="70" w:type="dxa"/>
              <w:top w:w="70" w:type="dxa"/>
              <w:bottom w:w="70" w:type="dxa"/>
            </w:tcMar>
          </w:tcPr>
          <w:p>
            <w:pPr>
              <w:pStyle w:val="Compact"/>
              <w:spacing w:after="0"/>
              <w:jc w:val="left"/>
            </w:pPr>
            <w:r>
              <w:rPr>
                <w:sz w:val="19"/>
              </w:rPr>
              <w:t xml:space="preserve">Vocabulaire spatial et thématique</w:t>
            </w:r>
          </w:p>
        </w:tc>
        <w:tc>
          <w:tcPr>
            <w:tcMar>
              <w:left w:w="70" w:type="dxa"/>
              <w:right w:w="70" w:type="dxa"/>
              <w:top w:w="70" w:type="dxa"/>
              <w:bottom w:w="70" w:type="dxa"/>
            </w:tcMar>
          </w:tcPr>
          <w:p>
            <w:pPr>
              <w:pStyle w:val="Compact"/>
              <w:spacing w:after="0"/>
              <w:jc w:val="left"/>
            </w:pPr>
            <w:r>
              <w:rPr>
                <w:sz w:val="19"/>
              </w:rPr>
              <w:t xml:space="preserve">relief, bassin versant, urbanisation</w:t>
            </w:r>
          </w:p>
        </w:tc>
      </w:tr>
      <w:tr>
        <w:trPr>
          <w:cantSplit/>
        </w:trPr>
        <w:tc>
          <w:tcPr>
            <w:tcMar>
              <w:left w:w="70" w:type="dxa"/>
              <w:right w:w="70" w:type="dxa"/>
              <w:top w:w="70" w:type="dxa"/>
              <w:bottom w:w="70" w:type="dxa"/>
            </w:tcMar>
          </w:tcPr>
          <w:p>
            <w:pPr>
              <w:pStyle w:val="Compact"/>
              <w:spacing w:after="0"/>
              <w:jc w:val="left"/>
            </w:pPr>
            <w:r>
              <w:rPr>
                <w:sz w:val="19"/>
              </w:rPr>
              <w:t xml:space="preserve">Sciences</w:t>
            </w:r>
          </w:p>
        </w:tc>
        <w:tc>
          <w:tcPr>
            <w:tcMar>
              <w:left w:w="70" w:type="dxa"/>
              <w:right w:w="70" w:type="dxa"/>
              <w:top w:w="70" w:type="dxa"/>
              <w:bottom w:w="70" w:type="dxa"/>
            </w:tcMar>
          </w:tcPr>
          <w:p>
            <w:pPr>
              <w:pStyle w:val="Compact"/>
              <w:spacing w:after="0"/>
              <w:jc w:val="left"/>
            </w:pPr>
            <w:r>
              <w:rPr>
                <w:sz w:val="19"/>
              </w:rPr>
              <w:t xml:space="preserve">Vocabulaire de classification et de description</w:t>
            </w:r>
          </w:p>
        </w:tc>
        <w:tc>
          <w:tcPr>
            <w:tcMar>
              <w:left w:w="70" w:type="dxa"/>
              <w:right w:w="70" w:type="dxa"/>
              <w:top w:w="70" w:type="dxa"/>
              <w:bottom w:w="70" w:type="dxa"/>
            </w:tcMar>
          </w:tcPr>
          <w:p>
            <w:pPr>
              <w:pStyle w:val="Compact"/>
              <w:spacing w:after="0"/>
              <w:jc w:val="left"/>
            </w:pPr>
            <w:r>
              <w:rPr>
                <w:sz w:val="19"/>
              </w:rPr>
              <w:t xml:space="preserve">mammifère, écosystème, état de la matière</w:t>
            </w:r>
          </w:p>
        </w:tc>
      </w:tr>
      <w:tr>
        <w:trPr>
          <w:cantSplit/>
        </w:trPr>
        <w:tc>
          <w:tcPr>
            <w:tcMar>
              <w:left w:w="70" w:type="dxa"/>
              <w:right w:w="70" w:type="dxa"/>
              <w:top w:w="70" w:type="dxa"/>
              <w:bottom w:w="70" w:type="dxa"/>
            </w:tcMar>
          </w:tcPr>
          <w:p>
            <w:pPr>
              <w:pStyle w:val="Compact"/>
              <w:spacing w:after="0"/>
              <w:jc w:val="left"/>
            </w:pPr>
            <w:r>
              <w:rPr>
                <w:sz w:val="19"/>
              </w:rPr>
              <w:t xml:space="preserve">Mathématiques</w:t>
            </w:r>
          </w:p>
        </w:tc>
        <w:tc>
          <w:tcPr>
            <w:tcMar>
              <w:left w:w="70" w:type="dxa"/>
              <w:right w:w="70" w:type="dxa"/>
              <w:top w:w="70" w:type="dxa"/>
              <w:bottom w:w="70" w:type="dxa"/>
            </w:tcMar>
          </w:tcPr>
          <w:p>
            <w:pPr>
              <w:pStyle w:val="Compact"/>
              <w:spacing w:after="0"/>
              <w:jc w:val="left"/>
            </w:pPr>
            <w:r>
              <w:rPr>
                <w:sz w:val="19"/>
              </w:rPr>
              <w:t xml:space="preserve">Vocabulaire notionnel</w:t>
            </w:r>
          </w:p>
        </w:tc>
        <w:tc>
          <w:tcPr>
            <w:tcMar>
              <w:left w:w="70" w:type="dxa"/>
              <w:right w:w="70" w:type="dxa"/>
              <w:top w:w="70" w:type="dxa"/>
              <w:bottom w:w="70" w:type="dxa"/>
            </w:tcMar>
          </w:tcPr>
          <w:p>
            <w:pPr>
              <w:pStyle w:val="Compact"/>
              <w:spacing w:after="0"/>
              <w:jc w:val="left"/>
            </w:pPr>
            <w:r>
              <w:rPr>
                <w:sz w:val="19"/>
              </w:rPr>
              <w:t xml:space="preserve">diviseur, quadrilatère, proportionnalité</w:t>
            </w:r>
          </w:p>
        </w:tc>
      </w:tr>
      <w:tr>
        <w:trPr>
          <w:cantSplit/>
        </w:trPr>
        <w:tc>
          <w:tcPr>
            <w:tcMar>
              <w:left w:w="70" w:type="dxa"/>
              <w:right w:w="70" w:type="dxa"/>
              <w:top w:w="70" w:type="dxa"/>
              <w:bottom w:w="70" w:type="dxa"/>
            </w:tcMar>
          </w:tcPr>
          <w:p>
            <w:pPr>
              <w:pStyle w:val="Compact"/>
              <w:spacing w:after="0"/>
              <w:jc w:val="left"/>
            </w:pPr>
            <w:r>
              <w:rPr>
                <w:sz w:val="19"/>
              </w:rPr>
              <w:t xml:space="preserve">EMC</w:t>
            </w:r>
          </w:p>
        </w:tc>
        <w:tc>
          <w:tcPr>
            <w:tcMar>
              <w:left w:w="70" w:type="dxa"/>
              <w:right w:w="70" w:type="dxa"/>
              <w:top w:w="70" w:type="dxa"/>
              <w:bottom w:w="70" w:type="dxa"/>
            </w:tcMar>
          </w:tcPr>
          <w:p>
            <w:pPr>
              <w:pStyle w:val="Compact"/>
              <w:spacing w:after="0"/>
              <w:jc w:val="left"/>
            </w:pPr>
            <w:r>
              <w:rPr>
                <w:sz w:val="19"/>
              </w:rPr>
              <w:t xml:space="preserve">Notions civiques et éthiques</w:t>
            </w:r>
          </w:p>
        </w:tc>
        <w:tc>
          <w:tcPr>
            <w:tcMar>
              <w:left w:w="70" w:type="dxa"/>
              <w:right w:w="70" w:type="dxa"/>
              <w:top w:w="70" w:type="dxa"/>
              <w:bottom w:w="70" w:type="dxa"/>
            </w:tcMar>
          </w:tcPr>
          <w:p>
            <w:pPr>
              <w:pStyle w:val="Compact"/>
              <w:spacing w:after="0"/>
              <w:jc w:val="left"/>
            </w:pPr>
            <w:r>
              <w:rPr>
                <w:sz w:val="19"/>
              </w:rPr>
              <w:t xml:space="preserve">responsabilité, engagement, discrimination</w:t>
            </w:r>
          </w:p>
        </w:tc>
      </w:tr>
      <w:tr>
        <w:trPr>
          <w:cantSplit/>
        </w:trPr>
        <w:tc>
          <w:tcPr>
            <w:tcMar>
              <w:left w:w="70" w:type="dxa"/>
              <w:right w:w="70" w:type="dxa"/>
              <w:top w:w="70" w:type="dxa"/>
              <w:bottom w:w="70" w:type="dxa"/>
            </w:tcMar>
          </w:tcPr>
          <w:p>
            <w:pPr>
              <w:pStyle w:val="Compact"/>
              <w:spacing w:after="0"/>
              <w:jc w:val="left"/>
            </w:pPr>
            <w:r>
              <w:rPr>
                <w:sz w:val="19"/>
              </w:rPr>
              <w:t xml:space="preserve">Arts / EPS</w:t>
            </w:r>
          </w:p>
        </w:tc>
        <w:tc>
          <w:tcPr>
            <w:tcMar>
              <w:left w:w="70" w:type="dxa"/>
              <w:right w:w="70" w:type="dxa"/>
              <w:top w:w="70" w:type="dxa"/>
              <w:bottom w:w="70" w:type="dxa"/>
            </w:tcMar>
          </w:tcPr>
          <w:p>
            <w:pPr>
              <w:pStyle w:val="Compact"/>
              <w:spacing w:after="0"/>
              <w:jc w:val="left"/>
            </w:pPr>
            <w:r>
              <w:rPr>
                <w:sz w:val="19"/>
              </w:rPr>
              <w:t xml:space="preserve">Vocabulaire technique spécifique</w:t>
            </w:r>
          </w:p>
        </w:tc>
        <w:tc>
          <w:tcPr>
            <w:tcMar>
              <w:left w:w="70" w:type="dxa"/>
              <w:right w:w="70" w:type="dxa"/>
              <w:top w:w="70" w:type="dxa"/>
              <w:bottom w:w="70" w:type="dxa"/>
            </w:tcMar>
          </w:tcPr>
          <w:p>
            <w:pPr>
              <w:pStyle w:val="Compact"/>
              <w:spacing w:after="0"/>
              <w:jc w:val="left"/>
            </w:pPr>
            <w:r>
              <w:rPr>
                <w:sz w:val="19"/>
              </w:rPr>
              <w:t xml:space="preserve">nuance, empreinte, appui, réception</w:t>
            </w:r>
          </w:p>
        </w:tc>
      </w:tr>
    </w:tbl>
    <w:p>
      <w:pPr>
        <w:pStyle w:val="BodyText"/>
      </w:pPr>
      <w:r>
        <w:t xml:space="preserve">Le français occupe donc une place double dans le Dispositif 5 : il est à la fois une discipline source comme les autres (mots rencontrés en lecture) et le lieu où le carnet est interrogé dans l’autre sens, en amont de l’écriture, pour chercher le mot juste. Cette seconde entrée — le carnet comme réservoir mobilisé pour produire un écrit — est distincte du réinvestissement en ceintures (Dispositif 4), qui porte sur une compétence déjà validée et non sur la recherche libre d’un mot.</w:t>
      </w:r>
    </w:p>
    <w:bookmarkEnd w:id="23"/>
    <w:bookmarkStart w:id="27" w:name="fonctionnement-en-classe"/>
    <w:p>
      <w:pPr>
        <w:pStyle w:val="Heading1"/>
      </w:pPr>
      <w:r>
        <w:t xml:space="preserve">5. Fonctionnement en classe</w:t>
      </w:r>
    </w:p>
    <w:p>
      <w:pPr>
        <w:pStyle w:val="FirstParagraph"/>
      </w:pPr>
      <w:r>
        <w:t xml:space="preserve">Le principe retenu pour le Dispositif 4 — ne pas construire d’exemples inventés, prélever la matière dans les supports réellement étudiés — s’applique de la même façon ici. Un mot n’entre dans le carnet que s’il a été rencontré ou recherché en contexte, dans une séance effective (discipline non linguistique ou français).</w:t>
      </w:r>
    </w:p>
    <w:p>
      <w:pPr>
        <w:pStyle w:val="BodyText"/>
      </w:pPr>
      <w:r>
        <w:t xml:space="preserve">Deux entrées sont possibles, selon le sens de la démarche :</w:t>
      </w:r>
    </w:p>
    <w:bookmarkStart w:id="24" w:name="Xa51e4ab520d16059c2a8f9a588bf4fe3e57055e"/>
    <w:p>
      <w:pPr>
        <w:pStyle w:val="Heading2"/>
      </w:pPr>
      <w:r>
        <w:t xml:space="preserve">5.1 Entrée par la réception (lecture, discipline)</w:t>
      </w:r>
    </w:p>
    <w:p>
      <w:pPr>
        <w:numPr>
          <w:ilvl w:val="0"/>
          <w:numId w:val="1001"/>
        </w:numPr>
      </w:pPr>
      <w:r>
        <w:t xml:space="preserve">Rencontre du mot en contexte : lecture d’un document ou d’un texte, consigne, trace écrite — en français comme dans les autres disciplines.</w:t>
      </w:r>
    </w:p>
    <w:p>
      <w:pPr>
        <w:numPr>
          <w:ilvl w:val="0"/>
          <w:numId w:val="1001"/>
        </w:numPr>
      </w:pPr>
      <w:r>
        <w:t xml:space="preserve">Explicitation courte du sens, collective ou individuelle selon le moment.</w:t>
      </w:r>
    </w:p>
    <w:p>
      <w:pPr>
        <w:numPr>
          <w:ilvl w:val="0"/>
          <w:numId w:val="1001"/>
        </w:numPr>
      </w:pPr>
      <w:r>
        <w:t xml:space="preserve">Rattachement à un hyperonyme déjà présent dans le carnet, ou création d’une nouvelle entrée générique si nécessaire.</w:t>
      </w:r>
    </w:p>
    <w:p>
      <w:pPr>
        <w:numPr>
          <w:ilvl w:val="0"/>
          <w:numId w:val="1001"/>
        </w:numPr>
      </w:pPr>
      <w:r>
        <w:t xml:space="preserve">Saisie dans le carnet de la classe, au TBI, devant les élèves : le mot, sa courte définition ou un exemple (champ « Sens ou exemple »), et sa provenance (champ « D’où il vient » : discipline ou séquence).</w:t>
      </w:r>
    </w:p>
    <w:p>
      <w:pPr>
        <w:numPr>
          <w:ilvl w:val="0"/>
          <w:numId w:val="1001"/>
        </w:numPr>
      </w:pPr>
      <w:r>
        <w:t xml:space="preserve">En français, ce même mot peut ensuite faire l’objet d’un travail spécifique en étude de la langue (classe grammaticale, famille de mots, etc.), sans que cela soit systématique.</w:t>
      </w:r>
    </w:p>
    <w:bookmarkEnd w:id="24"/>
    <w:bookmarkStart w:id="25" w:name="entrée-par-la-production-écriture"/>
    <w:p>
      <w:pPr>
        <w:pStyle w:val="Heading2"/>
      </w:pPr>
      <w:r>
        <w:t xml:space="preserve">5.2 Entrée par la production (écriture)</w:t>
      </w:r>
    </w:p>
    <w:p>
      <w:pPr>
        <w:numPr>
          <w:ilvl w:val="0"/>
          <w:numId w:val="1002"/>
        </w:numPr>
      </w:pPr>
      <w:r>
        <w:t xml:space="preserve">Besoin identifié pendant l’écriture : l’élève cherche un mot plus précis, plus varié, ou évite une répétition.</w:t>
      </w:r>
    </w:p>
    <w:p>
      <w:pPr>
        <w:numPr>
          <w:ilvl w:val="0"/>
          <w:numId w:val="1002"/>
        </w:numPr>
      </w:pPr>
      <w:r>
        <w:t xml:space="preserve">Recherche dans le carnet de la classe, par l’entrée hyperonyme (sommaire) ou par la fonction de recherche, au TBI ou sur une page imprimée, pour trouver ou retrouver un mot adapté.</w:t>
      </w:r>
    </w:p>
    <w:p>
      <w:pPr>
        <w:numPr>
          <w:ilvl w:val="0"/>
          <w:numId w:val="1002"/>
        </w:numPr>
      </w:pPr>
      <w:r>
        <w:t xml:space="preserve">Réemploi dans le texte en cours ; le carnet peut aussi s’enrichir à cette occasion : si le mot trouvé ailleurs (dictionnaire, pair, professeur) n’y figurait pas encore, il est ajouté à la page de son mot-étiquette.</w:t>
      </w:r>
    </w:p>
    <w:bookmarkEnd w:id="25"/>
    <w:bookmarkStart w:id="26" w:name="Xb508c4178d9c80176a479f92fa2031b418f2d56"/>
    <w:p>
      <w:pPr>
        <w:pStyle w:val="Heading2"/>
      </w:pPr>
      <w:r>
        <w:t xml:space="preserve">5.3 Entrée par la recherche collective (préparation d’un écrit long)</w:t>
      </w:r>
    </w:p>
    <w:p>
      <w:pPr>
        <w:numPr>
          <w:ilvl w:val="0"/>
          <w:numId w:val="1003"/>
        </w:numPr>
      </w:pPr>
      <w:r>
        <w:t xml:space="preserve">Recherche collective de mots pendant la préparation d’un écrit long (Dispositif 7a, étape ③) : la classe cherche ensemble les mots dont elle aura besoin, classés par mot-étiquette (les vêtements, les objets, dire, etc.).</w:t>
      </w:r>
    </w:p>
    <w:p>
      <w:pPr>
        <w:numPr>
          <w:ilvl w:val="0"/>
          <w:numId w:val="1003"/>
        </w:numPr>
      </w:pPr>
      <w:r>
        <w:t xml:space="preserve">Saisie directe dans le carnet de la classe, projeté au TBI : les mots trouvés sont ajoutés sous leur mot-étiquette, existant ou créé pour l’occasion. Le carnet peut ainsi tenir lieu d’affiche ; si une affiche papier a été utilisée, l’enseignant y reporte ensuite ce que la classe a réellement trouvé, et non une liste préparée à l’avance (principe du §5).</w:t>
      </w:r>
    </w:p>
    <w:p>
      <w:pPr>
        <w:numPr>
          <w:ilvl w:val="0"/>
          <w:numId w:val="1003"/>
        </w:numPr>
      </w:pPr>
      <w:r>
        <w:t xml:space="preserve">Pendant l’écriture, le carnet reste projeté ou ses pages utiles sont imprimées (une page par mot-étiquette) et mises à disposition des élèves.</w:t>
      </w:r>
    </w:p>
    <w:p>
      <w:pPr>
        <w:numPr>
          <w:ilvl w:val="0"/>
          <w:numId w:val="1003"/>
        </w:numPr>
      </w:pPr>
      <w:r>
        <w:t xml:space="preserve">Choix personnel : chaque élève note sur sa fiche d’écrit long (Dispositif 7a, étape ⑤) les mots qu’il retient pour son propre texte.</w:t>
      </w:r>
    </w:p>
    <w:p>
      <w:pPr>
        <w:pStyle w:val="FirstParagraph"/>
      </w:pPr>
      <w:r>
        <w:t xml:space="preserve">Cette entrée donne à tous la même banque complète, réutilisable pour les écrits suivants, sans aucune copie de listes ; une page comme « Dire » s’enrichit d’écrit en écrit. Elle est particulièrement utile pour les élèves pour qui la copie est coûteuse.</w:t>
      </w:r>
    </w:p>
    <w:p>
      <w:pPr>
        <w:pStyle w:val="BodyText"/>
      </w:pPr>
      <w:r>
        <w:t xml:space="preserve">Pas de créneau horaire dédié : le carnet s’alimente au fil des séances de toutes les disciplines et des moments d’écriture, au moment où le besoin lexical se présente, et non lors d’un temps spécifique d’étude de la langue.</w:t>
      </w:r>
    </w:p>
    <w:bookmarkEnd w:id="26"/>
    <w:bookmarkEnd w:id="27"/>
    <w:bookmarkStart w:id="28" w:name="Xb6d08133247769c42812a91bd449cd9b5976933"/>
    <w:p>
      <w:pPr>
        <w:pStyle w:val="Heading1"/>
      </w:pPr>
      <w:r>
        <w:t xml:space="preserve">6. Le support : le carnet de mots de la classe (fichier HTML)</w:t>
      </w:r>
    </w:p>
    <w:p>
      <w:pPr>
        <w:pStyle w:val="FirstParagraph"/>
      </w:pPr>
      <w:r>
        <w:t xml:space="preserve">Le carnet est un fichier HTML unique (« Carnet de mots de la classe »), ouvert dans un navigateur sur l’ordinateur de la classe et projeté au TBI. Il ne demande ni installation ni connexion (hors police d’affichage).</w:t>
      </w:r>
    </w:p>
    <w:tbl>
      <w:tblPr>
        <w:tblStyle w:val="Table"/>
        <w:tblW w:type="pct" w:w="5000"/>
        <w:tblLook w:firstRow="1" w:lastRow="0" w:firstColumn="0" w:lastColumn="0" w:noHBand="0" w:noVBand="0" w:val="0020"/>
        <w:jc w:val="start"/>
        <w:tblBorders>
          <w:top w:val="single" w:sz="4" w:color="8EAADB"/>
          <w:left w:val="single" w:sz="4" w:color="8EAADB"/>
          <w:bottom w:val="single" w:sz="4" w:color="8EAADB"/>
          <w:right w:val="single" w:sz="4" w:color="8EAADB"/>
          <w:insideH w:val="single" w:sz="4" w:color="8EAADB"/>
          <w:insideV w:val="single" w:sz="4" w:color="8EAADB"/>
        </w:tblBorders>
      </w:tblPr>
      <w:tblGrid>
        <w:gridCol w:w="3960"/>
        <w:gridCol w:w="3960"/>
      </w:tblGrid>
      <w:tr>
        <w:trPr>
          <w:tblHeader w:val="true"/>
          <w:cantSplit/>
        </w:trPr>
        <w:tc>
          <w:tcPr>
            <w:tcMar>
              <w:left w:w="70" w:type="dxa"/>
              <w:right w:w="70" w:type="dxa"/>
              <w:top w:w="70" w:type="dxa"/>
              <w:bottom w:w="70" w:type="dxa"/>
            </w:tcMar>
            <w:shd w:val="clear" w:color="auto" w:fill="DEEAF6"/>
          </w:tcPr>
          <w:p>
            <w:pPr>
              <w:pStyle w:val="Compact"/>
              <w:spacing w:after="0"/>
              <w:jc w:val="left"/>
            </w:pPr>
            <w:r>
              <w:rPr>
                <w:bCs/>
                <w:b/>
                <w:sz w:val="19"/>
              </w:rPr>
              <w:t xml:space="preserve">Élément</w:t>
            </w:r>
          </w:p>
        </w:tc>
        <w:tc>
          <w:tcPr>
            <w:tcMar>
              <w:left w:w="70" w:type="dxa"/>
              <w:right w:w="70" w:type="dxa"/>
              <w:top w:w="70" w:type="dxa"/>
              <w:bottom w:w="70" w:type="dxa"/>
            </w:tcMar>
            <w:shd w:val="clear" w:color="auto" w:fill="DEEAF6"/>
          </w:tcPr>
          <w:p>
            <w:pPr>
              <w:pStyle w:val="Compact"/>
              <w:spacing w:after="0"/>
              <w:jc w:val="left"/>
            </w:pPr>
            <w:r>
              <w:rPr>
                <w:bCs/>
                <w:b/>
                <w:sz w:val="19"/>
              </w:rPr>
              <w:t xml:space="preserve">Fonctionnement</w:t>
            </w:r>
          </w:p>
        </w:tc>
      </w:tr>
      <w:tr>
        <w:trPr>
          <w:cantSplit/>
        </w:trPr>
        <w:tc>
          <w:tcPr>
            <w:tcMar>
              <w:left w:w="70" w:type="dxa"/>
              <w:right w:w="70" w:type="dxa"/>
              <w:top w:w="70" w:type="dxa"/>
              <w:bottom w:w="70" w:type="dxa"/>
            </w:tcMar>
          </w:tcPr>
          <w:p>
            <w:pPr>
              <w:pStyle w:val="Compact"/>
              <w:spacing w:after="0"/>
              <w:jc w:val="left"/>
            </w:pPr>
            <w:r>
              <w:rPr>
                <w:sz w:val="19"/>
              </w:rPr>
              <w:t xml:space="preserve">Sommaire</w:t>
            </w:r>
          </w:p>
        </w:tc>
        <w:tc>
          <w:tcPr>
            <w:tcMar>
              <w:left w:w="70" w:type="dxa"/>
              <w:right w:w="70" w:type="dxa"/>
              <w:top w:w="70" w:type="dxa"/>
              <w:bottom w:w="70" w:type="dxa"/>
            </w:tcMar>
          </w:tcPr>
          <w:p>
            <w:pPr>
              <w:pStyle w:val="Compact"/>
              <w:spacing w:after="0"/>
              <w:jc w:val="left"/>
            </w:pPr>
            <w:r>
              <w:rPr>
                <w:sz w:val="19"/>
              </w:rPr>
              <w:t xml:space="preserve">Page d’accueil : liste des mots-étiquettes par ordre alphabétique, avec le nombre de mots de chacun ; un clic ouvre la page correspondante. Les mots-étiquettes rangés sous un autre apparaissent en retrait.</w:t>
            </w:r>
          </w:p>
        </w:tc>
      </w:tr>
      <w:tr>
        <w:trPr>
          <w:cantSplit/>
        </w:trPr>
        <w:tc>
          <w:tcPr>
            <w:tcMar>
              <w:left w:w="70" w:type="dxa"/>
              <w:right w:w="70" w:type="dxa"/>
              <w:top w:w="70" w:type="dxa"/>
              <w:bottom w:w="70" w:type="dxa"/>
            </w:tcMar>
          </w:tcPr>
          <w:p>
            <w:pPr>
              <w:pStyle w:val="Compact"/>
              <w:spacing w:after="0"/>
              <w:jc w:val="left"/>
            </w:pPr>
            <w:r>
              <w:rPr>
                <w:sz w:val="19"/>
              </w:rPr>
              <w:t xml:space="preserve">Pages de mots-étiquettes</w:t>
            </w:r>
          </w:p>
        </w:tc>
        <w:tc>
          <w:tcPr>
            <w:tcMar>
              <w:left w:w="70" w:type="dxa"/>
              <w:right w:w="70" w:type="dxa"/>
              <w:top w:w="70" w:type="dxa"/>
              <w:bottom w:w="70" w:type="dxa"/>
            </w:tcMar>
          </w:tcPr>
          <w:p>
            <w:pPr>
              <w:pStyle w:val="Compact"/>
              <w:spacing w:after="0"/>
              <w:jc w:val="left"/>
            </w:pPr>
            <w:r>
              <w:rPr>
                <w:sz w:val="19"/>
              </w:rPr>
              <w:t xml:space="preserve">Une page par mot-étiquette (en orange), portant ses mots précis (en vert), classés par ordre alphabétique, et des liens vers ses mots-étiquettes plus précis. Code couleur repris de V1.</w:t>
            </w:r>
          </w:p>
        </w:tc>
      </w:tr>
      <w:tr>
        <w:trPr>
          <w:cantSplit/>
        </w:trPr>
        <w:tc>
          <w:tcPr>
            <w:tcMar>
              <w:left w:w="70" w:type="dxa"/>
              <w:right w:w="70" w:type="dxa"/>
              <w:top w:w="70" w:type="dxa"/>
              <w:bottom w:w="70" w:type="dxa"/>
            </w:tcMar>
          </w:tcPr>
          <w:p>
            <w:pPr>
              <w:pStyle w:val="Compact"/>
              <w:spacing w:after="0"/>
              <w:jc w:val="left"/>
            </w:pPr>
            <w:r>
              <w:rPr>
                <w:sz w:val="19"/>
              </w:rPr>
              <w:t xml:space="preserve">Fiche d’un mot</w:t>
            </w:r>
          </w:p>
        </w:tc>
        <w:tc>
          <w:tcPr>
            <w:tcMar>
              <w:left w:w="70" w:type="dxa"/>
              <w:right w:w="70" w:type="dxa"/>
              <w:top w:w="70" w:type="dxa"/>
              <w:bottom w:w="70" w:type="dxa"/>
            </w:tcMar>
          </w:tcPr>
          <w:p>
            <w:pPr>
              <w:pStyle w:val="Compact"/>
              <w:spacing w:after="0"/>
              <w:jc w:val="left"/>
            </w:pPr>
            <w:r>
              <w:rPr>
                <w:sz w:val="19"/>
              </w:rPr>
              <w:t xml:space="preserve">Le mot ; un sens ou un exemple (facultatif, mais attendu pour l’entrée par la réception, §5.1) ; sa provenance (discipline ou séquence).</w:t>
            </w:r>
          </w:p>
        </w:tc>
      </w:tr>
      <w:tr>
        <w:trPr>
          <w:cantSplit/>
        </w:trPr>
        <w:tc>
          <w:tcPr>
            <w:tcMar>
              <w:left w:w="70" w:type="dxa"/>
              <w:right w:w="70" w:type="dxa"/>
              <w:top w:w="70" w:type="dxa"/>
              <w:bottom w:w="70" w:type="dxa"/>
            </w:tcMar>
          </w:tcPr>
          <w:p>
            <w:pPr>
              <w:pStyle w:val="Compact"/>
              <w:spacing w:after="0"/>
              <w:jc w:val="left"/>
            </w:pPr>
            <w:r>
              <w:rPr>
                <w:sz w:val="19"/>
              </w:rPr>
              <w:t xml:space="preserve">Modifier / Terminer</w:t>
            </w:r>
          </w:p>
        </w:tc>
        <w:tc>
          <w:tcPr>
            <w:tcMar>
              <w:left w:w="70" w:type="dxa"/>
              <w:right w:w="70" w:type="dxa"/>
              <w:top w:w="70" w:type="dxa"/>
              <w:bottom w:w="70" w:type="dxa"/>
            </w:tcMar>
          </w:tcPr>
          <w:p>
            <w:pPr>
              <w:pStyle w:val="Compact"/>
              <w:spacing w:after="0"/>
              <w:jc w:val="left"/>
            </w:pPr>
            <w:r>
              <w:rPr>
                <w:sz w:val="19"/>
              </w:rPr>
              <w:t xml:space="preserve">En mode « Modifier », l’enseignant ajoute, modifie, renomme, déplace ou supprime mots et pages. En mode normal, le carnet s’affiche sans aucun bouton d’édition : consultation sans risque de modification involontaire.</w:t>
            </w:r>
          </w:p>
        </w:tc>
      </w:tr>
      <w:tr>
        <w:trPr>
          <w:cantSplit/>
        </w:trPr>
        <w:tc>
          <w:tcPr>
            <w:tcMar>
              <w:left w:w="70" w:type="dxa"/>
              <w:right w:w="70" w:type="dxa"/>
              <w:top w:w="70" w:type="dxa"/>
              <w:bottom w:w="70" w:type="dxa"/>
            </w:tcMar>
          </w:tcPr>
          <w:p>
            <w:pPr>
              <w:pStyle w:val="Compact"/>
              <w:spacing w:after="0"/>
              <w:jc w:val="left"/>
            </w:pPr>
            <w:r>
              <w:rPr>
                <w:sz w:val="19"/>
              </w:rPr>
              <w:t xml:space="preserve">Recherche</w:t>
            </w:r>
          </w:p>
        </w:tc>
        <w:tc>
          <w:tcPr>
            <w:tcMar>
              <w:left w:w="70" w:type="dxa"/>
              <w:right w:w="70" w:type="dxa"/>
              <w:top w:w="70" w:type="dxa"/>
              <w:bottom w:w="70" w:type="dxa"/>
            </w:tcMar>
          </w:tcPr>
          <w:p>
            <w:pPr>
              <w:pStyle w:val="Compact"/>
              <w:spacing w:after="0"/>
              <w:jc w:val="left"/>
            </w:pPr>
            <w:r>
              <w:rPr>
                <w:sz w:val="19"/>
              </w:rPr>
              <w:t xml:space="preserve">Retrouve un mot et indique la page où il est rangé (« bottes — rangé dans les vêtements ») : c’est l’outil de l’entrée par la production (§5.2).</w:t>
            </w:r>
          </w:p>
        </w:tc>
      </w:tr>
      <w:tr>
        <w:trPr>
          <w:cantSplit/>
        </w:trPr>
        <w:tc>
          <w:tcPr>
            <w:tcMar>
              <w:left w:w="70" w:type="dxa"/>
              <w:right w:w="70" w:type="dxa"/>
              <w:top w:w="70" w:type="dxa"/>
              <w:bottom w:w="70" w:type="dxa"/>
            </w:tcMar>
          </w:tcPr>
          <w:p>
            <w:pPr>
              <w:pStyle w:val="Compact"/>
              <w:spacing w:after="0"/>
              <w:jc w:val="left"/>
            </w:pPr>
            <w:r>
              <w:rPr>
                <w:sz w:val="19"/>
              </w:rPr>
              <w:t xml:space="preserve">Impression</w:t>
            </w:r>
          </w:p>
        </w:tc>
        <w:tc>
          <w:tcPr>
            <w:tcMar>
              <w:left w:w="70" w:type="dxa"/>
              <w:right w:w="70" w:type="dxa"/>
              <w:top w:w="70" w:type="dxa"/>
              <w:bottom w:w="70" w:type="dxa"/>
            </w:tcMar>
          </w:tcPr>
          <w:p>
            <w:pPr>
              <w:pStyle w:val="Compact"/>
              <w:spacing w:after="0"/>
              <w:jc w:val="left"/>
            </w:pPr>
            <w:r>
              <w:rPr>
                <w:sz w:val="19"/>
              </w:rPr>
              <w:t xml:space="preserve">Imprime la page affichée, sans les boutons : pour afficher une page en classe ou la distribuer pendant un écrit long.</w:t>
            </w:r>
          </w:p>
        </w:tc>
      </w:tr>
      <w:tr>
        <w:trPr>
          <w:cantSplit/>
        </w:trPr>
        <w:tc>
          <w:tcPr>
            <w:tcMar>
              <w:left w:w="70" w:type="dxa"/>
              <w:right w:w="70" w:type="dxa"/>
              <w:top w:w="70" w:type="dxa"/>
              <w:bottom w:w="70" w:type="dxa"/>
            </w:tcMar>
          </w:tcPr>
          <w:p>
            <w:pPr>
              <w:pStyle w:val="Compact"/>
              <w:spacing w:after="0"/>
              <w:jc w:val="left"/>
            </w:pPr>
            <w:r>
              <w:rPr>
                <w:sz w:val="19"/>
              </w:rPr>
              <w:t xml:space="preserve">Sauvegarde</w:t>
            </w:r>
          </w:p>
        </w:tc>
        <w:tc>
          <w:tcPr>
            <w:tcMar>
              <w:left w:w="70" w:type="dxa"/>
              <w:right w:w="70" w:type="dxa"/>
              <w:top w:w="70" w:type="dxa"/>
              <w:bottom w:w="70" w:type="dxa"/>
            </w:tcMar>
          </w:tcPr>
          <w:p>
            <w:pPr>
              <w:pStyle w:val="Compact"/>
              <w:spacing w:after="0"/>
              <w:jc w:val="left"/>
            </w:pPr>
            <w:r>
              <w:rPr>
                <w:sz w:val="19"/>
              </w:rPr>
              <w:t xml:space="preserve">Enregistrement automatique dans le navigateur de l’ordinateur utilisé. Menu « Fichier » : « Enregistrer une copie du carnet » crée un fichier daté ; « Ouvrir une copie du carnet » recharge une copie, sur le même ordinateur ou un autre.</w:t>
            </w:r>
          </w:p>
        </w:tc>
      </w:tr>
    </w:tbl>
    <w:p>
      <w:pPr>
        <w:pStyle w:val="BodyText"/>
      </w:pPr>
      <w:r>
        <w:t xml:space="preserve">Précaution de sauvegarde : l’enregistrement automatique dépend du navigateur (il disparaît si l’historique est effacé, et n’est pas partagé entre ordinateurs). Une copie régulière est donc indispensable — par exemple chaque vendredi et après chaque séance où le carnet s’est beaucoup enrichi — conservée hors de l’ordinateur (clé USB, espace de stockage de l’école).</w:t>
      </w:r>
    </w:p>
    <w:p>
      <w:pPr>
        <w:pStyle w:val="BodyText"/>
      </w:pPr>
      <w:r>
        <w:t xml:space="preserve">Le carnet est aussi la source des mots du Dispositif 6 : les mots fréquents qui y figurent peuvent entrer dans le circuit de mémorisation Leitner, qui reste, lui, individuel.</w:t>
      </w:r>
    </w:p>
    <w:bookmarkEnd w:id="28"/>
    <w:bookmarkStart w:id="29" w:name="points-non-tranchés"/>
    <w:p>
      <w:pPr>
        <w:pStyle w:val="Heading1"/>
      </w:pPr>
      <w:r>
        <w:t xml:space="preserve">7. Points non tranchés</w:t>
      </w:r>
    </w:p>
    <w:p>
      <w:pPr>
        <w:numPr>
          <w:ilvl w:val="0"/>
          <w:numId w:val="1004"/>
        </w:numPr>
      </w:pPr>
      <w:r>
        <w:t xml:space="preserve">Qui saisit : l’enseignant seul, ou un élève « secrétaire du carnet » sous le regard de la classe.</w:t>
      </w:r>
    </w:p>
    <w:p>
      <w:pPr>
        <w:numPr>
          <w:ilvl w:val="0"/>
          <w:numId w:val="1004"/>
        </w:numPr>
      </w:pPr>
      <w:r>
        <w:t xml:space="preserve">Trace personnelle complémentaire : le carnet collectif suffit-il, ou chaque élève garde-t-il une trace des mots qu’il a lui-même choisis ou rencontrés (liste en fin de cahier, fiches d’écrit long conservées) ?</w:t>
      </w:r>
    </w:p>
    <w:p>
      <w:pPr>
        <w:numPr>
          <w:ilvl w:val="0"/>
          <w:numId w:val="1004"/>
        </w:numPr>
      </w:pPr>
      <w:r>
        <w:t xml:space="preserve">Accès en autonomie : consultation par les élèves hors des moments collectifs (poste en fond de classe, pages imprimées dans un classeur de la classe).</w:t>
      </w:r>
    </w:p>
    <w:p>
      <w:pPr>
        <w:numPr>
          <w:ilvl w:val="0"/>
          <w:numId w:val="1004"/>
        </w:numPr>
      </w:pPr>
      <w:r>
        <w:t xml:space="preserve">Rythme exact des copies de sauvegarde et lieu de conservation.</w:t>
      </w:r>
    </w:p>
    <w:p>
      <w:pPr>
        <w:numPr>
          <w:ilvl w:val="0"/>
          <w:numId w:val="1004"/>
        </w:numPr>
      </w:pPr>
      <w:r>
        <w:t xml:space="preserve">Modalité de réactivation non précisée à ce stade : le programme demande une reprise cumulative d’année en année, mais la fréquence et la forme des temps de réactivation (rebrassage oral à partir d’une page projetée, jeu de tri par hyperonyme, dictée de mots du carnet) restent à définir.</w:t>
      </w:r>
    </w:p>
    <w:p>
      <w:pPr>
        <w:numPr>
          <w:ilvl w:val="0"/>
          <w:numId w:val="1004"/>
        </w:numPr>
      </w:pPr>
      <w:r>
        <w:t xml:space="preserve">Articulation avec le carnet de lecture (existant par ailleurs pour la culture littéraire) : les deux outils restent distincts dans leur finalité (mémoire des œuvres lues vs. répertoire lexical), mais la frontière exacte pour un mot rencontré en lecture — consigné dans le carnet de lecture, le carnet de mots, ou les deux — n’est pas encore fixée.</w:t>
      </w:r>
    </w:p>
    <w:bookmarkEnd w:id="29"/>
    <w:sectPr>
      <w:pgSz w:w="11906" w:h="16838"/>
      <w:pgMar w:left="1020" w:right="1020" w:top="907" w:bottom="9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Liberation Sans" w:hAnsi="Liberation Sans" w:cs="Liberation Sans" w:eastAsia="Liberation Sans"/>
      <w:sz w:val="21"/>
    </w:rPr>
  </w:style>
  <w:style w:styleId="BodyText" w:type="paragraph">
    <w:name w:val="Body Text"/>
    <w:basedOn w:val="Normal"/>
    <w:link w:val="BodyTextChar"/>
    <w:pPr>
      <w:spacing w:after="100" w:before="180"/>
    </w:pPr>
    <w:qFormat/>
    <w:rPr>
      <w:rFonts w:ascii="Liberation Sans" w:hAnsi="Liberation Sans" w:cs="Liberation Sans" w:eastAsia="Liberation Sans"/>
      <w:sz w:val="21"/>
    </w:rPr>
  </w:style>
  <w:style w:customStyle="1" w:styleId="FirstParagraph" w:type="paragraph">
    <w:name w:val="First Paragraph"/>
    <w:basedOn w:val="BodyText"/>
    <w:next w:val="BodyText"/>
    <w:qFormat/>
    <w:pPr>
      <w:spacing w:after="100"/>
    </w:pPr>
    <w:rPr>
      <w:rFonts w:ascii="Liberation Sans" w:hAnsi="Liberation Sans" w:cs="Liberation Sans" w:eastAsia="Liberation Sans"/>
      <w:sz w:val="21"/>
    </w:rPr>
  </w:style>
  <w:style w:customStyle="1" w:styleId="Compact" w:type="paragraph">
    <w:name w:val="Compact"/>
    <w:basedOn w:val="BodyText"/>
    <w:qFormat/>
    <w:pPr>
      <w:spacing w:after="36" w:before="36"/>
    </w:pPr>
    <w:rPr>
      <w:rFonts w:ascii="Liberation Sans" w:hAnsi="Liberation Sans" w:cs="Liberation Sans" w:eastAsia="Liberation Sans"/>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Liberation Sans" w:hAnsi="Liberation Sans" w:cs="Liberation Sans" w:eastAsia="Liberation Sans"/>
      <w:b/>
      <w:bCs/>
      <w:color w:val="1F4E79"/>
      <w:sz w:val="36"/>
      <w:szCs w:val="36"/>
    </w:rPr>
  </w:style>
  <w:style w:styleId="Subtitle" w:type="paragraph">
    <w:name w:val="Subtitle"/>
    <w:basedOn w:val="Title"/>
    <w:next w:val="BodyText"/>
    <w:qFormat/>
    <w:pPr>
      <w:keepNext/>
      <w:keepLines/>
      <w:spacing w:after="240" w:before="240"/>
      <w:jc w:val="center"/>
    </w:pPr>
    <w:rPr>
      <w:rFonts w:ascii="Liberation Sans" w:hAnsi="Liberation Sans" w:cs="Liberation Sans" w:eastAsia="Liberation Sans"/>
      <w:color w:val="555555"/>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2026-09-27T08:30:25Z</dcterms:created>
  <dcterms:modified xsi:type="dcterms:W3CDTF">2026-09-27T08:30:25Z</dcterms:modified>
</cp:coreProperties>
</file>

<file path=docProps/custom.xml><?xml version="1.0" encoding="utf-8"?>
<Properties xmlns="http://schemas.openxmlformats.org/officeDocument/2006/custom-properties" xmlns:vt="http://schemas.openxmlformats.org/officeDocument/2006/docPropsVTypes"/>
</file>