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Dispositif 6 — Mémorisation du carnet de mots (méthode Leitner, 5 boîtes)</w:t>
      </w:r>
    </w:p>
    <w:p>
      <w:pPr>
        <w:pStyle w:val="BodyText"/>
      </w:pPr>
      <w:r>
        <w:rPr>
          <w:iCs/>
          <w:i/>
          <w:bCs/>
          <w:b/>
        </w:rPr>
        <w:t xml:space="preserve">Classe de CM1</w:t>
      </w:r>
    </w:p>
    <w:p>
      <w:pPr>
        <w:pStyle w:val="BodyText"/>
      </w:pPr>
      <w:r>
        <w:rPr>
          <w:iCs/>
          <w:i/>
        </w:rPr>
        <w:t xml:space="preserve">Document construit à partir de la compétence « Mémoriser l’orthographe des mots » du programme de français (cycle 3, domaine Vocabulaire) et du principe de répétition espacée popularisé par Sebastian Leitner. Dispositif complémentaire au Dispositif 5 (carnet de mots) : il ne porte pas sur la collecte ni le classement des mots, mais sur leur mémorisation durable, une fois qu’ils sont déjà consignés dans le carnet. Mise à jour : le critère de sélection des mots entrant dans le circuit (§5) est révisé — la fréquence d’usage du mot n’est plus objectivée par l’échelle Dubois-Buyse mais par la base Manulex-infra, qui mesure la fréquence réelle (U, en occurrences par million de mots) de chaque mot dans un corpus de manuels scolaires ; pour le cycle 3/CM1, on utilise la feuille « Grade 3 to 5 » de cette base. Le Dispositif 6 ne fonctionne donc plus qu’avec Manulex-infra : l’échelle Dubois-Buyse et son découpage en échelons par niveau sont abandonnés, y compris dans l’annexe (§11), remplacée par le rappel de la méthode Manulex-infra et par l’exemple de sa mise en œuvre sur la Séquence 1 (Bernard Friot, « Exercices »), qui a permis de vérifier 17 mots au seuil U ≥ 10. Mise à jour (septembre 2026) : les références au programme sont alignées sur le programme de français du cycle 3 publié au BO n° 16 du 17 avril 2025 (§1) ; le format des cartes intègre l’appui sur la formation des mots, avec une règle de placement des indices au recto ou au verso (§4) ; l’annexe est complétée par la Séquence 2 (Bernard Friot, « Fer à repasser ») et signale le changement de version de Manulex-infra (§10, §11). Le carnet de mots (Dispositif 5) étant devenu un carnet collectif de la classe (fichier HTML), les mots entrant dans le circuit sont prélevés dans ce carnet collectif ; les boîtes Leitner restent individuelles (§2, §4).</w:t>
      </w:r>
    </w:p>
    <w:p>
      <w:pPr>
        <w:pStyle w:val="BodyText"/>
      </w:pPr>
      <w:r>
        <w:rPr>
          <w:iCs/>
          <w:i/>
        </w:rPr>
        <w:t xml:space="preserve">Mise à jour (octobre 2026) : le dispositif est désormais porté par l’appli « Boîtes pour mémoriser » sur tablette. Le mot est lu à voix haute au lieu d’être retrouvé par une phrase à trou écrite (§4) ; la sélection des mots dans le carnet collectif est assistée par l’appli, à partir de la copie du carnet et de Manulex-infra (§5) ; l’entrée des cartes en boîte 1 n’est plus choisie par l’élève mais gérée selon la liste active et la capacité de mémorisation de chacun, avec des critères propres au groupe dys (§6) ; le rythme suit le planning de l’appli (§7) ; le suivi des élèves se fait dans le tableau de bord de la classe (§9). Une seule réussite en boîte 5 suffit désormais pour qu’un mot soit mémorisé, et un échec en boîte 4 ou 5 renvoie en boîte 2. Plusieurs points du §10 sont ainsi tranchés.</w:t>
      </w:r>
    </w:p>
    <w:bookmarkStart w:id="20" w:name="ce-que-dit-le-programme"/>
    <w:p>
      <w:pPr>
        <w:pStyle w:val="Heading1"/>
      </w:pPr>
      <w:r>
        <w:t xml:space="preserve">1. Ce que dit le programme</w:t>
      </w:r>
    </w:p>
    <w:p>
      <w:pPr>
        <w:pStyle w:val="FirstParagraph"/>
      </w:pPr>
      <w:r>
        <w:t xml:space="preserve">Le programme de français du cycle 3 (BO n° 16 du 17 avril 2025, applicable en CM1 depuis la rentrée 2025) fixe pour le CM1, dans la compétence « Mémoriser l’orthographe des mots », deux objectifs d’apprentissage : écrire correctement les mots les plus fréquents de la langue en s’appuyant sur les régularités et la formation ; s’appuyer sur la dimension morphologique des mots rencontrés lors des lectures pour les orthographier. Le programme la distingue des trois autres compétences du domaine Vocabulaire (enrichir son vocabulaire dans toutes les disciplines, établir des relations entre les mots, réemployer le vocabulaire étudié) : elle porte spécifiquement sur la fixation durable de la forme écrite, pas sur la découverte du sens ou de l’usage d’un mot.</w:t>
      </w:r>
    </w:p>
    <w:p>
      <w:pPr>
        <w:pStyle w:val="BodyText"/>
      </w:pPr>
      <w:r>
        <w:t xml:space="preserve">Le programme précise en outre que les listes de fréquence sont des outils indispensables pour définir des objectifs atteignables par les élèves. Une fiche Éduscol d’accompagnement des évaluations nationales (septembre 2025) précise la nature de ce lexique fréquent : vocabulaire des activités scolaires et des domaines disciplinaires, vocabulaire de l’univers familier de l’élève (maison, famille, jeu, vie quotidienne, sensations, sentiments).</w:t>
      </w:r>
    </w:p>
    <w:p>
      <w:pPr>
        <w:pStyle w:val="BodyText"/>
      </w:pPr>
      <w:r>
        <w:t xml:space="preserve">Deux conséquences pour le dispositif :</w:t>
      </w:r>
    </w:p>
    <w:p>
      <w:pPr>
        <w:numPr>
          <w:ilvl w:val="0"/>
          <w:numId w:val="1001"/>
        </w:numPr>
      </w:pPr>
      <w:r>
        <w:t xml:space="preserve">le critère décisif de sélection est la fréquence d’usage (§5), et non la seule rencontre du mot en classe ;</w:t>
      </w:r>
    </w:p>
    <w:p>
      <w:pPr>
        <w:numPr>
          <w:ilvl w:val="0"/>
          <w:numId w:val="1001"/>
        </w:numPr>
      </w:pPr>
      <w:r>
        <w:t xml:space="preserve">l’appui sur la formation des mots (famille, préfixes, suffixes) fait partie de la compétence elle-même : il est intégré au format des cartes (§4).</w:t>
      </w:r>
    </w:p>
    <w:p>
      <w:pPr>
        <w:pStyle w:val="FirstParagraph"/>
      </w:pPr>
      <w:r>
        <w:t xml:space="preserve">L’obligation de faire passer un mot par le carnet de mots avant sa mise en carte (§4) est en revanche un choix d’organisation propre au dispositif : le programme ne l’impose pas (voir §10).</w:t>
      </w:r>
    </w:p>
    <w:p>
      <w:pPr>
        <w:pStyle w:val="BodyText"/>
      </w:pPr>
      <w:r>
        <w:t xml:space="preserve">Le Dispositif global signalait déjà que certaines ceintures de vocabulaire (V3, V4) alimentent une mémorisation organisée selon un circuit Leitner portant sur des mots transversaux et fréquents. Le Dispositif 6 généralise ce principe à l’ensemble du carnet de mots (Dispositif 5), qui rassemble un vocabulaire plus large — disciplinaire et interdisciplinaire — que les seules ceintures V3/V4.</w:t>
      </w:r>
    </w:p>
    <w:bookmarkEnd w:id="20"/>
    <w:bookmarkStart w:id="21" w:name="X27259658f67099489247cc03c7584a2c2f1b291"/>
    <w:p>
      <w:pPr>
        <w:pStyle w:val="Heading1"/>
      </w:pPr>
      <w:r>
        <w:t xml:space="preserve">2. Ce qui distingue le Dispositif 6 du Dispositif 5</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2640"/>
        <w:gridCol w:w="2640"/>
        <w:gridCol w:w="2640"/>
      </w:tblGrid>
      <w:tr>
        <w:trPr>
          <w:tblHeader w:val="true"/>
          <w:cantSplit/>
        </w:trPr>
        <w:tc>
          <w:tcPr>
            <w:tcMar>
              <w:left w:w="70" w:type="dxa"/>
              <w:right w:w="70" w:type="dxa"/>
              <w:top w:w="70" w:type="dxa"/>
              <w:bottom w:w="70" w:type="dxa"/>
            </w:tcMar>
            <w:shd w:val="clear" w:color="auto" w:fill="DEEAF6"/>
          </w:tcPr>
          <w:p>
            <w:pPr>
              <w:pStyle w:val="Compact"/>
              <w:spacing w:after="0"/>
            </w:pPr>
          </w:p>
        </w:tc>
        <w:tc>
          <w:tcPr>
            <w:tcMar>
              <w:left w:w="70" w:type="dxa"/>
              <w:right w:w="70" w:type="dxa"/>
              <w:top w:w="70" w:type="dxa"/>
              <w:bottom w:w="70" w:type="dxa"/>
            </w:tcMar>
            <w:shd w:val="clear" w:color="auto" w:fill="DEEAF6"/>
          </w:tcPr>
          <w:p>
            <w:pPr>
              <w:pStyle w:val="Compact"/>
              <w:spacing w:after="0"/>
              <w:jc w:val="left"/>
            </w:pPr>
            <w:r>
              <w:rPr>
                <w:bCs/>
                <w:b/>
                <w:sz w:val="19"/>
              </w:rPr>
              <w:t xml:space="preserve">Dispositif 5 — Carnet de mots</w:t>
            </w:r>
          </w:p>
        </w:tc>
        <w:tc>
          <w:tcPr>
            <w:tcMar>
              <w:left w:w="70" w:type="dxa"/>
              <w:right w:w="70" w:type="dxa"/>
              <w:top w:w="70" w:type="dxa"/>
              <w:bottom w:w="70" w:type="dxa"/>
            </w:tcMar>
            <w:shd w:val="clear" w:color="auto" w:fill="DEEAF6"/>
          </w:tcPr>
          <w:p>
            <w:pPr>
              <w:pStyle w:val="Compact"/>
              <w:spacing w:after="0"/>
              <w:jc w:val="left"/>
            </w:pPr>
            <w:r>
              <w:rPr>
                <w:bCs/>
                <w:b/>
                <w:sz w:val="19"/>
              </w:rPr>
              <w:t xml:space="preserve">Dispositif 6 — Mémorisation (Leitner)</w:t>
            </w:r>
          </w:p>
        </w:tc>
      </w:tr>
      <w:tr>
        <w:trPr>
          <w:cantSplit/>
        </w:trPr>
        <w:tc>
          <w:tcPr>
            <w:tcMar>
              <w:left w:w="70" w:type="dxa"/>
              <w:right w:w="70" w:type="dxa"/>
              <w:top w:w="70" w:type="dxa"/>
              <w:bottom w:w="70" w:type="dxa"/>
            </w:tcMar>
          </w:tcPr>
          <w:p>
            <w:pPr>
              <w:pStyle w:val="Compact"/>
              <w:spacing w:after="0"/>
              <w:jc w:val="left"/>
            </w:pPr>
            <w:r>
              <w:rPr>
                <w:sz w:val="19"/>
              </w:rPr>
              <w:t xml:space="preserve">Fonction</w:t>
            </w:r>
          </w:p>
        </w:tc>
        <w:tc>
          <w:tcPr>
            <w:tcMar>
              <w:left w:w="70" w:type="dxa"/>
              <w:right w:w="70" w:type="dxa"/>
              <w:top w:w="70" w:type="dxa"/>
              <w:bottom w:w="70" w:type="dxa"/>
            </w:tcMar>
          </w:tcPr>
          <w:p>
            <w:pPr>
              <w:pStyle w:val="Compact"/>
              <w:spacing w:after="0"/>
              <w:jc w:val="left"/>
            </w:pPr>
            <w:r>
              <w:rPr>
                <w:sz w:val="19"/>
              </w:rPr>
              <w:t xml:space="preserve">Collecter et classer les mots rencontrés (par hyperonymes/hyponymes)</w:t>
            </w:r>
          </w:p>
        </w:tc>
        <w:tc>
          <w:tcPr>
            <w:tcMar>
              <w:left w:w="70" w:type="dxa"/>
              <w:right w:w="70" w:type="dxa"/>
              <w:top w:w="70" w:type="dxa"/>
              <w:bottom w:w="70" w:type="dxa"/>
            </w:tcMar>
          </w:tcPr>
          <w:p>
            <w:pPr>
              <w:pStyle w:val="Compact"/>
              <w:spacing w:after="0"/>
              <w:jc w:val="left"/>
            </w:pPr>
            <w:r>
              <w:rPr>
                <w:sz w:val="19"/>
              </w:rPr>
              <w:t xml:space="preserve">Fixer durablement l’orthographe et le sens d’une sélection de ces mots</w:t>
            </w:r>
          </w:p>
        </w:tc>
      </w:tr>
      <w:tr>
        <w:trPr>
          <w:cantSplit/>
        </w:trPr>
        <w:tc>
          <w:tcPr>
            <w:tcMar>
              <w:left w:w="70" w:type="dxa"/>
              <w:right w:w="70" w:type="dxa"/>
              <w:top w:w="70" w:type="dxa"/>
              <w:bottom w:w="70" w:type="dxa"/>
            </w:tcMar>
          </w:tcPr>
          <w:p>
            <w:pPr>
              <w:pStyle w:val="Compact"/>
              <w:spacing w:after="0"/>
              <w:jc w:val="left"/>
            </w:pPr>
            <w:r>
              <w:rPr>
                <w:sz w:val="19"/>
              </w:rPr>
              <w:t xml:space="preserve">Moment</w:t>
            </w:r>
          </w:p>
        </w:tc>
        <w:tc>
          <w:tcPr>
            <w:tcMar>
              <w:left w:w="70" w:type="dxa"/>
              <w:right w:w="70" w:type="dxa"/>
              <w:top w:w="70" w:type="dxa"/>
              <w:bottom w:w="70" w:type="dxa"/>
            </w:tcMar>
          </w:tcPr>
          <w:p>
            <w:pPr>
              <w:pStyle w:val="Compact"/>
              <w:spacing w:after="0"/>
              <w:jc w:val="left"/>
            </w:pPr>
            <w:r>
              <w:rPr>
                <w:sz w:val="19"/>
              </w:rPr>
              <w:t xml:space="preserve">Au fil des séances, dans toutes les disciplines et en français</w:t>
            </w:r>
          </w:p>
        </w:tc>
        <w:tc>
          <w:tcPr>
            <w:tcMar>
              <w:left w:w="70" w:type="dxa"/>
              <w:right w:w="70" w:type="dxa"/>
              <w:top w:w="70" w:type="dxa"/>
              <w:bottom w:w="70" w:type="dxa"/>
            </w:tcMar>
          </w:tcPr>
          <w:p>
            <w:pPr>
              <w:pStyle w:val="Compact"/>
              <w:spacing w:after="0"/>
              <w:jc w:val="left"/>
            </w:pPr>
            <w:r>
              <w:rPr>
                <w:sz w:val="19"/>
              </w:rPr>
              <w:t xml:space="preserve">Temps courts et réguliers, sur la tablette, une étape par jour et par paquet</w:t>
            </w:r>
          </w:p>
        </w:tc>
      </w:tr>
      <w:tr>
        <w:trPr>
          <w:cantSplit/>
        </w:trPr>
        <w:tc>
          <w:tcPr>
            <w:tcMar>
              <w:left w:w="70" w:type="dxa"/>
              <w:right w:w="70" w:type="dxa"/>
              <w:top w:w="70" w:type="dxa"/>
              <w:bottom w:w="70" w:type="dxa"/>
            </w:tcMar>
          </w:tcPr>
          <w:p>
            <w:pPr>
              <w:pStyle w:val="Compact"/>
              <w:spacing w:after="0"/>
              <w:jc w:val="left"/>
            </w:pPr>
            <w:r>
              <w:rPr>
                <w:sz w:val="19"/>
              </w:rPr>
              <w:t xml:space="preserve">Mot concerné</w:t>
            </w:r>
          </w:p>
        </w:tc>
        <w:tc>
          <w:tcPr>
            <w:tcMar>
              <w:left w:w="70" w:type="dxa"/>
              <w:right w:w="70" w:type="dxa"/>
              <w:top w:w="70" w:type="dxa"/>
              <w:bottom w:w="70" w:type="dxa"/>
            </w:tcMar>
          </w:tcPr>
          <w:p>
            <w:pPr>
              <w:pStyle w:val="Compact"/>
              <w:spacing w:after="0"/>
              <w:jc w:val="left"/>
            </w:pPr>
            <w:r>
              <w:rPr>
                <w:sz w:val="19"/>
              </w:rPr>
              <w:t xml:space="preserve">Tout mot rencontré ou recherché en contexte</w:t>
            </w:r>
          </w:p>
        </w:tc>
        <w:tc>
          <w:tcPr>
            <w:tcMar>
              <w:left w:w="70" w:type="dxa"/>
              <w:right w:w="70" w:type="dxa"/>
              <w:top w:w="70" w:type="dxa"/>
              <w:bottom w:w="70" w:type="dxa"/>
            </w:tcMar>
          </w:tcPr>
          <w:p>
            <w:pPr>
              <w:pStyle w:val="Compact"/>
              <w:spacing w:after="0"/>
              <w:jc w:val="left"/>
            </w:pPr>
            <w:r>
              <w:rPr>
                <w:sz w:val="19"/>
              </w:rPr>
              <w:t xml:space="preserve">Seulement les mots sélectionnés pour entrer dans le circuit de mémorisation</w:t>
            </w:r>
          </w:p>
        </w:tc>
      </w:tr>
      <w:tr>
        <w:trPr>
          <w:cantSplit/>
        </w:trPr>
        <w:tc>
          <w:tcPr>
            <w:tcMar>
              <w:left w:w="70" w:type="dxa"/>
              <w:right w:w="70" w:type="dxa"/>
              <w:top w:w="70" w:type="dxa"/>
              <w:bottom w:w="70" w:type="dxa"/>
            </w:tcMar>
          </w:tcPr>
          <w:p>
            <w:pPr>
              <w:pStyle w:val="Compact"/>
              <w:spacing w:after="0"/>
              <w:jc w:val="left"/>
            </w:pPr>
            <w:r>
              <w:rPr>
                <w:sz w:val="19"/>
              </w:rPr>
              <w:t xml:space="preserve">Sortie du dispositif</w:t>
            </w:r>
          </w:p>
        </w:tc>
        <w:tc>
          <w:tcPr>
            <w:tcMar>
              <w:left w:w="70" w:type="dxa"/>
              <w:right w:w="70" w:type="dxa"/>
              <w:top w:w="70" w:type="dxa"/>
              <w:bottom w:w="70" w:type="dxa"/>
            </w:tcMar>
          </w:tcPr>
          <w:p>
            <w:pPr>
              <w:pStyle w:val="Compact"/>
              <w:spacing w:after="0"/>
              <w:jc w:val="left"/>
            </w:pPr>
            <w:r>
              <w:rPr>
                <w:sz w:val="19"/>
              </w:rPr>
              <w:t xml:space="preserve">Un mot reste dans le carnet indéfiniment, consultable</w:t>
            </w:r>
          </w:p>
        </w:tc>
        <w:tc>
          <w:tcPr>
            <w:tcMar>
              <w:left w:w="70" w:type="dxa"/>
              <w:right w:w="70" w:type="dxa"/>
              <w:top w:w="70" w:type="dxa"/>
              <w:bottom w:w="70" w:type="dxa"/>
            </w:tcMar>
          </w:tcPr>
          <w:p>
            <w:pPr>
              <w:pStyle w:val="Compact"/>
              <w:spacing w:after="0"/>
              <w:jc w:val="left"/>
            </w:pPr>
            <w:r>
              <w:rPr>
                <w:sz w:val="19"/>
              </w:rPr>
              <w:t xml:space="preserve">Un mot « maîtrisé » sort du circuit après une réussite en boîte 5</w:t>
            </w:r>
          </w:p>
        </w:tc>
      </w:tr>
    </w:tbl>
    <w:p>
      <w:pPr>
        <w:pStyle w:val="BodyText"/>
      </w:pPr>
      <w:r>
        <w:t xml:space="preserve">Le Dispositif 6 ne remplace donc pas le carnet de mots : il en prélève une sélection pour la faire entrer dans un circuit de révision espacée, avant de la lui restituer une fois mémorisée.</w:t>
      </w:r>
    </w:p>
    <w:p>
      <w:pPr>
        <w:pStyle w:val="BodyText"/>
      </w:pPr>
      <w:r>
        <w:t xml:space="preserve">Le carnet de mots est collectif (un seul carnet numérique pour la classe, Dispositif 5, §6) ; le circuit de mémorisation, lui, reste individuel : chaque élève possède sa boîte et fait progresser ses propres cartes à son rythme. Les cartes sont préparées par l’enseignant pour toute la classe, à partir des mots du carnet collectif retenus au §5.</w:t>
      </w:r>
    </w:p>
    <w:bookmarkEnd w:id="21"/>
    <w:bookmarkStart w:id="22" w:name="principe-du-système-à-5-boîtes"/>
    <w:p>
      <w:pPr>
        <w:pStyle w:val="Heading1"/>
      </w:pPr>
      <w:r>
        <w:t xml:space="preserve">3. Principe du système à 5 boîtes</w:t>
      </w:r>
    </w:p>
    <w:p>
      <w:pPr>
        <w:pStyle w:val="FirstParagraph"/>
      </w:pPr>
      <w:r>
        <w:t xml:space="preserve">Le système repose sur des cartes de révision (recto/verso), réparties dans cinq compartiments correspondant à cinq niveaux de maîtrise. Une carte nouvellement créée entre toujours dans la boîte 1. Lors d’une session de révision, l’élève tente de restituer ce qui figure au verso à partir du recto :</w:t>
      </w:r>
    </w:p>
    <w:p>
      <w:pPr>
        <w:numPr>
          <w:ilvl w:val="0"/>
          <w:numId w:val="1002"/>
        </w:numPr>
      </w:pPr>
      <w:r>
        <w:t xml:space="preserve">Réponse correcte : la carte avance d’une boîte (de la boîte n vers la boîte n+1).</w:t>
      </w:r>
    </w:p>
    <w:p>
      <w:pPr>
        <w:numPr>
          <w:ilvl w:val="0"/>
          <w:numId w:val="1002"/>
        </w:numPr>
      </w:pPr>
      <w:r>
        <w:t xml:space="preserve">Réponse incorrecte : la carte redescend pour être révisée plus fréquemment. Depuis les boîtes 1 à 3, elle retourne en boîte 1 ; depuis les boîtes 4 et 5, elle retourne en boîte 2 : un mot presque maîtrisé qui échoue une fois ne repart pas de zéro.</w:t>
      </w:r>
    </w:p>
    <w:p>
      <w:pPr>
        <w:numPr>
          <w:ilvl w:val="0"/>
          <w:numId w:val="1002"/>
        </w:numPr>
      </w:pPr>
      <w:r>
        <w:t xml:space="preserve">Une carte réussie en boîte 5 est considérée comme un mot maîtrisé : elle sort du circuit actif (étoile « Mémorisé » dans l’appli). Une seule réussite en boîte 5 suffit : à ce stade, le mot a déjà été restitué correctement quatre fois, à des intervalles de plus en plus longs.</w:t>
      </w:r>
    </w:p>
    <w:p>
      <w:pPr>
        <w:pStyle w:val="FirstParagraph"/>
      </w:pPr>
      <w:r>
        <w:t xml:space="preserve">Plus le numéro de la boîte est élevé, plus l’intervalle avant la prochaine révision est long : c’est ce mécanisme de répétition espacée qui ancre l’orthographe en mémoire à long terme sans multiplier le temps de révision consacré aux mots déjà bien connus.</w:t>
      </w:r>
    </w:p>
    <w:bookmarkEnd w:id="22"/>
    <w:bookmarkStart w:id="23" w:name="format-des-cartes"/>
    <w:p>
      <w:pPr>
        <w:pStyle w:val="Heading1"/>
      </w:pPr>
      <w:r>
        <w:t xml:space="preserve">4. Format des cartes</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3960"/>
        <w:gridCol w:w="3960"/>
      </w:tblGrid>
      <w:tr>
        <w:trPr>
          <w:tblHeader w:val="true"/>
          <w:cantSplit/>
        </w:trPr>
        <w:tc>
          <w:tcPr>
            <w:tcMar>
              <w:left w:w="70" w:type="dxa"/>
              <w:right w:w="70" w:type="dxa"/>
              <w:top w:w="70" w:type="dxa"/>
              <w:bottom w:w="70" w:type="dxa"/>
            </w:tcMar>
            <w:shd w:val="clear" w:color="auto" w:fill="DEEAF6"/>
          </w:tcPr>
          <w:p>
            <w:pPr>
              <w:pStyle w:val="Compact"/>
              <w:spacing w:after="0"/>
              <w:jc w:val="left"/>
            </w:pPr>
            <w:r>
              <w:rPr>
                <w:bCs/>
                <w:b/>
                <w:sz w:val="19"/>
              </w:rPr>
              <w:t xml:space="preserve">Face</w:t>
            </w:r>
          </w:p>
        </w:tc>
        <w:tc>
          <w:tcPr>
            <w:tcMar>
              <w:left w:w="70" w:type="dxa"/>
              <w:right w:w="70" w:type="dxa"/>
              <w:top w:w="70" w:type="dxa"/>
              <w:bottom w:w="70" w:type="dxa"/>
            </w:tcMar>
            <w:shd w:val="clear" w:color="auto" w:fill="DEEAF6"/>
          </w:tcPr>
          <w:p>
            <w:pPr>
              <w:pStyle w:val="Compact"/>
              <w:spacing w:after="0"/>
              <w:jc w:val="left"/>
            </w:pPr>
            <w:r>
              <w:rPr>
                <w:bCs/>
                <w:b/>
                <w:sz w:val="19"/>
              </w:rPr>
              <w:t xml:space="preserve">Contenu</w:t>
            </w:r>
          </w:p>
        </w:tc>
      </w:tr>
      <w:tr>
        <w:trPr>
          <w:cantSplit/>
        </w:trPr>
        <w:tc>
          <w:tcPr>
            <w:tcMar>
              <w:left w:w="70" w:type="dxa"/>
              <w:right w:w="70" w:type="dxa"/>
              <w:top w:w="70" w:type="dxa"/>
              <w:bottom w:w="70" w:type="dxa"/>
            </w:tcMar>
          </w:tcPr>
          <w:p>
            <w:pPr>
              <w:pStyle w:val="Compact"/>
              <w:spacing w:after="0"/>
              <w:jc w:val="left"/>
            </w:pPr>
            <w:r>
              <w:rPr>
                <w:sz w:val="19"/>
              </w:rPr>
              <w:t xml:space="preserve">Recto</w:t>
            </w:r>
          </w:p>
        </w:tc>
        <w:tc>
          <w:tcPr>
            <w:tcMar>
              <w:left w:w="70" w:type="dxa"/>
              <w:right w:w="70" w:type="dxa"/>
              <w:top w:w="70" w:type="dxa"/>
              <w:bottom w:w="70" w:type="dxa"/>
            </w:tcMar>
          </w:tcPr>
          <w:p>
            <w:pPr>
              <w:pStyle w:val="Compact"/>
              <w:spacing w:after="0"/>
              <w:jc w:val="left"/>
            </w:pPr>
            <w:r>
              <w:rPr>
                <w:sz w:val="19"/>
              </w:rPr>
              <w:t xml:space="preserve">Le mot est lu à voix haute par la tablette : il est prononcé automatiquement à l’ouverture de la carte, et l’élève peut le réécouter (« Écouter le mot »). Un second bouton, « Écouter dans une phrase », lit la phrase de la carte avec le mot à sa place, pour lever le doute sur un homophone (vert, verre, ver) sans montrer le mot écrit. L’indice de formation (« Pense à : bras » pour embrasser) est affiché sous les boutons. La phrase à trou écrite reste disponible par un réglage de l’espace enseignant.</w:t>
            </w:r>
          </w:p>
        </w:tc>
      </w:tr>
      <w:tr>
        <w:trPr>
          <w:cantSplit/>
        </w:trPr>
        <w:tc>
          <w:tcPr>
            <w:tcMar>
              <w:left w:w="70" w:type="dxa"/>
              <w:right w:w="70" w:type="dxa"/>
              <w:top w:w="70" w:type="dxa"/>
              <w:bottom w:w="70" w:type="dxa"/>
            </w:tcMar>
          </w:tcPr>
          <w:p>
            <w:pPr>
              <w:pStyle w:val="Compact"/>
              <w:spacing w:after="0"/>
              <w:jc w:val="left"/>
            </w:pPr>
            <w:r>
              <w:rPr>
                <w:sz w:val="19"/>
              </w:rPr>
              <w:t xml:space="preserve">Verso</w:t>
            </w:r>
          </w:p>
        </w:tc>
        <w:tc>
          <w:tcPr>
            <w:tcMar>
              <w:left w:w="70" w:type="dxa"/>
              <w:right w:w="70" w:type="dxa"/>
              <w:top w:w="70" w:type="dxa"/>
              <w:bottom w:w="70" w:type="dxa"/>
            </w:tcMar>
          </w:tcPr>
          <w:p>
            <w:pPr>
              <w:pStyle w:val="Compact"/>
              <w:spacing w:after="0"/>
              <w:jc w:val="left"/>
            </w:pPr>
            <w:r>
              <w:rPr>
                <w:sz w:val="19"/>
              </w:rPr>
              <w:t xml:space="preserve">L’élève écrit le mot ; la correction montre son orthographe correcte, en gros. Dessous, en une ligne : le mot de la famille ou la règle de formation qui explique la difficulté (« comme princesse », « -ette : deux t, comme fillette »), ou un rappel de forme (« un cheveu », « yeux (un œil) »). Si nécessaire, un rappel bref du sens ou du mot-étiquette (Dispositif 5). Pour un mot noté avec son article dans le carnet (« un manteau »), seul le nom est à écrire.</w:t>
            </w:r>
          </w:p>
        </w:tc>
      </w:tr>
    </w:tbl>
    <w:p>
      <w:pPr>
        <w:pStyle w:val="BodyText"/>
      </w:pPr>
      <w:r>
        <w:t xml:space="preserve">Règle de placement de l’indice de formation :</w:t>
      </w:r>
    </w:p>
    <w:p>
      <w:pPr>
        <w:numPr>
          <w:ilvl w:val="0"/>
          <w:numId w:val="1003"/>
        </w:numPr>
      </w:pPr>
      <w:r>
        <w:t xml:space="preserve">au recto, seulement si l’indice oblige l’élève à raisonner sans lui livrer la réponse : un mot plus court ou plus éloigné, qui ne contient pas le mot cherché (bras → embrasser, forme → transformer, merci → remercier, objectif → objet) ;</w:t>
      </w:r>
    </w:p>
    <w:p>
      <w:pPr>
        <w:numPr>
          <w:ilvl w:val="0"/>
          <w:numId w:val="1003"/>
        </w:numPr>
      </w:pPr>
      <w:r>
        <w:t xml:space="preserve">au verso, quand le mot de la famille contient déjà la réponse (princesse contient prince, chausser contient chauss-) : placé au recto, il supprimerait l’effort de mémoire ; au verso, il explique l’orthographe au moment de l’autocorrection ;</w:t>
      </w:r>
    </w:p>
    <w:p>
      <w:pPr>
        <w:numPr>
          <w:ilvl w:val="0"/>
          <w:numId w:val="1003"/>
        </w:numPr>
      </w:pPr>
      <w:r>
        <w:t xml:space="preserve">l’indice ne doit pas reprendre un mot déjà présent dans la phrase à trou ;</w:t>
      </w:r>
    </w:p>
    <w:p>
      <w:pPr>
        <w:numPr>
          <w:ilvl w:val="0"/>
          <w:numId w:val="1003"/>
        </w:numPr>
      </w:pPr>
      <w:r>
        <w:t xml:space="preserve">aucun indice quand aucun mot de la famille n’éclaire la difficulté (fée, prix, poireau, équilibre) : pour ces mots, ce sont les régularités graphiques ou la mémorisation pure qui jouent. C’est prévu par le programme, qui associe régularités et formation.</w:t>
      </w:r>
    </w:p>
    <w:p>
      <w:pPr>
        <w:numPr>
          <w:ilvl w:val="0"/>
          <w:numId w:val="1006"/>
        </w:numPr>
      </w:pPr>
      <w:r>
        <w:t xml:space="preserve">l’indice « Pense à » n’est affiché qu’en boîtes 1 et 2 : au-delà, l’élève doit retrouver l’orthographe sans appui, ce qui vérifie que la mémorisation tient seule.</w:t>
      </w:r>
    </w:p>
    <w:p>
      <w:pPr>
        <w:pStyle w:val="FirstParagraph"/>
      </w:pPr>
      <w:r>
        <w:t xml:space="preserve">Pour un élève en grande difficulté de lecture-écriture, l’enseignant peut placer au recto tous les indices de formation, y compris ceux prévus au verso pour la classe : raisonner à partir d’un mot connu est moins coûteux que retenir une suite de lettres.</w:t>
      </w:r>
    </w:p>
    <w:p>
      <w:pPr>
        <w:pStyle w:val="BodyText"/>
      </w:pPr>
      <w:r>
        <w:t xml:space="preserve">Les cartes sont construites à partir des mots déjà présents dans le carnet de la classe : la mise en carte d’un mot n’a donc de sens qu’après sa saisie dans le carnet collectif (Dispositif 5), jamais avant (règle propre au dispositif, voir §1 et §10). Le mot-étiquette rappelé au verso est celui de la page du carnet où le mot est rangé.</w:t>
      </w:r>
    </w:p>
    <w:p>
      <w:pPr>
        <w:pStyle w:val="BodyText"/>
      </w:pPr>
      <w:r>
        <w:t xml:space="preserve">Dans l’appli, la phrase lue par « Écouter dans une phrase » est tirée du sens ou de l’exemple noté pour ce mot dans le carnet (« Il porte un manteau de fourrure ») ; à défaut, l’appli lit l’article et le mot (« un manteau »). Noter un exemple dans le carnet pour les mots qui ont un homophone est donc utile.</w:t>
      </w:r>
    </w:p>
    <w:bookmarkEnd w:id="23"/>
    <w:bookmarkStart w:id="24" w:name="Xf4b965b6c8b0a3890f38a15489b46e50e41441a"/>
    <w:p>
      <w:pPr>
        <w:pStyle w:val="Heading1"/>
      </w:pPr>
      <w:r>
        <w:t xml:space="preserve">5. Sélection des mots qui entrent dans le circuit</w:t>
      </w:r>
    </w:p>
    <w:p>
      <w:pPr>
        <w:pStyle w:val="FirstParagraph"/>
      </w:pPr>
      <w:r>
        <w:t xml:space="preserve">Tous les mots du carnet n’ont pas vocation à entrer dans le circuit de mémorisation : un afflux trop rapide de nouvelles cartes nuirait à la répétition espacée elle-même, en surchargeant la boîte 1.</w:t>
      </w:r>
    </w:p>
    <w:p>
      <w:pPr>
        <w:pStyle w:val="BodyText"/>
      </w:pPr>
      <w:r>
        <w:t xml:space="preserve">Le critère décisif n’est donc pas la simple rencontre du mot en classe, mais sa fréquence d’usage réelle dans la langue : mémoriser durablement l’orthographe d’un mot n’a de sens que si l’élève le retrouvera souvent, à l’écrit comme à l’oral. Un mot peu fréquenté par les élèves — rencontré une fois dans une discipline, puis rarement réemployé — reste consigné et consultable dans le carnet de mots (Dispositif 5), mais n’a pas vocation à entrer dans le circuit Leitner pour y faire l’objet d’une mémorisation orthographique systématique. À l’inverse, plus un mot est fréquent, plus il est important de l’intégrer au circuit, puisque l’effort de mémorisation profite alors à un grand nombre de productions écrites à venir.</w:t>
      </w:r>
    </w:p>
    <w:p>
      <w:pPr>
        <w:pStyle w:val="BodyText"/>
      </w:pPr>
      <w:r>
        <w:t xml:space="preserve">Repère retenu pour objectiver cette fréquence : la base de fréquence lexicale Manulex-infra, qui mesure pour chaque mot son nombre d’occurrences par million de mots (U) dans un corpus réel de manuels scolaires, plutôt que de le situer sur une échelle de paliers par niveau. Pour le cycle 3/CM1, on retient la feuille « Grade 3 to 5 » de Manulex-infra, prise comme équivalent du palier Cycle 3/CM1. Plus la valeur de U est élevée, plus le mot est fréquent dans les écrits scolaires du cycle et plus son entrée dans le circuit est justifiée ; un mot dont le U est faible ou nul, rencontré isolément dans une discipline, ne suffit pas à justifier l’effort de mémorisation espacée. Le seuil de U à partir duquel un mot entre dans le circuit n’est pas figé par le Dispositif 6 lui-même : c’est un paramètre réglable, à ajuster par l’enseignant selon l’expérience de la classe — une classe qui saturerait vite la boîte 1 pourrait le remonter, une classe qui veut couvrir davantage de vocabulaire pourrait l’abaisser (le seuil U ≥ 10 a par exemple été retenu lors de la mise en œuvre du dispositif sur la Séquence 1, voir annexe, §11).</w:t>
      </w:r>
    </w:p>
    <w:p>
      <w:pPr>
        <w:pStyle w:val="BodyText"/>
      </w:pPr>
      <w:r>
        <w:t xml:space="preserve">Concrètement, à fréquence égale ou au-dessus du seuil retenu, la sélection privilégie :</w:t>
      </w:r>
    </w:p>
    <w:p>
      <w:pPr>
        <w:numPr>
          <w:ilvl w:val="0"/>
          <w:numId w:val="1004"/>
        </w:numPr>
      </w:pPr>
      <w:r>
        <w:t xml:space="preserve">les mots dont l’orthographe présente une irrégularité repérée (lettre muette, accord figé), dès lors que leur fréquence Manulex-infra (U) atteint le seuil retenu ;</w:t>
      </w:r>
    </w:p>
    <w:p>
      <w:pPr>
        <w:numPr>
          <w:ilvl w:val="0"/>
          <w:numId w:val="1004"/>
        </w:numPr>
      </w:pPr>
      <w:r>
        <w:t xml:space="preserve">les mots qui illustrent un son pouvant s’écrire de plusieurs manières (graphies de [s], [k], [g], nasalisation, autres graphies vocaliques — cf. Dispositif 2), même quand le mot lui-même n’a rien d’irrégulier : c’est la variété des graphies possibles pour ce son, et non une difficulté propre au mot, qui justifie alors son entrée dans le circuit, sous la même réserve de fréquence ;</w:t>
      </w:r>
    </w:p>
    <w:p>
      <w:pPr>
        <w:numPr>
          <w:ilvl w:val="0"/>
          <w:numId w:val="1004"/>
        </w:numPr>
      </w:pPr>
      <w:r>
        <w:t xml:space="preserve">les mots transversaux et fréquents, rencontrés dans plusieurs disciplines (recoupant les mots déjà identifiés en Dispositif 4, V3/V4, comme alimentant une mémorisation Leitner) — Manulex-infra permettant d’objectiver ce critère de fréquence par une mesure réelle d’usage plutôt que de s’en remettre à une impression ;</w:t>
      </w:r>
    </w:p>
    <w:p>
      <w:pPr>
        <w:numPr>
          <w:ilvl w:val="0"/>
          <w:numId w:val="1004"/>
        </w:numPr>
      </w:pPr>
      <w:r>
        <w:t xml:space="preserve">les mots que l’élève lui-même identifie comme utiles à retenir, notamment ceux recherchés lors d’un écrit long (Dispositif 7a, étape ④), à condition, là aussi, qu’ils correspondent à un usage suffisamment fréquent pour justifier l’effort de mémorisation ;</w:t>
      </w:r>
    </w:p>
    <w:p>
      <w:pPr>
        <w:numPr>
          <w:ilvl w:val="0"/>
          <w:numId w:val="1004"/>
        </w:numPr>
      </w:pPr>
      <w:r>
        <w:t xml:space="preserve">à l’inverse, les mots dont la fréquence Manulex-infra (U) reste sous le seuil retenu ne sont pas retenus pour le circuit : ils restent dans le carnet de mots (Dispositif 5), disponibles pour consultation, sans que leur orthographe fasse l’objet d’une mémorisation dédiée. Un mot absent de la base (cas fréquent des mots composés, comme porte-monnaie) fait l’objet d’une appréciation au cas par cas par l’enseignant.</w:t>
      </w:r>
    </w:p>
    <w:p>
      <w:pPr>
        <w:pStyle w:val="Heading2"/>
      </w:pPr>
      <w:r>
        <w:t xml:space="preserve">Mise en œuvre dans l’appli</w:t>
      </w:r>
    </w:p>
    <w:p>
      <w:pPr>
        <w:pStyle w:val="FirstParagraph"/>
      </w:pPr>
      <w:r>
        <w:t xml:space="preserve">La sélection n’est plus faite à la main mot par mot : l’appli la prépare et l’enseignant la valide. Dans l’espace enseignant, on importe la copie du carnet de mots (menu Fichier › « Enregistrer une copie du carnet ») et l’export de Manulex-infra, puis « Préparer une sélection » propose, parmi les mots du carnet qui ne sont pas encore en cartes :</w:t>
      </w:r>
    </w:p>
    <w:p>
      <w:pPr>
        <w:numPr>
          <w:ilvl w:val="0"/>
          <w:numId w:val="1006"/>
        </w:numPr>
      </w:pPr>
      <w:r>
        <w:rPr>
          <w:bCs/>
          <w:b/>
        </w:rPr>
        <w:t xml:space="preserve">Retenus</w:t>
      </w:r>
      <w:r>
        <w:t xml:space="preserve"> (cochés d’office) : U au moins égal au seuil, réglable (10 par défaut) ;</w:t>
      </w:r>
    </w:p>
    <w:p>
      <w:pPr>
        <w:numPr>
          <w:ilvl w:val="0"/>
          <w:numId w:val="1006"/>
        </w:numPr>
      </w:pPr>
      <w:r>
        <w:rPr>
          <w:bCs/>
          <w:b/>
        </w:rPr>
        <w:t xml:space="preserve">À la limite du seuil</w:t>
      </w:r>
      <w:r>
        <w:t xml:space="preserve"> : U entre 80 % du seuil et le seuil (décrocher, 8,9 ; repasser) ;</w:t>
      </w:r>
    </w:p>
    <w:p>
      <w:pPr>
        <w:numPr>
          <w:ilvl w:val="0"/>
          <w:numId w:val="1006"/>
        </w:numPr>
      </w:pPr>
      <w:r>
        <w:rPr>
          <w:bCs/>
          <w:b/>
        </w:rPr>
        <w:t xml:space="preserve">Absents de Manulex-infra</w:t>
      </w:r>
      <w:r>
        <w:t xml:space="preserve"> : surtout des expressions (une balle de tennis) et des mots composés, à apprécier au cas par cas ;</w:t>
      </w:r>
    </w:p>
    <w:p>
      <w:pPr>
        <w:numPr>
          <w:ilvl w:val="0"/>
          <w:numId w:val="1006"/>
        </w:numPr>
      </w:pPr>
      <w:r>
        <w:rPr>
          <w:bCs/>
          <w:b/>
        </w:rPr>
        <w:t xml:space="preserve">Sous le seuil</w:t>
      </w:r>
      <w:r>
        <w:t xml:space="preserve"> et </w:t>
      </w:r>
      <w:r>
        <w:rPr>
          <w:bCs/>
          <w:b/>
        </w:rPr>
        <w:t xml:space="preserve">noms propres ou marques</w:t>
      </w:r>
      <w:r>
        <w:t xml:space="preserve"> (mots à majuscule, sigles) : repliés, non retenus. Les noms propres sont écartés même quand la forme existe en minuscule dans la base (Action, Normal).</w:t>
      </w:r>
    </w:p>
    <w:p>
      <w:pPr>
        <w:pStyle w:val="BodyText"/>
      </w:pPr>
      <w:r>
        <w:t xml:space="preserve">Ordre de proposition, qui est aussi l’ordre d’entrée en boîte 1 : d’abord les mots dont l’orthographe présente une difficulté repérée, puis les mots rangés sur plusieurs pages du carnet (transversaux), puis les plus fréquents. Les difficultés sont repérées automatiquement : graphies de [s], [k], [g] et [ʒ] (sc, ç, qu, gu, c et g doux), ph, y, sons an / en et in / ain / ein, ai / ei, au, eau, oi, ill, m devant b et p, consonnes doublées, -eau(x), -eux, -tion, h muet, accent circonflexe, lettre finale muette. Ce repérage est mécanique : il ne voit pas le « ch », ni les « s » qui se prononcent [z], et ne sait pas qu’un mot est central dans l’écrit long en cours ou qu’un élève l’a demandé. L’enseignant vérifie et décoche avant de créer les cartes.</w:t>
      </w:r>
    </w:p>
    <w:p>
      <w:pPr>
        <w:pStyle w:val="BodyText"/>
      </w:pPr>
      <w:r>
        <w:t xml:space="preserve">Les cartes créées forment une liste nommée, en général d’après la séquence (« Fer à repasser »), qui peut devenir la liste active (§6). Elles sont placées dans la réserve de chaque élève. Les mots du carnet mal orthographiés doivent être corrigés dans le carnet avant la sélection : une carte apprend exactement ce qui y est écrit.</w:t>
      </w:r>
    </w:p>
    <w:bookmarkEnd w:id="24"/>
    <w:bookmarkStart w:id="25" w:name="rythme-de-révision"/>
    <w:p>
      <w:pPr>
        <w:pStyle w:val="Heading1"/>
      </w:pPr>
      <w:r>
        <w:t xml:space="preserve">6. Entrée des cartes en boîte 1</w:t>
      </w:r>
    </w:p>
    <w:p>
      <w:pPr>
        <w:pStyle w:val="FirstParagraph"/>
      </w:pPr>
      <w:r>
        <w:t xml:space="preserve">La réserve de l’élève est fermée : il voit combien de cartes l’attendent, mais ne choisit plus lesquelles entrent en boîte 1. Au début de chaque étape (§7), une seule fois par étape, l’appli fait entrer de nouvelles cartes selon deux logiques.</w:t>
      </w:r>
    </w:p>
    <w:p>
      <w:pPr>
        <w:pStyle w:val="BodyText"/>
      </w:pPr>
      <w:r>
        <w:rPr>
          <w:bCs/>
          <w:b/>
        </w:rPr>
        <w:t xml:space="preserve">La logique du moment.</w:t>
      </w:r>
      <w:r>
        <w:t xml:space="preserve"> L’enseignant désigne la liste active, celle de la séquence en cours. Ses mots entrent en premier, dans l’ordre de la sélection (§5) ; quand elle est épuisée pour un élève, les autres listes prennent le relais dans leur ordre de création.</w:t>
      </w:r>
    </w:p>
    <w:p>
      <w:pPr>
        <w:pStyle w:val="BodyText"/>
      </w:pPr>
      <w:r>
        <w:rPr>
          <w:bCs/>
          <w:b/>
        </w:rPr>
        <w:t xml:space="preserve">La capacité de chaque élève.</w:t>
      </w:r>
      <w:r>
        <w:t xml:space="preserve"> Le nombre de nouvelles cartes dépend de la place libre en boîte 1 (sous un plafond) et de la réussite de l’élève sur ses dix dernières réponses en boîte 1 :</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5600"/>
        <w:gridCol w:w="4260"/>
      </w:tblGrid>
      <w:tr>
        <w:trPr>
          <w:tblHeader w:val="true"/>
          <w:cantSplit/>
        </w:trPr>
        <w:tc>
          <w:tcPr>
            <w:tcMar>
              <w:left w:w="70" w:type="dxa"/>
              <w:right w:w="70" w:type="dxa"/>
              <w:top w:w="70" w:type="dxa"/>
              <w:bottom w:w="70" w:type="dxa"/>
            </w:tcMar>
            <w:shd w:val="clear" w:color="auto" w:fill="DEEAF6"/>
          </w:tcPr>
          <w:p>
            <w:pPr>
              <w:pStyle w:val="Compact"/>
              <w:spacing w:after="0"/>
              <w:jc w:val="left"/>
            </w:pPr>
            <w:r>
              <w:rPr>
                <w:bCs/>
                <w:b/>
                <w:sz w:val="19"/>
              </w:rPr>
              <w:t xml:space="preserve">Réussite récente en boîte 1</w:t>
            </w:r>
          </w:p>
        </w:tc>
        <w:tc>
          <w:tcPr>
            <w:tcMar>
              <w:left w:w="70" w:type="dxa"/>
              <w:right w:w="70" w:type="dxa"/>
              <w:top w:w="70" w:type="dxa"/>
              <w:bottom w:w="70" w:type="dxa"/>
            </w:tcMar>
            <w:shd w:val="clear" w:color="auto" w:fill="DEEAF6"/>
          </w:tcPr>
          <w:p>
            <w:pPr>
              <w:pStyle w:val="Compact"/>
              <w:spacing w:after="0"/>
              <w:jc w:val="left"/>
            </w:pPr>
            <w:r>
              <w:rPr>
                <w:bCs/>
                <w:b/>
                <w:sz w:val="19"/>
              </w:rPr>
              <w:t xml:space="preserve">Nouvelles cartes à l’étape</w:t>
            </w:r>
          </w:p>
        </w:tc>
      </w:tr>
      <w:tr>
        <w:trPr>
          <w:cantSplit/>
        </w:trPr>
        <w:tc>
          <w:tcPr>
            <w:tcMar>
              <w:left w:w="70" w:type="dxa"/>
              <w:right w:w="70" w:type="dxa"/>
              <w:top w:w="70" w:type="dxa"/>
              <w:bottom w:w="70" w:type="dxa"/>
            </w:tcMar>
          </w:tcPr>
          <w:p>
            <w:pPr>
              <w:pStyle w:val="Compact"/>
              <w:spacing w:after="0"/>
              <w:jc w:val="left"/>
            </w:pPr>
            <w:r>
              <w:rPr>
                <w:sz w:val="19"/>
              </w:rPr>
              <w:t xml:space="preserve">80 % ou plus (ou moins de 5 réponses enregistrées)</w:t>
            </w:r>
          </w:p>
        </w:tc>
        <w:tc>
          <w:tcPr>
            <w:tcMar>
              <w:left w:w="70" w:type="dxa"/>
              <w:right w:w="70" w:type="dxa"/>
              <w:top w:w="70" w:type="dxa"/>
              <w:bottom w:w="70" w:type="dxa"/>
            </w:tcMar>
          </w:tcPr>
          <w:p>
            <w:pPr>
              <w:pStyle w:val="Compact"/>
              <w:spacing w:after="0"/>
              <w:jc w:val="left"/>
            </w:pPr>
            <w:r>
              <w:rPr>
                <w:sz w:val="19"/>
              </w:rPr>
              <w:t xml:space="preserve">de quoi remplir la boîte 1 jusqu’au plafond</w:t>
            </w:r>
          </w:p>
        </w:tc>
      </w:tr>
      <w:tr>
        <w:trPr>
          <w:cantSplit/>
        </w:trPr>
        <w:tc>
          <w:tcPr>
            <w:tcMar>
              <w:left w:w="70" w:type="dxa"/>
              <w:right w:w="70" w:type="dxa"/>
              <w:top w:w="70" w:type="dxa"/>
              <w:bottom w:w="70" w:type="dxa"/>
            </w:tcMar>
          </w:tcPr>
          <w:p>
            <w:pPr>
              <w:pStyle w:val="Compact"/>
              <w:spacing w:after="0"/>
              <w:jc w:val="left"/>
            </w:pPr>
            <w:r>
              <w:rPr>
                <w:sz w:val="19"/>
              </w:rPr>
              <w:t xml:space="preserve">de 50 à 80 %</w:t>
            </w:r>
          </w:p>
        </w:tc>
        <w:tc>
          <w:tcPr>
            <w:tcMar>
              <w:left w:w="70" w:type="dxa"/>
              <w:right w:w="70" w:type="dxa"/>
              <w:top w:w="70" w:type="dxa"/>
              <w:bottom w:w="70" w:type="dxa"/>
            </w:tcMar>
          </w:tcPr>
          <w:p>
            <w:pPr>
              <w:pStyle w:val="Compact"/>
              <w:spacing w:after="0"/>
              <w:jc w:val="left"/>
            </w:pPr>
            <w:r>
              <w:rPr>
                <w:sz w:val="19"/>
              </w:rPr>
              <w:t xml:space="preserve">la moitié de la place libre</w:t>
            </w:r>
          </w:p>
        </w:tc>
      </w:tr>
      <w:tr>
        <w:trPr>
          <w:cantSplit/>
        </w:trPr>
        <w:tc>
          <w:tcPr>
            <w:tcMar>
              <w:left w:w="70" w:type="dxa"/>
              <w:right w:w="70" w:type="dxa"/>
              <w:top w:w="70" w:type="dxa"/>
              <w:bottom w:w="70" w:type="dxa"/>
            </w:tcMar>
          </w:tcPr>
          <w:p>
            <w:pPr>
              <w:pStyle w:val="Compact"/>
              <w:spacing w:after="0"/>
              <w:jc w:val="left"/>
            </w:pPr>
            <w:r>
              <w:rPr>
                <w:sz w:val="19"/>
              </w:rPr>
              <w:t xml:space="preserve">moins de 50 %</w:t>
            </w:r>
          </w:p>
        </w:tc>
        <w:tc>
          <w:tcPr>
            <w:tcMar>
              <w:left w:w="70" w:type="dxa"/>
              <w:right w:w="70" w:type="dxa"/>
              <w:top w:w="70" w:type="dxa"/>
              <w:bottom w:w="70" w:type="dxa"/>
            </w:tcMar>
          </w:tcPr>
          <w:p>
            <w:pPr>
              <w:pStyle w:val="Compact"/>
              <w:spacing w:after="0"/>
              <w:jc w:val="left"/>
            </w:pPr>
            <w:r>
              <w:rPr>
                <w:sz w:val="19"/>
              </w:rPr>
              <w:t xml:space="preserve">aucune : l’élève consolide d’abord ce qu’il a</w:t>
            </w:r>
          </w:p>
        </w:tc>
      </w:tr>
      <w:tr>
        <w:trPr>
          <w:cantSplit/>
        </w:trPr>
        <w:tc>
          <w:tcPr>
            <w:tcMar>
              <w:left w:w="70" w:type="dxa"/>
              <w:right w:w="70" w:type="dxa"/>
              <w:top w:w="70" w:type="dxa"/>
              <w:bottom w:w="70" w:type="dxa"/>
            </w:tcMar>
          </w:tcPr>
          <w:p>
            <w:pPr>
              <w:pStyle w:val="Compact"/>
              <w:spacing w:after="0"/>
              <w:jc w:val="left"/>
            </w:pPr>
            <w:r>
              <w:rPr>
                <w:sz w:val="19"/>
              </w:rPr>
              <w:t xml:space="preserve">boîte 1 vide, quelle que soit la réussite</w:t>
            </w:r>
          </w:p>
        </w:tc>
        <w:tc>
          <w:tcPr>
            <w:tcMar>
              <w:left w:w="70" w:type="dxa"/>
              <w:right w:w="70" w:type="dxa"/>
              <w:top w:w="70" w:type="dxa"/>
              <w:bottom w:w="70" w:type="dxa"/>
            </w:tcMar>
          </w:tcPr>
          <w:p>
            <w:pPr>
              <w:pStyle w:val="Compact"/>
              <w:spacing w:after="0"/>
              <w:jc w:val="left"/>
            </w:pPr>
            <w:r>
              <w:rPr>
                <w:sz w:val="19"/>
              </w:rPr>
              <w:t xml:space="preserve">au moins un quart du plafond, pour qu’il ne reste jamais bloqué</w:t>
            </w:r>
          </w:p>
        </w:tc>
      </w:tr>
    </w:tbl>
    <w:p>
      <w:pPr>
        <w:pStyle w:val="BodyText"/>
      </w:pPr>
      <w:r>
        <w:t xml:space="preserve">Plafonds par défaut, réglables : 10 cartes en boîte 1 pour les mots (6 pour le groupe dys). Le calcul est refait à chaque étape : un élève qui a reçu peu de cartes en reçoit à nouveau davantage dès que sa réussite remonte.</w:t>
      </w:r>
    </w:p>
    <w:p>
      <w:pPr>
        <w:pStyle w:val="Heading2"/>
      </w:pPr>
      <w:r>
        <w:t xml:space="preserve">Groupe dys : quels mots, pas seulement combien</w:t>
      </w:r>
    </w:p>
    <w:p>
      <w:pPr>
        <w:pStyle w:val="FirstParagraph"/>
      </w:pPr>
      <w:r>
        <w:t xml:space="preserve">Pour les élèves du groupe dys, l’appli ne se contente pas de réduire le plafond ; elle choisit aussi les mots (réglage activé par défaut) :</w:t>
      </w:r>
    </w:p>
    <w:p>
      <w:pPr>
        <w:numPr>
          <w:ilvl w:val="0"/>
          <w:numId w:val="1006"/>
        </w:numPr>
      </w:pPr>
      <w:r>
        <w:t xml:space="preserve">à l’intérieur de chaque liste, les mots les plus fréquents d’abord : avec moins de cartes en circulation, chaque mot mémorisé doit servir le plus souvent possible ;</w:t>
      </w:r>
    </w:p>
    <w:p>
      <w:pPr>
        <w:numPr>
          <w:ilvl w:val="0"/>
          <w:numId w:val="1006"/>
        </w:numPr>
      </w:pPr>
      <w:r>
        <w:t xml:space="preserve">à fréquence voisine, les mots qui portent le moins de difficultés, puis les plus courts ; les mots qui en cumulent trois ou plus sont repoussés en fin de liste ;</w:t>
      </w:r>
    </w:p>
    <w:p>
      <w:pPr>
        <w:numPr>
          <w:ilvl w:val="0"/>
          <w:numId w:val="1006"/>
        </w:numPr>
      </w:pPr>
      <w:r>
        <w:t xml:space="preserve">jamais deux mots posant la même difficulté dans un même lot (deux mots en an / en, en ai / ei, à double consonne…), pour éviter les interférences entre graphies d’un même son ;</w:t>
      </w:r>
    </w:p>
    <w:p>
      <w:pPr>
        <w:numPr>
          <w:ilvl w:val="0"/>
          <w:numId w:val="1006"/>
        </w:numPr>
      </w:pPr>
      <w:r>
        <w:t xml:space="preserve">pas de nouvelle difficulté déjà travaillée par une carte présente en boîte 1, tant que d’autres mots sont disponibles.</w:t>
      </w:r>
    </w:p>
    <w:p>
      <w:pPr>
        <w:pStyle w:val="BodyText"/>
      </w:pPr>
      <w:r>
        <w:t xml:space="preserve">Les deux dernières règles ne bloquent jamais l’élève : faute de mot qui les respecte, l’appli complète dans l’ordre normal. L’enseignant garde la main (« Gérer » : placement à la main, historique des entrées, charge de la boîte 1 et réussite récente de chaque élève).</w:t>
      </w:r>
    </w:p>
    <w:p>
      <w:pPr>
        <w:pStyle w:val="Heading2"/>
      </w:pPr>
      <w:r>
        <w:t xml:space="preserve">Le paquet Calculs</w:t>
      </w:r>
    </w:p>
    <w:p>
      <w:pPr>
        <w:pStyle w:val="FirstParagraph"/>
      </w:pPr>
      <w:r>
        <w:t xml:space="preserve">L’appli contient aussi un paquet Calculs (faits numériques du CM1 selon Éduscol, 2025 : tables d’addition et de multiplication dans les deux sens, compléments à 10, doubles et moitiés, multiples de 25, décompositions de 60, fractions usuelles). Il relève de la mémorisation des faits numériques en mathématiques plutôt que du Dispositif 6, mais suit le même circuit : même entrée automatique, avec sa propre liste active et son propre plafond (15, groupe dys 8), sans les critères orthographiques du groupe dys. Le temps de réponse est réglable par liste (5 à 8 secondes au départ), à raccourcir au fil de l’année. « Je mémorise » se termine, pour les calculs, par une association calcul / résultat avec des étiquettes à déplacer.</w:t>
      </w:r>
    </w:p>
    <w:p>
      <w:pPr>
        <w:pStyle w:val="Heading1"/>
      </w:pPr>
      <w:r>
        <w:t xml:space="preserve">7. Rythme de révision</w:t>
      </w:r>
    </w:p>
    <w:p>
      <w:pPr>
        <w:pStyle w:val="FirstParagraph"/>
      </w:pPr>
      <w:r>
        <w:t xml:space="preserve">Le principe de répétition espacée suppose des intervalles croissants d’une boîte à l’autre. Un calendrier indicatif, à ajuster selon l’organisation de la classe, peut se présenter ainsi :</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2640"/>
        <w:gridCol w:w="2640"/>
        <w:gridCol w:w="2640"/>
      </w:tblGrid>
      <w:tr>
        <w:trPr>
          <w:tblHeader w:val="true"/>
          <w:cantSplit/>
        </w:trPr>
        <w:tc>
          <w:tcPr>
            <w:tcMar>
              <w:left w:w="70" w:type="dxa"/>
              <w:right w:w="70" w:type="dxa"/>
              <w:top w:w="70" w:type="dxa"/>
              <w:bottom w:w="70" w:type="dxa"/>
            </w:tcMar>
            <w:shd w:val="clear" w:color="auto" w:fill="DEEAF6"/>
          </w:tcPr>
          <w:p>
            <w:pPr>
              <w:pStyle w:val="Compact"/>
              <w:spacing w:after="0"/>
              <w:jc w:val="left"/>
            </w:pPr>
            <w:r>
              <w:rPr>
                <w:bCs/>
                <w:b/>
                <w:sz w:val="19"/>
              </w:rPr>
              <w:t xml:space="preserve">Boîte</w:t>
            </w:r>
          </w:p>
        </w:tc>
        <w:tc>
          <w:tcPr>
            <w:tcMar>
              <w:left w:w="70" w:type="dxa"/>
              <w:right w:w="70" w:type="dxa"/>
              <w:top w:w="70" w:type="dxa"/>
              <w:bottom w:w="70" w:type="dxa"/>
            </w:tcMar>
            <w:shd w:val="clear" w:color="auto" w:fill="DEEAF6"/>
          </w:tcPr>
          <w:p>
            <w:pPr>
              <w:pStyle w:val="Compact"/>
              <w:spacing w:after="0"/>
              <w:jc w:val="left"/>
            </w:pPr>
            <w:r>
              <w:rPr>
                <w:bCs/>
                <w:b/>
                <w:sz w:val="19"/>
              </w:rPr>
              <w:t xml:space="preserve">Fréquence de révision indicative</w:t>
            </w:r>
          </w:p>
        </w:tc>
        <w:tc>
          <w:tcPr>
            <w:tcMar>
              <w:left w:w="70" w:type="dxa"/>
              <w:right w:w="70" w:type="dxa"/>
              <w:top w:w="70" w:type="dxa"/>
              <w:bottom w:w="70" w:type="dxa"/>
            </w:tcMar>
            <w:shd w:val="clear" w:color="auto" w:fill="DEEAF6"/>
          </w:tcPr>
          <w:p>
            <w:pPr>
              <w:pStyle w:val="Compact"/>
              <w:spacing w:after="0"/>
              <w:jc w:val="left"/>
            </w:pPr>
            <w:r>
              <w:rPr>
                <w:bCs/>
                <w:b/>
                <w:sz w:val="19"/>
              </w:rPr>
              <w:t xml:space="preserve">Contenu</w:t>
            </w:r>
          </w:p>
        </w:tc>
      </w:tr>
      <w:tr>
        <w:trPr>
          <w:cantSplit/>
        </w:trPr>
        <w:tc>
          <w:tcPr>
            <w:tcMar>
              <w:left w:w="70" w:type="dxa"/>
              <w:right w:w="70" w:type="dxa"/>
              <w:top w:w="70" w:type="dxa"/>
              <w:bottom w:w="70" w:type="dxa"/>
            </w:tcMar>
          </w:tcPr>
          <w:p>
            <w:pPr>
              <w:pStyle w:val="Compact"/>
              <w:spacing w:after="0"/>
              <w:jc w:val="left"/>
            </w:pPr>
            <w:r>
              <w:rPr>
                <w:sz w:val="19"/>
              </w:rPr>
              <w:t xml:space="preserve">1</w:t>
            </w:r>
          </w:p>
        </w:tc>
        <w:tc>
          <w:tcPr>
            <w:tcMar>
              <w:left w:w="70" w:type="dxa"/>
              <w:right w:w="70" w:type="dxa"/>
              <w:top w:w="70" w:type="dxa"/>
              <w:bottom w:w="70" w:type="dxa"/>
            </w:tcMar>
          </w:tcPr>
          <w:p>
            <w:pPr>
              <w:pStyle w:val="Compact"/>
              <w:spacing w:after="0"/>
              <w:jc w:val="left"/>
            </w:pPr>
            <w:r>
              <w:rPr>
                <w:sz w:val="19"/>
              </w:rPr>
              <w:t xml:space="preserve">Chaque jour</w:t>
            </w:r>
          </w:p>
        </w:tc>
        <w:tc>
          <w:tcPr>
            <w:tcMar>
              <w:left w:w="70" w:type="dxa"/>
              <w:right w:w="70" w:type="dxa"/>
              <w:top w:w="70" w:type="dxa"/>
              <w:bottom w:w="70" w:type="dxa"/>
            </w:tcMar>
          </w:tcPr>
          <w:p>
            <w:pPr>
              <w:pStyle w:val="Compact"/>
              <w:spacing w:after="0"/>
              <w:jc w:val="left"/>
            </w:pPr>
            <w:r>
              <w:rPr>
                <w:sz w:val="19"/>
              </w:rPr>
              <w:t xml:space="preserve">Mots nouvellement ajoutés, ou revenus d’un échec</w:t>
            </w:r>
          </w:p>
        </w:tc>
      </w:tr>
      <w:tr>
        <w:trPr>
          <w:cantSplit/>
        </w:trPr>
        <w:tc>
          <w:tcPr>
            <w:tcMar>
              <w:left w:w="70" w:type="dxa"/>
              <w:right w:w="70" w:type="dxa"/>
              <w:top w:w="70" w:type="dxa"/>
              <w:bottom w:w="70" w:type="dxa"/>
            </w:tcMar>
          </w:tcPr>
          <w:p>
            <w:pPr>
              <w:pStyle w:val="Compact"/>
              <w:spacing w:after="0"/>
              <w:jc w:val="left"/>
            </w:pPr>
            <w:r>
              <w:rPr>
                <w:sz w:val="19"/>
              </w:rPr>
              <w:t xml:space="preserve">2</w:t>
            </w:r>
          </w:p>
        </w:tc>
        <w:tc>
          <w:tcPr>
            <w:tcMar>
              <w:left w:w="70" w:type="dxa"/>
              <w:right w:w="70" w:type="dxa"/>
              <w:top w:w="70" w:type="dxa"/>
              <w:bottom w:w="70" w:type="dxa"/>
            </w:tcMar>
          </w:tcPr>
          <w:p>
            <w:pPr>
              <w:pStyle w:val="Compact"/>
              <w:spacing w:after="0"/>
              <w:jc w:val="left"/>
            </w:pPr>
            <w:r>
              <w:rPr>
                <w:sz w:val="19"/>
              </w:rPr>
              <w:t xml:space="preserve">Deux fois par semaine</w:t>
            </w:r>
          </w:p>
        </w:tc>
        <w:tc>
          <w:tcPr>
            <w:tcMar>
              <w:left w:w="70" w:type="dxa"/>
              <w:right w:w="70" w:type="dxa"/>
              <w:top w:w="70" w:type="dxa"/>
              <w:bottom w:w="70" w:type="dxa"/>
            </w:tcMar>
          </w:tcPr>
          <w:p>
            <w:pPr>
              <w:pStyle w:val="Compact"/>
              <w:spacing w:after="0"/>
              <w:jc w:val="left"/>
            </w:pPr>
            <w:r>
              <w:rPr>
                <w:sz w:val="19"/>
              </w:rPr>
              <w:t xml:space="preserve">Mots restitués correctement une première fois</w:t>
            </w:r>
          </w:p>
        </w:tc>
      </w:tr>
      <w:tr>
        <w:trPr>
          <w:cantSplit/>
        </w:trPr>
        <w:tc>
          <w:tcPr>
            <w:tcMar>
              <w:left w:w="70" w:type="dxa"/>
              <w:right w:w="70" w:type="dxa"/>
              <w:top w:w="70" w:type="dxa"/>
              <w:bottom w:w="70" w:type="dxa"/>
            </w:tcMar>
          </w:tcPr>
          <w:p>
            <w:pPr>
              <w:pStyle w:val="Compact"/>
              <w:spacing w:after="0"/>
              <w:jc w:val="left"/>
            </w:pPr>
            <w:r>
              <w:rPr>
                <w:sz w:val="19"/>
              </w:rPr>
              <w:t xml:space="preserve">3</w:t>
            </w:r>
          </w:p>
        </w:tc>
        <w:tc>
          <w:tcPr>
            <w:tcMar>
              <w:left w:w="70" w:type="dxa"/>
              <w:right w:w="70" w:type="dxa"/>
              <w:top w:w="70" w:type="dxa"/>
              <w:bottom w:w="70" w:type="dxa"/>
            </w:tcMar>
          </w:tcPr>
          <w:p>
            <w:pPr>
              <w:pStyle w:val="Compact"/>
              <w:spacing w:after="0"/>
              <w:jc w:val="left"/>
            </w:pPr>
            <w:r>
              <w:rPr>
                <w:sz w:val="19"/>
              </w:rPr>
              <w:t xml:space="preserve">Une fois par semaine</w:t>
            </w:r>
          </w:p>
        </w:tc>
        <w:tc>
          <w:tcPr>
            <w:tcMar>
              <w:left w:w="70" w:type="dxa"/>
              <w:right w:w="70" w:type="dxa"/>
              <w:top w:w="70" w:type="dxa"/>
              <w:bottom w:w="70" w:type="dxa"/>
            </w:tcMar>
          </w:tcPr>
          <w:p>
            <w:pPr>
              <w:pStyle w:val="Compact"/>
              <w:spacing w:after="0"/>
              <w:jc w:val="left"/>
            </w:pPr>
            <w:r>
              <w:rPr>
                <w:sz w:val="19"/>
              </w:rPr>
              <w:t xml:space="preserve">Mots restitués correctement deux fois de suite</w:t>
            </w:r>
          </w:p>
        </w:tc>
      </w:tr>
      <w:tr>
        <w:trPr>
          <w:cantSplit/>
        </w:trPr>
        <w:tc>
          <w:tcPr>
            <w:tcMar>
              <w:left w:w="70" w:type="dxa"/>
              <w:right w:w="70" w:type="dxa"/>
              <w:top w:w="70" w:type="dxa"/>
              <w:bottom w:w="70" w:type="dxa"/>
            </w:tcMar>
          </w:tcPr>
          <w:p>
            <w:pPr>
              <w:pStyle w:val="Compact"/>
              <w:spacing w:after="0"/>
              <w:jc w:val="left"/>
            </w:pPr>
            <w:r>
              <w:rPr>
                <w:sz w:val="19"/>
              </w:rPr>
              <w:t xml:space="preserve">4</w:t>
            </w:r>
          </w:p>
        </w:tc>
        <w:tc>
          <w:tcPr>
            <w:tcMar>
              <w:left w:w="70" w:type="dxa"/>
              <w:right w:w="70" w:type="dxa"/>
              <w:top w:w="70" w:type="dxa"/>
              <w:bottom w:w="70" w:type="dxa"/>
            </w:tcMar>
          </w:tcPr>
          <w:p>
            <w:pPr>
              <w:pStyle w:val="Compact"/>
              <w:spacing w:after="0"/>
              <w:jc w:val="left"/>
            </w:pPr>
            <w:r>
              <w:rPr>
                <w:sz w:val="19"/>
              </w:rPr>
              <w:t xml:space="preserve">Une fois toutes les deux semaines</w:t>
            </w:r>
          </w:p>
        </w:tc>
        <w:tc>
          <w:tcPr>
            <w:tcMar>
              <w:left w:w="70" w:type="dxa"/>
              <w:right w:w="70" w:type="dxa"/>
              <w:top w:w="70" w:type="dxa"/>
              <w:bottom w:w="70" w:type="dxa"/>
            </w:tcMar>
          </w:tcPr>
          <w:p>
            <w:pPr>
              <w:pStyle w:val="Compact"/>
              <w:spacing w:after="0"/>
              <w:jc w:val="left"/>
            </w:pPr>
            <w:r>
              <w:rPr>
                <w:sz w:val="19"/>
              </w:rPr>
              <w:t xml:space="preserve">Mots proches de la maîtrise</w:t>
            </w:r>
          </w:p>
        </w:tc>
      </w:tr>
      <w:tr>
        <w:trPr>
          <w:cantSplit/>
        </w:trPr>
        <w:tc>
          <w:tcPr>
            <w:tcMar>
              <w:left w:w="70" w:type="dxa"/>
              <w:right w:w="70" w:type="dxa"/>
              <w:top w:w="70" w:type="dxa"/>
              <w:bottom w:w="70" w:type="dxa"/>
            </w:tcMar>
          </w:tcPr>
          <w:p>
            <w:pPr>
              <w:pStyle w:val="Compact"/>
              <w:spacing w:after="0"/>
              <w:jc w:val="left"/>
            </w:pPr>
            <w:r>
              <w:rPr>
                <w:sz w:val="19"/>
              </w:rPr>
              <w:t xml:space="preserve">5</w:t>
            </w:r>
          </w:p>
        </w:tc>
        <w:tc>
          <w:tcPr>
            <w:tcMar>
              <w:left w:w="70" w:type="dxa"/>
              <w:right w:w="70" w:type="dxa"/>
              <w:top w:w="70" w:type="dxa"/>
              <w:bottom w:w="70" w:type="dxa"/>
            </w:tcMar>
          </w:tcPr>
          <w:p>
            <w:pPr>
              <w:pStyle w:val="Compact"/>
              <w:spacing w:after="0"/>
              <w:jc w:val="left"/>
            </w:pPr>
            <w:r>
              <w:rPr>
                <w:sz w:val="19"/>
              </w:rPr>
              <w:t xml:space="preserve">Une fois par mois</w:t>
            </w:r>
          </w:p>
        </w:tc>
        <w:tc>
          <w:tcPr>
            <w:tcMar>
              <w:left w:w="70" w:type="dxa"/>
              <w:right w:w="70" w:type="dxa"/>
              <w:top w:w="70" w:type="dxa"/>
              <w:bottom w:w="70" w:type="dxa"/>
            </w:tcMar>
          </w:tcPr>
          <w:p>
            <w:pPr>
              <w:pStyle w:val="Compact"/>
              <w:spacing w:after="0"/>
              <w:jc w:val="left"/>
            </w:pPr>
            <w:r>
              <w:rPr>
                <w:sz w:val="19"/>
              </w:rPr>
              <w:t xml:space="preserve">Mots quasi maîtrisés, en dernière vérification avant sortie du circuit</w:t>
            </w:r>
          </w:p>
        </w:tc>
      </w:tr>
    </w:tbl>
    <w:p>
      <w:pPr>
        <w:pStyle w:val="BodyText"/>
      </w:pPr>
      <w:r>
        <w:t xml:space="preserve">Dans l’appli, ce rythme est réalisé par un planning de 16 étapes, à raison d’une étape par jour et par paquet : la boîte 1 s’ouvre à chaque étape, la boîte 2 une étape sur deux, la boîte 3 une sur quatre, la boîte 4 une sur huit et la boîte 5 une sur seize. Avec quatre jours de classe par semaine, on retrouve à peu près les fréquences du tableau. Une étape commencée est bloquée jusqu’au lendemain, ce qui garantit l’espacement ; l’enseignant peut autoriser une seconde étape exceptionnellement.</w:t>
      </w:r>
    </w:p>
    <w:bookmarkEnd w:id="25"/>
    <w:bookmarkStart w:id="26" w:name="modalités-de-passation"/>
    <w:p>
      <w:pPr>
        <w:pStyle w:val="Heading1"/>
      </w:pPr>
      <w:r>
        <w:t xml:space="preserve">8. Modalités de passation</w:t>
      </w:r>
    </w:p>
    <w:p>
      <w:pPr>
        <w:numPr>
          <w:ilvl w:val="0"/>
          <w:numId w:val="1005"/>
        </w:numPr>
      </w:pPr>
      <w:r>
        <w:t xml:space="preserve">Auto-interrogation sur la tablette (« Je me teste ») : l’élève écoute le mot, l’écrit, et l’appli corrige ; c’est la modalité principale. Les erreurs d’orthographe sont classées automatiquement par type (son, graphie, lettre oubliée, double consonne, lettre muette, accent, pluriel…).</w:t>
      </w:r>
    </w:p>
    <w:p>
      <w:pPr>
        <w:numPr>
          <w:ilvl w:val="0"/>
          <w:numId w:val="1005"/>
        </w:numPr>
      </w:pPr>
      <w:r>
        <w:t xml:space="preserve">Interrogation entre pairs : un camarade fait passer les cartes et vérifie la réponse au verso.</w:t>
      </w:r>
    </w:p>
    <w:p>
      <w:pPr>
        <w:numPr>
          <w:ilvl w:val="0"/>
          <w:numId w:val="1005"/>
        </w:numPr>
      </w:pPr>
      <w:r>
        <w:t xml:space="preserve">Interrogation par l’enseignant : ponctuellement, pour un contrôle du fonctionnement du circuit plus que pour une évaluation notée.</w:t>
      </w:r>
    </w:p>
    <w:p>
      <w:pPr>
        <w:numPr>
          <w:ilvl w:val="0"/>
          <w:numId w:val="1006"/>
        </w:numPr>
      </w:pPr>
      <w:r>
        <w:t xml:space="preserve">« Je mémorise » : après le test, les erreurs du jour sont retravaillées par lots, mots et calculs mélangés (regarder, cacher, écrire).</w:t>
      </w:r>
    </w:p>
    <w:p>
      <w:pPr>
        <w:pStyle w:val="FirstParagraph"/>
      </w:pPr>
      <w:r>
        <w:t xml:space="preserve">Dans tous les cas, le passage d’une boîte à l’autre n’est ni noté ni corrigé au sens des écrits longs (Dispositif 7a) : il s’agit d’un outil d’entraînement personnel, dont le seul enjeu est la progression des cartes dans le circuit.</w:t>
      </w:r>
    </w:p>
    <w:bookmarkEnd w:id="26"/>
    <w:bookmarkStart w:id="27" w:name="points-non-tranchés"/>
    <w:p>
      <w:pPr>
        <w:pStyle w:val="Heading1"/>
      </w:pPr>
      <w:r>
        <w:t xml:space="preserve">9. Suivi des élèves dans le tableau de bord</w:t>
      </w:r>
    </w:p>
    <w:p>
      <w:pPr>
        <w:pStyle w:val="FirstParagraph"/>
      </w:pPr>
      <w:r>
        <w:t xml:space="preserve">Les données restent sur la tablette ; pour le suivi, l’enseignant exporte la sauvegarde de l’appli (espace enseignant) et l’importe dans le tableau de bord de la classe, par exemple chaque vendredi. Une fiche de la tablette est associée une fois pour toutes à un élève du tableau de bord (utile pour deux élèves au même prénom). Le tableau de bord en tire :</w:t>
      </w:r>
    </w:p>
    <w:p>
      <w:pPr>
        <w:numPr>
          <w:ilvl w:val="0"/>
          <w:numId w:val="1006"/>
        </w:numPr>
      </w:pPr>
      <w:r>
        <w:t xml:space="preserve">dans le bilan de chaque élève : mots et calculs mémorisés et en circuit, progression par liste (la liste active d’abord), charge de la boîte 1 et réussite récente, types d’erreurs d’orthographe les plus fréquents ;</w:t>
      </w:r>
    </w:p>
    <w:p>
      <w:pPr>
        <w:numPr>
          <w:ilvl w:val="0"/>
          <w:numId w:val="1006"/>
        </w:numPr>
      </w:pPr>
      <w:r>
        <w:t xml:space="preserve">dans « Élèves à accompagner » : les élèves en consolidation, c’est-à-dire sous 50 % de réussite en boîte 1, qui ne reçoivent plus de nouvelles cartes ;</w:t>
      </w:r>
    </w:p>
    <w:p>
      <w:pPr>
        <w:numPr>
          <w:ilvl w:val="0"/>
          <w:numId w:val="1006"/>
        </w:numPr>
      </w:pPr>
      <w:r>
        <w:t xml:space="preserve">pour la classe : où en est chaque mot de la liste active (réserve, boîte 1, boîtes 2 à 5, mémorisé), les mots qui retombent chez plusieurs élèves d’un import à l’autre, et une proposition de mots pour la dictée de la semaine ;</w:t>
      </w:r>
    </w:p>
    <w:p>
      <w:pPr>
        <w:numPr>
          <w:ilvl w:val="0"/>
          <w:numId w:val="1006"/>
        </w:numPr>
      </w:pPr>
      <w:r>
        <w:t xml:space="preserve">un tableau de l’entrée automatique en boîte 1 (charge, réussite, dernière entrée), à consulter seulement : il n’y a plus de cartes à faire entrer à la main.</w:t>
      </w:r>
    </w:p>
    <w:p>
      <w:pPr>
        <w:pStyle w:val="Heading1"/>
      </w:pPr>
      <w:r>
        <w:t xml:space="preserve">10. Points tranchés et points encore ouverts</w:t>
      </w:r>
    </w:p>
    <w:p>
      <w:pPr>
        <w:pStyle w:val="Heading2"/>
      </w:pPr>
      <w:r>
        <w:t xml:space="preserve">Tranchés (octobre 2026)</w:t>
      </w:r>
    </w:p>
    <w:p>
      <w:pPr>
        <w:numPr>
          <w:ilvl w:val="0"/>
          <w:numId w:val="1006"/>
        </w:numPr>
      </w:pPr>
      <w:r>
        <w:rPr>
          <w:bCs/>
          <w:b/>
        </w:rPr>
        <w:t xml:space="preserve">Support</w:t>
      </w:r>
      <w:r>
        <w:t xml:space="preserve"> : l’appli « Boîtes pour mémoriser » sur tablette, un paquet Mots et un paquet Calculs, une fiche par élève.</w:t>
      </w:r>
    </w:p>
    <w:p>
      <w:pPr>
        <w:numPr>
          <w:ilvl w:val="0"/>
          <w:numId w:val="1006"/>
        </w:numPr>
      </w:pPr>
      <w:r>
        <w:rPr>
          <w:bCs/>
          <w:b/>
        </w:rPr>
        <w:t xml:space="preserve">Un seul circuit</w:t>
      </w:r>
      <w:r>
        <w:t xml:space="preserve"> pour les mots des ceintures V3/V4 et ceux du carnet : un seul paquet Mots, l’origine des mots étant marquée par le nom de leur liste.</w:t>
      </w:r>
    </w:p>
    <w:p>
      <w:pPr>
        <w:numPr>
          <w:ilvl w:val="0"/>
          <w:numId w:val="1006"/>
        </w:numPr>
      </w:pPr>
      <w:r>
        <w:rPr>
          <w:bCs/>
          <w:b/>
        </w:rPr>
        <w:t xml:space="preserve">Sortie du circuit</w:t>
      </w:r>
      <w:r>
        <w:t xml:space="preserve"> : une seule réussite en boîte 5. </w:t>
      </w:r>
      <w:r>
        <w:rPr>
          <w:bCs/>
          <w:b/>
        </w:rPr>
        <w:t xml:space="preserve">Échec</w:t>
      </w:r>
      <w:r>
        <w:t xml:space="preserve"> : retour en boîte 1 depuis les boîtes 1 à 3, en boîte 2 depuis les boîtes 4 et 5.</w:t>
      </w:r>
    </w:p>
    <w:p>
      <w:pPr>
        <w:numPr>
          <w:ilvl w:val="0"/>
          <w:numId w:val="1006"/>
        </w:numPr>
      </w:pPr>
      <w:r>
        <w:rPr>
          <w:bCs/>
          <w:b/>
        </w:rPr>
        <w:t xml:space="preserve">Surcharge de cartes</w:t>
      </w:r>
      <w:r>
        <w:t xml:space="preserve"> : réglée par l’entrée automatique en boîte 1, selon un plafond et la réussite récente de chaque élève (§6).</w:t>
      </w:r>
    </w:p>
    <w:p>
      <w:pPr>
        <w:numPr>
          <w:ilvl w:val="0"/>
          <w:numId w:val="1006"/>
        </w:numPr>
      </w:pPr>
      <w:r>
        <w:rPr>
          <w:bCs/>
          <w:b/>
        </w:rPr>
        <w:t xml:space="preserve">Support de consultation de Manulex-infra</w:t>
      </w:r>
      <w:r>
        <w:t xml:space="preserve"> : l’export (fichier .csv) importé une fois dans l’appli, qui lit lui-même la fréquence de chaque mot.</w:t>
      </w:r>
    </w:p>
    <w:p>
      <w:pPr>
        <w:numPr>
          <w:ilvl w:val="0"/>
          <w:numId w:val="1006"/>
        </w:numPr>
      </w:pPr>
      <w:r>
        <w:rPr>
          <w:bCs/>
          <w:b/>
        </w:rPr>
        <w:t xml:space="preserve">Version de Manulex-infra</w:t>
      </w:r>
      <w:r>
        <w:t xml:space="preserve"> : l’export utilisé donne la fréquence « CE2 au CM2 », équivalent de la feuille « Grade 3 to 5 » ; ses valeurs sont identiques à celles de la Séquence 1 (musique 175,1 ; décrocher 8,9). Les valeurs de la Séquence 2, relevées dans la colonne « Grades 1-5 », peuvent différer légèrement (repasser : 7,5 au lieu de 9,9).</w:t>
      </w:r>
    </w:p>
    <w:p>
      <w:pPr>
        <w:numPr>
          <w:ilvl w:val="0"/>
          <w:numId w:val="1006"/>
        </w:numPr>
      </w:pPr>
      <w:r>
        <w:rPr>
          <w:bCs/>
          <w:b/>
        </w:rPr>
        <w:t xml:space="preserve">Présentation du mot</w:t>
      </w:r>
      <w:r>
        <w:t xml:space="preserve"> : lu à voix haute, avec écoute dans une phrase ; indice « Pense à » en boîtes 1 et 2 seulement.</w:t>
      </w:r>
    </w:p>
    <w:p>
      <w:pPr>
        <w:pStyle w:val="Heading2"/>
      </w:pPr>
      <w:r>
        <w:t xml:space="preserve">Encore ouverts</w:t>
      </w:r>
    </w:p>
    <w:p>
      <w:pPr>
        <w:numPr>
          <w:ilvl w:val="0"/>
          <w:numId w:val="1006"/>
        </w:numPr>
      </w:pPr>
      <w:r>
        <w:t xml:space="preserve">Créneau à réserver dans la semaine (Dispositif global, §14) pour les temps de révision quotidienne : sur la tablette, l’étape du jour peut se faire à tout moment de la journée ; un créneau fixe reste à décider pour garantir que chaque élève la fasse.</w:t>
      </w:r>
    </w:p>
    <w:p>
      <w:pPr>
        <w:numPr>
          <w:ilvl w:val="0"/>
          <w:numId w:val="1006"/>
        </w:numPr>
      </w:pPr>
      <w:r>
        <w:t xml:space="preserve">Valeur exacte du seuil U : 10 par défaut dans l’appli, réglable ; à confirmer à l’usage selon la charge de la boîte 1 observée dans le tableau de bord.</w:t>
      </w:r>
    </w:p>
    <w:p>
      <w:pPr>
        <w:numPr>
          <w:ilvl w:val="0"/>
          <w:numId w:val="1006"/>
        </w:numPr>
      </w:pPr>
      <w:r>
        <w:t xml:space="preserve">Traitement des mots absents de Manulex-infra (mots composés, mots très rares) : à ce stade, laissé à l’appréciation de l’enseignant plutôt que régi par une règle du dispositif.</w:t>
      </w:r>
    </w:p>
    <w:p>
      <w:pPr>
        <w:numPr>
          <w:ilvl w:val="0"/>
          <w:numId w:val="1006"/>
        </w:numPr>
      </w:pPr>
      <w:r>
        <w:t xml:space="preserve">Passage obligatoire par le carnet de mots avant la mise en carte (§4) : exigence propre au dispositif, que le programme n’impose pas (il retient la fréquence, pas l’origine du mot). À maintenir, ou à assouplir pour des mots fréquents rencontrés en lecture qui n’auraient pas été notés dans le carnet.</w:t>
      </w:r>
    </w:p>
    <w:bookmarkEnd w:id="27"/>
    <w:bookmarkStart w:id="34" w:name="X6299af5eb6a5a848a913c9f139a74c4d5a4a51c"/>
    <w:p>
      <w:pPr>
        <w:pStyle w:val="Heading1"/>
      </w:pPr>
      <w:r>
        <w:t xml:space="preserve">11. Annexe — Repère Manulex-infra et exemple d’application (Séquence 1)</w:t>
      </w:r>
    </w:p>
    <w:p>
      <w:pPr>
        <w:pStyle w:val="FirstParagraph"/>
      </w:pPr>
      <w:r>
        <w:t xml:space="preserve">Cette annexe ne recense plus, comme précédemment, une liste de mots par échelon de l’échelle Dubois-Buyse : cette échelle est abandonnée (§5), et le Dispositif 6 ne fonctionne désormais qu’avec la base de fréquence lexicale Manulex-infra. Elle rappelle la méthode de vérification d’un mot dans cette base, puis en donne deux exemples complets d’application : la sélection Leitner établie pour la Séquence 1 (Bernard Friot, « Exercices ») et celle de la Séquence 2 (Bernard Friot, « Fer à repasser »).</w:t>
      </w:r>
    </w:p>
    <w:p>
      <w:pPr>
        <w:pStyle w:val="BodyText"/>
      </w:pPr>
      <w:r>
        <w:t xml:space="preserve">Méthode : pour un mot candidat au circuit, on consulte sa fréquence U (occurrences par million de mots) dans la feuille « Grade 3 to 5 » de Manulex-infra, retenue comme équivalent du palier Cycle 3/CM1. Le mot entre dans le circuit si U atteint le seuil retenu par l’enseignant (§5) ; en dessous, il reste consigné dans le carnet de mots (Dispositif 5) sans mémorisation systématique. Un mot absent de la base (mot composé notamment) fait l’objet d’une appréciation au cas par cas.</w:t>
      </w:r>
    </w:p>
    <w:bookmarkStart w:id="28" w:name="X788b2c021149b4075c86e11fe93ae0abda543db"/>
    <w:p>
      <w:pPr>
        <w:pStyle w:val="Heading2"/>
      </w:pPr>
      <w:r>
        <w:t xml:space="preserve">Séquence 1 — Mots vérifiés et retenus (seuil U ≥ 10)</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1980"/>
        <w:gridCol w:w="1980"/>
        <w:gridCol w:w="1980"/>
        <w:gridCol w:w="1980"/>
      </w:tblGrid>
      <w:tr>
        <w:trPr>
          <w:tblHeader w:val="true"/>
          <w:cantSplit/>
        </w:trPr>
        <w:tc>
          <w:tcPr>
            <w:tcMar>
              <w:left w:w="70" w:type="dxa"/>
              <w:right w:w="70" w:type="dxa"/>
              <w:top w:w="70" w:type="dxa"/>
              <w:bottom w:w="70" w:type="dxa"/>
            </w:tcMar>
            <w:shd w:val="clear" w:color="auto" w:fill="DEEAF6"/>
          </w:tcPr>
          <w:p>
            <w:pPr>
              <w:pStyle w:val="Compact"/>
              <w:spacing w:after="0"/>
              <w:jc w:val="left"/>
            </w:pPr>
            <w:r>
              <w:rPr>
                <w:bCs/>
                <w:b/>
                <w:sz w:val="19"/>
              </w:rPr>
              <w:t xml:space="preserve">Mot</w:t>
            </w:r>
          </w:p>
        </w:tc>
        <w:tc>
          <w:tcPr>
            <w:tcMar>
              <w:left w:w="70" w:type="dxa"/>
              <w:right w:w="70" w:type="dxa"/>
              <w:top w:w="70" w:type="dxa"/>
              <w:bottom w:w="70" w:type="dxa"/>
            </w:tcMar>
            <w:shd w:val="clear" w:color="auto" w:fill="DEEAF6"/>
          </w:tcPr>
          <w:p>
            <w:pPr>
              <w:pStyle w:val="Compact"/>
              <w:spacing w:after="0"/>
              <w:jc w:val="left"/>
            </w:pPr>
            <w:r>
              <w:rPr>
                <w:bCs/>
                <w:b/>
                <w:sz w:val="19"/>
              </w:rPr>
              <w:t xml:space="preserve">U (Cycle 3)</w:t>
            </w:r>
          </w:p>
        </w:tc>
        <w:tc>
          <w:tcPr>
            <w:tcMar>
              <w:left w:w="70" w:type="dxa"/>
              <w:right w:w="70" w:type="dxa"/>
              <w:top w:w="70" w:type="dxa"/>
              <w:bottom w:w="70" w:type="dxa"/>
            </w:tcMar>
            <w:shd w:val="clear" w:color="auto" w:fill="DEEAF6"/>
          </w:tcPr>
          <w:p>
            <w:pPr>
              <w:pStyle w:val="Compact"/>
              <w:spacing w:after="0"/>
              <w:jc w:val="left"/>
            </w:pPr>
            <w:r>
              <w:rPr>
                <w:bCs/>
                <w:b/>
                <w:sz w:val="19"/>
              </w:rPr>
              <w:t xml:space="preserve">Origine dans la séquence</w:t>
            </w:r>
          </w:p>
        </w:tc>
        <w:tc>
          <w:tcPr>
            <w:tcMar>
              <w:left w:w="70" w:type="dxa"/>
              <w:right w:w="70" w:type="dxa"/>
              <w:top w:w="70" w:type="dxa"/>
              <w:bottom w:w="70" w:type="dxa"/>
            </w:tcMar>
            <w:shd w:val="clear" w:color="auto" w:fill="DEEAF6"/>
          </w:tcPr>
          <w:p>
            <w:pPr>
              <w:pStyle w:val="Compact"/>
              <w:spacing w:after="0"/>
              <w:jc w:val="left"/>
            </w:pPr>
            <w:r>
              <w:rPr>
                <w:bCs/>
                <w:b/>
                <w:sz w:val="19"/>
              </w:rPr>
              <w:t xml:space="preserve">Pourquoi</w:t>
            </w:r>
          </w:p>
        </w:tc>
      </w:tr>
      <w:tr>
        <w:trPr>
          <w:cantSplit/>
        </w:trPr>
        <w:tc>
          <w:tcPr>
            <w:tcMar>
              <w:left w:w="70" w:type="dxa"/>
              <w:right w:w="70" w:type="dxa"/>
              <w:top w:w="70" w:type="dxa"/>
              <w:bottom w:w="70" w:type="dxa"/>
            </w:tcMar>
          </w:tcPr>
          <w:p>
            <w:pPr>
              <w:pStyle w:val="Compact"/>
              <w:spacing w:after="0"/>
              <w:jc w:val="left"/>
            </w:pPr>
            <w:r>
              <w:rPr>
                <w:sz w:val="19"/>
              </w:rPr>
              <w:t xml:space="preserve">géographie</w:t>
            </w:r>
          </w:p>
        </w:tc>
        <w:tc>
          <w:tcPr>
            <w:tcMar>
              <w:left w:w="70" w:type="dxa"/>
              <w:right w:w="70" w:type="dxa"/>
              <w:top w:w="70" w:type="dxa"/>
              <w:bottom w:w="70" w:type="dxa"/>
            </w:tcMar>
          </w:tcPr>
          <w:p>
            <w:pPr>
              <w:pStyle w:val="Compact"/>
              <w:spacing w:after="0"/>
              <w:jc w:val="left"/>
            </w:pPr>
            <w:r>
              <w:rPr>
                <w:sz w:val="19"/>
              </w:rPr>
              <w:t xml:space="preserve">21,2</w:t>
            </w:r>
          </w:p>
        </w:tc>
        <w:tc>
          <w:tcPr>
            <w:tcMar>
              <w:left w:w="70" w:type="dxa"/>
              <w:right w:w="70" w:type="dxa"/>
              <w:top w:w="70" w:type="dxa"/>
              <w:bottom w:w="70" w:type="dxa"/>
            </w:tcMar>
          </w:tcPr>
          <w:p>
            <w:pPr>
              <w:pStyle w:val="Compact"/>
              <w:spacing w:after="0"/>
              <w:jc w:val="left"/>
            </w:pPr>
            <w:r>
              <w:rPr>
                <w:sz w:val="19"/>
              </w:rPr>
              <w:t xml:space="preserve">V1 (matières scolaires)</w:t>
            </w:r>
          </w:p>
        </w:tc>
        <w:tc>
          <w:tcPr>
            <w:tcMar>
              <w:left w:w="70" w:type="dxa"/>
              <w:right w:w="70" w:type="dxa"/>
              <w:top w:w="70" w:type="dxa"/>
              <w:bottom w:w="70" w:type="dxa"/>
            </w:tcMar>
          </w:tcPr>
          <w:p>
            <w:pPr>
              <w:pStyle w:val="Compact"/>
              <w:spacing w:after="0"/>
              <w:jc w:val="left"/>
            </w:pPr>
            <w:r>
              <w:rPr>
                <w:sz w:val="19"/>
              </w:rPr>
              <w:t xml:space="preserve">enchaînement -gie, g qui se prononce différemment selon la voyelle</w:t>
            </w:r>
          </w:p>
        </w:tc>
      </w:tr>
      <w:tr>
        <w:trPr>
          <w:cantSplit/>
        </w:trPr>
        <w:tc>
          <w:tcPr>
            <w:tcMar>
              <w:left w:w="70" w:type="dxa"/>
              <w:right w:w="70" w:type="dxa"/>
              <w:top w:w="70" w:type="dxa"/>
              <w:bottom w:w="70" w:type="dxa"/>
            </w:tcMar>
          </w:tcPr>
          <w:p>
            <w:pPr>
              <w:pStyle w:val="Compact"/>
              <w:spacing w:after="0"/>
              <w:jc w:val="left"/>
            </w:pPr>
            <w:r>
              <w:rPr>
                <w:sz w:val="19"/>
              </w:rPr>
              <w:t xml:space="preserve">sciences</w:t>
            </w:r>
          </w:p>
        </w:tc>
        <w:tc>
          <w:tcPr>
            <w:tcMar>
              <w:left w:w="70" w:type="dxa"/>
              <w:right w:w="70" w:type="dxa"/>
              <w:top w:w="70" w:type="dxa"/>
              <w:bottom w:w="70" w:type="dxa"/>
            </w:tcMar>
          </w:tcPr>
          <w:p>
            <w:pPr>
              <w:pStyle w:val="Compact"/>
              <w:spacing w:after="0"/>
              <w:jc w:val="left"/>
            </w:pPr>
            <w:r>
              <w:rPr>
                <w:sz w:val="19"/>
              </w:rPr>
              <w:t xml:space="preserve">26,5</w:t>
            </w:r>
          </w:p>
        </w:tc>
        <w:tc>
          <w:tcPr>
            <w:tcMar>
              <w:left w:w="70" w:type="dxa"/>
              <w:right w:w="70" w:type="dxa"/>
              <w:top w:w="70" w:type="dxa"/>
              <w:bottom w:w="70" w:type="dxa"/>
            </w:tcMar>
          </w:tcPr>
          <w:p>
            <w:pPr>
              <w:pStyle w:val="Compact"/>
              <w:spacing w:after="0"/>
              <w:jc w:val="left"/>
            </w:pPr>
            <w:r>
              <w:rPr>
                <w:sz w:val="19"/>
              </w:rPr>
              <w:t xml:space="preserve">V1 (brainstorming des matières)</w:t>
            </w:r>
          </w:p>
        </w:tc>
        <w:tc>
          <w:tcPr>
            <w:tcMar>
              <w:left w:w="70" w:type="dxa"/>
              <w:right w:w="70" w:type="dxa"/>
              <w:top w:w="70" w:type="dxa"/>
              <w:bottom w:w="70" w:type="dxa"/>
            </w:tcMar>
          </w:tcPr>
          <w:p>
            <w:pPr>
              <w:pStyle w:val="Compact"/>
              <w:spacing w:after="0"/>
              <w:jc w:val="left"/>
            </w:pPr>
            <w:r>
              <w:rPr>
                <w:sz w:val="19"/>
              </w:rPr>
              <w:t xml:space="preserve">graphie de [s] : sc</w:t>
            </w:r>
          </w:p>
        </w:tc>
      </w:tr>
      <w:tr>
        <w:trPr>
          <w:cantSplit/>
        </w:trPr>
        <w:tc>
          <w:tcPr>
            <w:tcMar>
              <w:left w:w="70" w:type="dxa"/>
              <w:right w:w="70" w:type="dxa"/>
              <w:top w:w="70" w:type="dxa"/>
              <w:bottom w:w="70" w:type="dxa"/>
            </w:tcMar>
          </w:tcPr>
          <w:p>
            <w:pPr>
              <w:pStyle w:val="Compact"/>
              <w:spacing w:after="0"/>
              <w:jc w:val="left"/>
            </w:pPr>
            <w:r>
              <w:rPr>
                <w:sz w:val="19"/>
              </w:rPr>
              <w:t xml:space="preserve">musique</w:t>
            </w:r>
          </w:p>
        </w:tc>
        <w:tc>
          <w:tcPr>
            <w:tcMar>
              <w:left w:w="70" w:type="dxa"/>
              <w:right w:w="70" w:type="dxa"/>
              <w:top w:w="70" w:type="dxa"/>
              <w:bottom w:w="70" w:type="dxa"/>
            </w:tcMar>
          </w:tcPr>
          <w:p>
            <w:pPr>
              <w:pStyle w:val="Compact"/>
              <w:spacing w:after="0"/>
              <w:jc w:val="left"/>
            </w:pPr>
            <w:r>
              <w:rPr>
                <w:sz w:val="19"/>
              </w:rPr>
              <w:t xml:space="preserve">175,1</w:t>
            </w:r>
          </w:p>
        </w:tc>
        <w:tc>
          <w:tcPr>
            <w:tcMar>
              <w:left w:w="70" w:type="dxa"/>
              <w:right w:w="70" w:type="dxa"/>
              <w:top w:w="70" w:type="dxa"/>
              <w:bottom w:w="70" w:type="dxa"/>
            </w:tcMar>
          </w:tcPr>
          <w:p>
            <w:pPr>
              <w:pStyle w:val="Compact"/>
              <w:spacing w:after="0"/>
              <w:jc w:val="left"/>
            </w:pPr>
            <w:r>
              <w:rPr>
                <w:sz w:val="19"/>
              </w:rPr>
              <w:t xml:space="preserve">V1 (brainstorming des matières)</w:t>
            </w:r>
          </w:p>
        </w:tc>
        <w:tc>
          <w:tcPr>
            <w:tcMar>
              <w:left w:w="70" w:type="dxa"/>
              <w:right w:w="70" w:type="dxa"/>
              <w:top w:w="70" w:type="dxa"/>
              <w:bottom w:w="70" w:type="dxa"/>
            </w:tcMar>
          </w:tcPr>
          <w:p>
            <w:pPr>
              <w:pStyle w:val="Compact"/>
              <w:spacing w:after="0"/>
              <w:jc w:val="left"/>
            </w:pPr>
            <w:r>
              <w:rPr>
                <w:sz w:val="19"/>
              </w:rPr>
              <w:t xml:space="preserve">graphie de [k] : qu</w:t>
            </w:r>
          </w:p>
        </w:tc>
      </w:tr>
      <w:tr>
        <w:trPr>
          <w:cantSplit/>
        </w:trPr>
        <w:tc>
          <w:tcPr>
            <w:tcMar>
              <w:left w:w="70" w:type="dxa"/>
              <w:right w:w="70" w:type="dxa"/>
              <w:top w:w="70" w:type="dxa"/>
              <w:bottom w:w="70" w:type="dxa"/>
            </w:tcMar>
          </w:tcPr>
          <w:p>
            <w:pPr>
              <w:pStyle w:val="Compact"/>
              <w:spacing w:after="0"/>
              <w:jc w:val="left"/>
            </w:pPr>
            <w:r>
              <w:rPr>
                <w:sz w:val="19"/>
              </w:rPr>
              <w:t xml:space="preserve">français</w:t>
            </w:r>
          </w:p>
        </w:tc>
        <w:tc>
          <w:tcPr>
            <w:tcMar>
              <w:left w:w="70" w:type="dxa"/>
              <w:right w:w="70" w:type="dxa"/>
              <w:top w:w="70" w:type="dxa"/>
              <w:bottom w:w="70" w:type="dxa"/>
            </w:tcMar>
          </w:tcPr>
          <w:p>
            <w:pPr>
              <w:pStyle w:val="Compact"/>
              <w:spacing w:after="0"/>
              <w:jc w:val="left"/>
            </w:pPr>
            <w:r>
              <w:rPr>
                <w:sz w:val="19"/>
              </w:rPr>
              <w:t xml:space="preserve">68,3</w:t>
            </w:r>
          </w:p>
        </w:tc>
        <w:tc>
          <w:tcPr>
            <w:tcMar>
              <w:left w:w="70" w:type="dxa"/>
              <w:right w:w="70" w:type="dxa"/>
              <w:top w:w="70" w:type="dxa"/>
              <w:bottom w:w="70" w:type="dxa"/>
            </w:tcMar>
          </w:tcPr>
          <w:p>
            <w:pPr>
              <w:pStyle w:val="Compact"/>
              <w:spacing w:after="0"/>
              <w:jc w:val="left"/>
            </w:pPr>
            <w:r>
              <w:rPr>
                <w:sz w:val="19"/>
              </w:rPr>
              <w:t xml:space="preserve">V1 (matières scolaires)</w:t>
            </w:r>
          </w:p>
        </w:tc>
        <w:tc>
          <w:tcPr>
            <w:tcMar>
              <w:left w:w="70" w:type="dxa"/>
              <w:right w:w="70" w:type="dxa"/>
              <w:top w:w="70" w:type="dxa"/>
              <w:bottom w:w="70" w:type="dxa"/>
            </w:tcMar>
          </w:tcPr>
          <w:p>
            <w:pPr>
              <w:pStyle w:val="Compact"/>
              <w:spacing w:after="0"/>
              <w:jc w:val="left"/>
            </w:pPr>
            <w:r>
              <w:rPr>
                <w:sz w:val="19"/>
              </w:rPr>
              <w:t xml:space="preserve">graphie de [s] : ç</w:t>
            </w:r>
          </w:p>
        </w:tc>
      </w:tr>
      <w:tr>
        <w:trPr>
          <w:cantSplit/>
        </w:trPr>
        <w:tc>
          <w:tcPr>
            <w:tcMar>
              <w:left w:w="70" w:type="dxa"/>
              <w:right w:w="70" w:type="dxa"/>
              <w:top w:w="70" w:type="dxa"/>
              <w:bottom w:w="70" w:type="dxa"/>
            </w:tcMar>
          </w:tcPr>
          <w:p>
            <w:pPr>
              <w:pStyle w:val="Compact"/>
              <w:spacing w:after="0"/>
              <w:jc w:val="left"/>
            </w:pPr>
            <w:r>
              <w:rPr>
                <w:sz w:val="19"/>
              </w:rPr>
              <w:t xml:space="preserve">voix</w:t>
            </w:r>
          </w:p>
        </w:tc>
        <w:tc>
          <w:tcPr>
            <w:tcMar>
              <w:left w:w="70" w:type="dxa"/>
              <w:right w:w="70" w:type="dxa"/>
              <w:top w:w="70" w:type="dxa"/>
              <w:bottom w:w="70" w:type="dxa"/>
            </w:tcMar>
          </w:tcPr>
          <w:p>
            <w:pPr>
              <w:pStyle w:val="Compact"/>
              <w:spacing w:after="0"/>
              <w:jc w:val="left"/>
            </w:pPr>
            <w:r>
              <w:rPr>
                <w:sz w:val="19"/>
              </w:rPr>
              <w:t xml:space="preserve">429,3</w:t>
            </w:r>
          </w:p>
        </w:tc>
        <w:tc>
          <w:tcPr>
            <w:tcMar>
              <w:left w:w="70" w:type="dxa"/>
              <w:right w:w="70" w:type="dxa"/>
              <w:top w:w="70" w:type="dxa"/>
              <w:bottom w:w="70" w:type="dxa"/>
            </w:tcMar>
          </w:tcPr>
          <w:p>
            <w:pPr>
              <w:pStyle w:val="Compact"/>
              <w:spacing w:after="0"/>
              <w:jc w:val="left"/>
            </w:pPr>
            <w:r>
              <w:rPr>
                <w:sz w:val="19"/>
              </w:rPr>
              <w:t xml:space="preserve">Carnet (communication téléphonique)</w:t>
            </w:r>
          </w:p>
        </w:tc>
        <w:tc>
          <w:tcPr>
            <w:tcMar>
              <w:left w:w="70" w:type="dxa"/>
              <w:right w:w="70" w:type="dxa"/>
              <w:top w:w="70" w:type="dxa"/>
              <w:bottom w:w="70" w:type="dxa"/>
            </w:tcMar>
          </w:tcPr>
          <w:p>
            <w:pPr>
              <w:pStyle w:val="Compact"/>
              <w:spacing w:after="0"/>
              <w:jc w:val="left"/>
            </w:pPr>
            <w:r>
              <w:rPr>
                <w:sz w:val="19"/>
              </w:rPr>
              <w:t xml:space="preserve">graphie vocalique oi → [wa]</w:t>
            </w:r>
          </w:p>
        </w:tc>
      </w:tr>
      <w:tr>
        <w:trPr>
          <w:cantSplit/>
        </w:trPr>
        <w:tc>
          <w:tcPr>
            <w:tcMar>
              <w:left w:w="70" w:type="dxa"/>
              <w:right w:w="70" w:type="dxa"/>
              <w:top w:w="70" w:type="dxa"/>
              <w:bottom w:w="70" w:type="dxa"/>
            </w:tcMar>
          </w:tcPr>
          <w:p>
            <w:pPr>
              <w:pStyle w:val="Compact"/>
              <w:spacing w:after="0"/>
              <w:jc w:val="left"/>
            </w:pPr>
            <w:r>
              <w:rPr>
                <w:sz w:val="19"/>
              </w:rPr>
              <w:t xml:space="preserve">yaourt</w:t>
            </w:r>
          </w:p>
        </w:tc>
        <w:tc>
          <w:tcPr>
            <w:tcMar>
              <w:left w:w="70" w:type="dxa"/>
              <w:right w:w="70" w:type="dxa"/>
              <w:top w:w="70" w:type="dxa"/>
              <w:bottom w:w="70" w:type="dxa"/>
            </w:tcMar>
          </w:tcPr>
          <w:p>
            <w:pPr>
              <w:pStyle w:val="Compact"/>
              <w:spacing w:after="0"/>
              <w:jc w:val="left"/>
            </w:pPr>
            <w:r>
              <w:rPr>
                <w:sz w:val="19"/>
              </w:rPr>
              <w:t xml:space="preserve">15,8</w:t>
            </w:r>
          </w:p>
        </w:tc>
        <w:tc>
          <w:tcPr>
            <w:tcMar>
              <w:left w:w="70" w:type="dxa"/>
              <w:right w:w="70" w:type="dxa"/>
              <w:top w:w="70" w:type="dxa"/>
              <w:bottom w:w="70" w:type="dxa"/>
            </w:tcMar>
          </w:tcPr>
          <w:p>
            <w:pPr>
              <w:pStyle w:val="Compact"/>
              <w:spacing w:after="0"/>
              <w:jc w:val="left"/>
            </w:pPr>
            <w:r>
              <w:rPr>
                <w:sz w:val="19"/>
              </w:rPr>
              <w:t xml:space="preserve">Lecture (yaourt à la framboise)</w:t>
            </w:r>
          </w:p>
        </w:tc>
        <w:tc>
          <w:tcPr>
            <w:tcMar>
              <w:left w:w="70" w:type="dxa"/>
              <w:right w:w="70" w:type="dxa"/>
              <w:top w:w="70" w:type="dxa"/>
              <w:bottom w:w="70" w:type="dxa"/>
            </w:tcMar>
          </w:tcPr>
          <w:p>
            <w:pPr>
              <w:pStyle w:val="Compact"/>
              <w:spacing w:after="0"/>
              <w:jc w:val="left"/>
            </w:pPr>
            <w:r>
              <w:rPr>
                <w:sz w:val="19"/>
              </w:rPr>
              <w:t xml:space="preserve">graphie vocalique en y</w:t>
            </w:r>
          </w:p>
        </w:tc>
      </w:tr>
      <w:tr>
        <w:trPr>
          <w:cantSplit/>
        </w:trPr>
        <w:tc>
          <w:tcPr>
            <w:tcMar>
              <w:left w:w="70" w:type="dxa"/>
              <w:right w:w="70" w:type="dxa"/>
              <w:top w:w="70" w:type="dxa"/>
              <w:bottom w:w="70" w:type="dxa"/>
            </w:tcMar>
          </w:tcPr>
          <w:p>
            <w:pPr>
              <w:pStyle w:val="Compact"/>
              <w:spacing w:after="0"/>
              <w:jc w:val="left"/>
            </w:pPr>
            <w:r>
              <w:rPr>
                <w:sz w:val="19"/>
              </w:rPr>
              <w:t xml:space="preserve">composer</w:t>
            </w:r>
          </w:p>
        </w:tc>
        <w:tc>
          <w:tcPr>
            <w:tcMar>
              <w:left w:w="70" w:type="dxa"/>
              <w:right w:w="70" w:type="dxa"/>
              <w:top w:w="70" w:type="dxa"/>
              <w:bottom w:w="70" w:type="dxa"/>
            </w:tcMar>
          </w:tcPr>
          <w:p>
            <w:pPr>
              <w:pStyle w:val="Compact"/>
              <w:spacing w:after="0"/>
              <w:jc w:val="left"/>
            </w:pPr>
            <w:r>
              <w:rPr>
                <w:sz w:val="19"/>
              </w:rPr>
              <w:t xml:space="preserve">11,0</w:t>
            </w:r>
          </w:p>
        </w:tc>
        <w:tc>
          <w:tcPr>
            <w:tcMar>
              <w:left w:w="70" w:type="dxa"/>
              <w:right w:w="70" w:type="dxa"/>
              <w:top w:w="70" w:type="dxa"/>
              <w:bottom w:w="70" w:type="dxa"/>
            </w:tcMar>
          </w:tcPr>
          <w:p>
            <w:pPr>
              <w:pStyle w:val="Compact"/>
              <w:spacing w:after="0"/>
              <w:jc w:val="left"/>
            </w:pPr>
            <w:r>
              <w:rPr>
                <w:sz w:val="19"/>
              </w:rPr>
              <w:t xml:space="preserve">Lecture / G1 / verbe d’action</w:t>
            </w:r>
          </w:p>
        </w:tc>
        <w:tc>
          <w:tcPr>
            <w:tcMar>
              <w:left w:w="70" w:type="dxa"/>
              <w:right w:w="70" w:type="dxa"/>
              <w:top w:w="70" w:type="dxa"/>
              <w:bottom w:w="70" w:type="dxa"/>
            </w:tcMar>
          </w:tcPr>
          <w:p>
            <w:pPr>
              <w:pStyle w:val="Compact"/>
              <w:spacing w:after="0"/>
              <w:jc w:val="left"/>
            </w:pPr>
            <w:r>
              <w:rPr>
                <w:sz w:val="19"/>
              </w:rPr>
              <w:t xml:space="preserve">nasalisation (com-) ; recherché pour l’écrit long</w:t>
            </w:r>
          </w:p>
        </w:tc>
      </w:tr>
      <w:tr>
        <w:trPr>
          <w:cantSplit/>
        </w:trPr>
        <w:tc>
          <w:tcPr>
            <w:tcMar>
              <w:left w:w="70" w:type="dxa"/>
              <w:right w:w="70" w:type="dxa"/>
              <w:top w:w="70" w:type="dxa"/>
              <w:bottom w:w="70" w:type="dxa"/>
            </w:tcMar>
          </w:tcPr>
          <w:p>
            <w:pPr>
              <w:pStyle w:val="Compact"/>
              <w:spacing w:after="0"/>
              <w:jc w:val="left"/>
            </w:pPr>
            <w:r>
              <w:rPr>
                <w:sz w:val="19"/>
              </w:rPr>
              <w:t xml:space="preserve">manteau(x)</w:t>
            </w:r>
          </w:p>
        </w:tc>
        <w:tc>
          <w:tcPr>
            <w:tcMar>
              <w:left w:w="70" w:type="dxa"/>
              <w:right w:w="70" w:type="dxa"/>
              <w:top w:w="70" w:type="dxa"/>
              <w:bottom w:w="70" w:type="dxa"/>
            </w:tcMar>
          </w:tcPr>
          <w:p>
            <w:pPr>
              <w:pStyle w:val="Compact"/>
              <w:spacing w:after="0"/>
              <w:jc w:val="left"/>
            </w:pPr>
            <w:r>
              <w:rPr>
                <w:sz w:val="19"/>
              </w:rPr>
              <w:t xml:space="preserve">70,8 / 6,9</w:t>
            </w:r>
          </w:p>
        </w:tc>
        <w:tc>
          <w:tcPr>
            <w:tcMar>
              <w:left w:w="70" w:type="dxa"/>
              <w:right w:w="70" w:type="dxa"/>
              <w:top w:w="70" w:type="dxa"/>
              <w:bottom w:w="70" w:type="dxa"/>
            </w:tcMar>
          </w:tcPr>
          <w:p>
            <w:pPr>
              <w:pStyle w:val="Compact"/>
              <w:spacing w:after="0"/>
              <w:jc w:val="left"/>
            </w:pPr>
            <w:r>
              <w:rPr>
                <w:sz w:val="19"/>
              </w:rPr>
              <w:t xml:space="preserve">Lecture (manteaux de fourrure)</w:t>
            </w:r>
          </w:p>
        </w:tc>
        <w:tc>
          <w:tcPr>
            <w:tcMar>
              <w:left w:w="70" w:type="dxa"/>
              <w:right w:w="70" w:type="dxa"/>
              <w:top w:w="70" w:type="dxa"/>
              <w:bottom w:w="70" w:type="dxa"/>
            </w:tcMar>
          </w:tcPr>
          <w:p>
            <w:pPr>
              <w:pStyle w:val="Compact"/>
              <w:spacing w:after="0"/>
              <w:jc w:val="left"/>
            </w:pPr>
            <w:r>
              <w:rPr>
                <w:sz w:val="19"/>
              </w:rPr>
              <w:t xml:space="preserve">pluriel en -eau → -eaux</w:t>
            </w:r>
          </w:p>
        </w:tc>
      </w:tr>
      <w:tr>
        <w:trPr>
          <w:cantSplit/>
        </w:trPr>
        <w:tc>
          <w:tcPr>
            <w:tcMar>
              <w:left w:w="70" w:type="dxa"/>
              <w:right w:w="70" w:type="dxa"/>
              <w:top w:w="70" w:type="dxa"/>
              <w:bottom w:w="70" w:type="dxa"/>
            </w:tcMar>
          </w:tcPr>
          <w:p>
            <w:pPr>
              <w:pStyle w:val="Compact"/>
              <w:spacing w:after="0"/>
              <w:jc w:val="left"/>
            </w:pPr>
            <w:r>
              <w:rPr>
                <w:sz w:val="19"/>
              </w:rPr>
              <w:t xml:space="preserve">ciseaux</w:t>
            </w:r>
          </w:p>
        </w:tc>
        <w:tc>
          <w:tcPr>
            <w:tcMar>
              <w:left w:w="70" w:type="dxa"/>
              <w:right w:w="70" w:type="dxa"/>
              <w:top w:w="70" w:type="dxa"/>
              <w:bottom w:w="70" w:type="dxa"/>
            </w:tcMar>
          </w:tcPr>
          <w:p>
            <w:pPr>
              <w:pStyle w:val="Compact"/>
              <w:spacing w:after="0"/>
              <w:jc w:val="left"/>
            </w:pPr>
            <w:r>
              <w:rPr>
                <w:sz w:val="19"/>
              </w:rPr>
              <w:t xml:space="preserve">40,1</w:t>
            </w:r>
          </w:p>
        </w:tc>
        <w:tc>
          <w:tcPr>
            <w:tcMar>
              <w:left w:w="70" w:type="dxa"/>
              <w:right w:w="70" w:type="dxa"/>
              <w:top w:w="70" w:type="dxa"/>
              <w:bottom w:w="70" w:type="dxa"/>
            </w:tcMar>
          </w:tcPr>
          <w:p>
            <w:pPr>
              <w:pStyle w:val="Compact"/>
              <w:spacing w:after="0"/>
              <w:jc w:val="left"/>
            </w:pPr>
            <w:r>
              <w:rPr>
                <w:sz w:val="19"/>
              </w:rPr>
              <w:t xml:space="preserve">Lecture / G1</w:t>
            </w:r>
          </w:p>
        </w:tc>
        <w:tc>
          <w:tcPr>
            <w:tcMar>
              <w:left w:w="70" w:type="dxa"/>
              <w:right w:w="70" w:type="dxa"/>
              <w:top w:w="70" w:type="dxa"/>
              <w:bottom w:w="70" w:type="dxa"/>
            </w:tcMar>
          </w:tcPr>
          <w:p>
            <w:pPr>
              <w:pStyle w:val="Compact"/>
              <w:spacing w:after="0"/>
              <w:jc w:val="left"/>
            </w:pPr>
            <w:r>
              <w:rPr>
                <w:sz w:val="19"/>
              </w:rPr>
              <w:t xml:space="preserve">pluriel en -eau → -eaux (forme plurielle ; le singulier est rare, U = 0,4)</w:t>
            </w:r>
          </w:p>
        </w:tc>
      </w:tr>
      <w:tr>
        <w:trPr>
          <w:cantSplit/>
        </w:trPr>
        <w:tc>
          <w:tcPr>
            <w:tcMar>
              <w:left w:w="70" w:type="dxa"/>
              <w:right w:w="70" w:type="dxa"/>
              <w:top w:w="70" w:type="dxa"/>
              <w:bottom w:w="70" w:type="dxa"/>
            </w:tcMar>
          </w:tcPr>
          <w:p>
            <w:pPr>
              <w:pStyle w:val="Compact"/>
              <w:spacing w:after="0"/>
              <w:jc w:val="left"/>
            </w:pPr>
            <w:r>
              <w:rPr>
                <w:sz w:val="19"/>
              </w:rPr>
              <w:t xml:space="preserve">écraser</w:t>
            </w:r>
          </w:p>
        </w:tc>
        <w:tc>
          <w:tcPr>
            <w:tcMar>
              <w:left w:w="70" w:type="dxa"/>
              <w:right w:w="70" w:type="dxa"/>
              <w:top w:w="70" w:type="dxa"/>
              <w:bottom w:w="70" w:type="dxa"/>
            </w:tcMar>
          </w:tcPr>
          <w:p>
            <w:pPr>
              <w:pStyle w:val="Compact"/>
              <w:spacing w:after="0"/>
              <w:jc w:val="left"/>
            </w:pPr>
            <w:r>
              <w:rPr>
                <w:sz w:val="19"/>
              </w:rPr>
              <w:t xml:space="preserve">12,0</w:t>
            </w:r>
          </w:p>
        </w:tc>
        <w:tc>
          <w:tcPr>
            <w:tcMar>
              <w:left w:w="70" w:type="dxa"/>
              <w:right w:w="70" w:type="dxa"/>
              <w:top w:w="70" w:type="dxa"/>
              <w:bottom w:w="70" w:type="dxa"/>
            </w:tcMar>
          </w:tcPr>
          <w:p>
            <w:pPr>
              <w:pStyle w:val="Compact"/>
              <w:spacing w:after="0"/>
              <w:jc w:val="left"/>
            </w:pPr>
            <w:r>
              <w:rPr>
                <w:sz w:val="19"/>
              </w:rPr>
              <w:t xml:space="preserve">Lecture / G1 / verbe d’action</w:t>
            </w:r>
          </w:p>
        </w:tc>
        <w:tc>
          <w:tcPr>
            <w:tcMar>
              <w:left w:w="70" w:type="dxa"/>
              <w:right w:w="70" w:type="dxa"/>
              <w:top w:w="70" w:type="dxa"/>
              <w:bottom w:w="70" w:type="dxa"/>
            </w:tcMar>
          </w:tcPr>
          <w:p>
            <w:pPr>
              <w:pStyle w:val="Compact"/>
              <w:spacing w:after="0"/>
              <w:jc w:val="left"/>
            </w:pPr>
            <w:r>
              <w:rPr>
                <w:sz w:val="19"/>
              </w:rPr>
              <w:t xml:space="preserve">verbe fréquent, recherché pour l’écrit long</w:t>
            </w:r>
          </w:p>
        </w:tc>
      </w:tr>
      <w:tr>
        <w:trPr>
          <w:cantSplit/>
        </w:trPr>
        <w:tc>
          <w:tcPr>
            <w:tcMar>
              <w:left w:w="70" w:type="dxa"/>
              <w:right w:w="70" w:type="dxa"/>
              <w:top w:w="70" w:type="dxa"/>
              <w:bottom w:w="70" w:type="dxa"/>
            </w:tcMar>
          </w:tcPr>
          <w:p>
            <w:pPr>
              <w:pStyle w:val="Compact"/>
              <w:spacing w:after="0"/>
              <w:jc w:val="left"/>
            </w:pPr>
            <w:r>
              <w:rPr>
                <w:sz w:val="19"/>
              </w:rPr>
              <w:t xml:space="preserve">cacher</w:t>
            </w:r>
          </w:p>
        </w:tc>
        <w:tc>
          <w:tcPr>
            <w:tcMar>
              <w:left w:w="70" w:type="dxa"/>
              <w:right w:w="70" w:type="dxa"/>
              <w:top w:w="70" w:type="dxa"/>
              <w:bottom w:w="70" w:type="dxa"/>
            </w:tcMar>
          </w:tcPr>
          <w:p>
            <w:pPr>
              <w:pStyle w:val="Compact"/>
              <w:spacing w:after="0"/>
              <w:jc w:val="left"/>
            </w:pPr>
            <w:r>
              <w:rPr>
                <w:sz w:val="19"/>
              </w:rPr>
              <w:t xml:space="preserve">47,7</w:t>
            </w:r>
          </w:p>
        </w:tc>
        <w:tc>
          <w:tcPr>
            <w:tcMar>
              <w:left w:w="70" w:type="dxa"/>
              <w:right w:w="70" w:type="dxa"/>
              <w:top w:w="70" w:type="dxa"/>
              <w:bottom w:w="70" w:type="dxa"/>
            </w:tcMar>
          </w:tcPr>
          <w:p>
            <w:pPr>
              <w:pStyle w:val="Compact"/>
              <w:spacing w:after="0"/>
              <w:jc w:val="left"/>
            </w:pPr>
            <w:r>
              <w:rPr>
                <w:sz w:val="19"/>
              </w:rPr>
              <w:t xml:space="preserve">G1 (« il cache l’argent ») / verbe d’action</w:t>
            </w:r>
          </w:p>
        </w:tc>
        <w:tc>
          <w:tcPr>
            <w:tcMar>
              <w:left w:w="70" w:type="dxa"/>
              <w:right w:w="70" w:type="dxa"/>
              <w:top w:w="70" w:type="dxa"/>
              <w:bottom w:w="70" w:type="dxa"/>
            </w:tcMar>
          </w:tcPr>
          <w:p>
            <w:pPr>
              <w:pStyle w:val="Compact"/>
              <w:spacing w:after="0"/>
              <w:jc w:val="left"/>
            </w:pPr>
            <w:r>
              <w:rPr>
                <w:sz w:val="19"/>
              </w:rPr>
              <w:t xml:space="preserve">verbe fréquent, recherché pour l’écrit long</w:t>
            </w:r>
          </w:p>
        </w:tc>
      </w:tr>
      <w:tr>
        <w:trPr>
          <w:cantSplit/>
        </w:trPr>
        <w:tc>
          <w:tcPr>
            <w:tcMar>
              <w:left w:w="70" w:type="dxa"/>
              <w:right w:w="70" w:type="dxa"/>
              <w:top w:w="70" w:type="dxa"/>
              <w:bottom w:w="70" w:type="dxa"/>
            </w:tcMar>
          </w:tcPr>
          <w:p>
            <w:pPr>
              <w:pStyle w:val="Compact"/>
              <w:spacing w:after="0"/>
              <w:jc w:val="left"/>
            </w:pPr>
            <w:r>
              <w:rPr>
                <w:sz w:val="19"/>
              </w:rPr>
              <w:t xml:space="preserve">pêcher</w:t>
            </w:r>
          </w:p>
        </w:tc>
        <w:tc>
          <w:tcPr>
            <w:tcMar>
              <w:left w:w="70" w:type="dxa"/>
              <w:right w:w="70" w:type="dxa"/>
              <w:top w:w="70" w:type="dxa"/>
              <w:bottom w:w="70" w:type="dxa"/>
            </w:tcMar>
          </w:tcPr>
          <w:p>
            <w:pPr>
              <w:pStyle w:val="Compact"/>
              <w:spacing w:after="0"/>
              <w:jc w:val="left"/>
            </w:pPr>
            <w:r>
              <w:rPr>
                <w:sz w:val="19"/>
              </w:rPr>
              <w:t xml:space="preserve">19,5</w:t>
            </w:r>
          </w:p>
        </w:tc>
        <w:tc>
          <w:tcPr>
            <w:tcMar>
              <w:left w:w="70" w:type="dxa"/>
              <w:right w:w="70" w:type="dxa"/>
              <w:top w:w="70" w:type="dxa"/>
              <w:bottom w:w="70" w:type="dxa"/>
            </w:tcMar>
          </w:tcPr>
          <w:p>
            <w:pPr>
              <w:pStyle w:val="Compact"/>
              <w:spacing w:after="0"/>
              <w:jc w:val="left"/>
            </w:pPr>
            <w:r>
              <w:rPr>
                <w:sz w:val="19"/>
              </w:rPr>
              <w:t xml:space="preserve">Lecture (« il a pêché le poisson rouge ») / verbe d’action</w:t>
            </w:r>
          </w:p>
        </w:tc>
        <w:tc>
          <w:tcPr>
            <w:tcMar>
              <w:left w:w="70" w:type="dxa"/>
              <w:right w:w="70" w:type="dxa"/>
              <w:top w:w="70" w:type="dxa"/>
              <w:bottom w:w="70" w:type="dxa"/>
            </w:tcMar>
          </w:tcPr>
          <w:p>
            <w:pPr>
              <w:pStyle w:val="Compact"/>
              <w:spacing w:after="0"/>
              <w:jc w:val="left"/>
            </w:pPr>
            <w:r>
              <w:rPr>
                <w:sz w:val="19"/>
              </w:rPr>
              <w:t xml:space="preserve">verbe fréquent, recherché pour l’écrit long</w:t>
            </w:r>
          </w:p>
        </w:tc>
      </w:tr>
      <w:tr>
        <w:trPr>
          <w:cantSplit/>
        </w:trPr>
        <w:tc>
          <w:tcPr>
            <w:tcMar>
              <w:left w:w="70" w:type="dxa"/>
              <w:right w:w="70" w:type="dxa"/>
              <w:top w:w="70" w:type="dxa"/>
              <w:bottom w:w="70" w:type="dxa"/>
            </w:tcMar>
          </w:tcPr>
          <w:p>
            <w:pPr>
              <w:pStyle w:val="Compact"/>
              <w:spacing w:after="0"/>
              <w:jc w:val="left"/>
            </w:pPr>
            <w:r>
              <w:rPr>
                <w:sz w:val="19"/>
              </w:rPr>
              <w:t xml:space="preserve">choisir</w:t>
            </w:r>
          </w:p>
        </w:tc>
        <w:tc>
          <w:tcPr>
            <w:tcMar>
              <w:left w:w="70" w:type="dxa"/>
              <w:right w:w="70" w:type="dxa"/>
              <w:top w:w="70" w:type="dxa"/>
              <w:bottom w:w="70" w:type="dxa"/>
            </w:tcMar>
          </w:tcPr>
          <w:p>
            <w:pPr>
              <w:pStyle w:val="Compact"/>
              <w:spacing w:after="0"/>
              <w:jc w:val="left"/>
            </w:pPr>
            <w:r>
              <w:rPr>
                <w:sz w:val="19"/>
              </w:rPr>
              <w:t xml:space="preserve">75,2</w:t>
            </w:r>
          </w:p>
        </w:tc>
        <w:tc>
          <w:tcPr>
            <w:tcMar>
              <w:left w:w="70" w:type="dxa"/>
              <w:right w:w="70" w:type="dxa"/>
              <w:top w:w="70" w:type="dxa"/>
              <w:bottom w:w="70" w:type="dxa"/>
            </w:tcMar>
          </w:tcPr>
          <w:p>
            <w:pPr>
              <w:pStyle w:val="Compact"/>
              <w:spacing w:after="0"/>
              <w:jc w:val="left"/>
            </w:pPr>
            <w:r>
              <w:rPr>
                <w:sz w:val="19"/>
              </w:rPr>
              <w:t xml:space="preserve">Lecture / verbe d’action</w:t>
            </w:r>
          </w:p>
        </w:tc>
        <w:tc>
          <w:tcPr>
            <w:tcMar>
              <w:left w:w="70" w:type="dxa"/>
              <w:right w:w="70" w:type="dxa"/>
              <w:top w:w="70" w:type="dxa"/>
              <w:bottom w:w="70" w:type="dxa"/>
            </w:tcMar>
          </w:tcPr>
          <w:p>
            <w:pPr>
              <w:pStyle w:val="Compact"/>
              <w:spacing w:after="0"/>
              <w:jc w:val="left"/>
            </w:pPr>
            <w:r>
              <w:rPr>
                <w:sz w:val="19"/>
              </w:rPr>
              <w:t xml:space="preserve">verbe fréquent, recherché pour l’écrit long</w:t>
            </w:r>
          </w:p>
        </w:tc>
      </w:tr>
      <w:tr>
        <w:trPr>
          <w:cantSplit/>
        </w:trPr>
        <w:tc>
          <w:tcPr>
            <w:tcMar>
              <w:left w:w="70" w:type="dxa"/>
              <w:right w:w="70" w:type="dxa"/>
              <w:top w:w="70" w:type="dxa"/>
              <w:bottom w:w="70" w:type="dxa"/>
            </w:tcMar>
          </w:tcPr>
          <w:p>
            <w:pPr>
              <w:pStyle w:val="Compact"/>
              <w:spacing w:after="0"/>
              <w:jc w:val="left"/>
            </w:pPr>
            <w:r>
              <w:rPr>
                <w:sz w:val="19"/>
              </w:rPr>
              <w:t xml:space="preserve">sortir</w:t>
            </w:r>
          </w:p>
        </w:tc>
        <w:tc>
          <w:tcPr>
            <w:tcMar>
              <w:left w:w="70" w:type="dxa"/>
              <w:right w:w="70" w:type="dxa"/>
              <w:top w:w="70" w:type="dxa"/>
              <w:bottom w:w="70" w:type="dxa"/>
            </w:tcMar>
          </w:tcPr>
          <w:p>
            <w:pPr>
              <w:pStyle w:val="Compact"/>
              <w:spacing w:after="0"/>
              <w:jc w:val="left"/>
            </w:pPr>
            <w:r>
              <w:rPr>
                <w:sz w:val="19"/>
              </w:rPr>
              <w:t xml:space="preserve">192,2</w:t>
            </w:r>
          </w:p>
        </w:tc>
        <w:tc>
          <w:tcPr>
            <w:tcMar>
              <w:left w:w="70" w:type="dxa"/>
              <w:right w:w="70" w:type="dxa"/>
              <w:top w:w="70" w:type="dxa"/>
              <w:bottom w:w="70" w:type="dxa"/>
            </w:tcMar>
          </w:tcPr>
          <w:p>
            <w:pPr>
              <w:pStyle w:val="Compact"/>
              <w:spacing w:after="0"/>
              <w:jc w:val="left"/>
            </w:pPr>
            <w:r>
              <w:rPr>
                <w:sz w:val="19"/>
              </w:rPr>
              <w:t xml:space="preserve">Lecture / G1 / verbe d’action</w:t>
            </w:r>
          </w:p>
        </w:tc>
        <w:tc>
          <w:tcPr>
            <w:tcMar>
              <w:left w:w="70" w:type="dxa"/>
              <w:right w:w="70" w:type="dxa"/>
              <w:top w:w="70" w:type="dxa"/>
              <w:bottom w:w="70" w:type="dxa"/>
            </w:tcMar>
          </w:tcPr>
          <w:p>
            <w:pPr>
              <w:pStyle w:val="Compact"/>
              <w:spacing w:after="0"/>
              <w:jc w:val="left"/>
            </w:pPr>
            <w:r>
              <w:rPr>
                <w:sz w:val="19"/>
              </w:rPr>
              <w:t xml:space="preserve">verbe fréquent, recherché pour l’écrit long</w:t>
            </w:r>
          </w:p>
        </w:tc>
      </w:tr>
      <w:tr>
        <w:trPr>
          <w:cantSplit/>
        </w:trPr>
        <w:tc>
          <w:tcPr>
            <w:tcMar>
              <w:left w:w="70" w:type="dxa"/>
              <w:right w:w="70" w:type="dxa"/>
              <w:top w:w="70" w:type="dxa"/>
              <w:bottom w:w="70" w:type="dxa"/>
            </w:tcMar>
          </w:tcPr>
          <w:p>
            <w:pPr>
              <w:pStyle w:val="Compact"/>
              <w:spacing w:after="0"/>
              <w:jc w:val="left"/>
            </w:pPr>
            <w:r>
              <w:rPr>
                <w:sz w:val="19"/>
              </w:rPr>
              <w:t xml:space="preserve">laisser</w:t>
            </w:r>
          </w:p>
        </w:tc>
        <w:tc>
          <w:tcPr>
            <w:tcMar>
              <w:left w:w="70" w:type="dxa"/>
              <w:right w:w="70" w:type="dxa"/>
              <w:top w:w="70" w:type="dxa"/>
              <w:bottom w:w="70" w:type="dxa"/>
            </w:tcMar>
          </w:tcPr>
          <w:p>
            <w:pPr>
              <w:pStyle w:val="Compact"/>
              <w:spacing w:after="0"/>
              <w:jc w:val="left"/>
            </w:pPr>
            <w:r>
              <w:rPr>
                <w:sz w:val="19"/>
              </w:rPr>
              <w:t xml:space="preserve">131,1</w:t>
            </w:r>
          </w:p>
        </w:tc>
        <w:tc>
          <w:tcPr>
            <w:tcMar>
              <w:left w:w="70" w:type="dxa"/>
              <w:right w:w="70" w:type="dxa"/>
              <w:top w:w="70" w:type="dxa"/>
              <w:bottom w:w="70" w:type="dxa"/>
            </w:tcMar>
          </w:tcPr>
          <w:p>
            <w:pPr>
              <w:pStyle w:val="Compact"/>
              <w:spacing w:after="0"/>
              <w:jc w:val="left"/>
            </w:pPr>
            <w:r>
              <w:rPr>
                <w:sz w:val="19"/>
              </w:rPr>
              <w:t xml:space="preserve">Lecture (laisser couler) / verbe d’action</w:t>
            </w:r>
          </w:p>
        </w:tc>
        <w:tc>
          <w:tcPr>
            <w:tcMar>
              <w:left w:w="70" w:type="dxa"/>
              <w:right w:w="70" w:type="dxa"/>
              <w:top w:w="70" w:type="dxa"/>
              <w:bottom w:w="70" w:type="dxa"/>
            </w:tcMar>
          </w:tcPr>
          <w:p>
            <w:pPr>
              <w:pStyle w:val="Compact"/>
              <w:spacing w:after="0"/>
              <w:jc w:val="left"/>
            </w:pPr>
            <w:r>
              <w:rPr>
                <w:sz w:val="19"/>
              </w:rPr>
              <w:t xml:space="preserve">verbe fréquent, recherché pour l’écrit long</w:t>
            </w:r>
          </w:p>
        </w:tc>
      </w:tr>
      <w:tr>
        <w:trPr>
          <w:cantSplit/>
        </w:trPr>
        <w:tc>
          <w:tcPr>
            <w:tcMar>
              <w:left w:w="70" w:type="dxa"/>
              <w:right w:w="70" w:type="dxa"/>
              <w:top w:w="70" w:type="dxa"/>
              <w:bottom w:w="70" w:type="dxa"/>
            </w:tcMar>
          </w:tcPr>
          <w:p>
            <w:pPr>
              <w:pStyle w:val="Compact"/>
              <w:spacing w:after="0"/>
              <w:jc w:val="left"/>
            </w:pPr>
            <w:r>
              <w:rPr>
                <w:sz w:val="19"/>
              </w:rPr>
              <w:t xml:space="preserve">couler</w:t>
            </w:r>
          </w:p>
        </w:tc>
        <w:tc>
          <w:tcPr>
            <w:tcMar>
              <w:left w:w="70" w:type="dxa"/>
              <w:right w:w="70" w:type="dxa"/>
              <w:top w:w="70" w:type="dxa"/>
              <w:bottom w:w="70" w:type="dxa"/>
            </w:tcMar>
          </w:tcPr>
          <w:p>
            <w:pPr>
              <w:pStyle w:val="Compact"/>
              <w:spacing w:after="0"/>
              <w:jc w:val="left"/>
            </w:pPr>
            <w:r>
              <w:rPr>
                <w:sz w:val="19"/>
              </w:rPr>
              <w:t xml:space="preserve">21,2</w:t>
            </w:r>
          </w:p>
        </w:tc>
        <w:tc>
          <w:tcPr>
            <w:tcMar>
              <w:left w:w="70" w:type="dxa"/>
              <w:right w:w="70" w:type="dxa"/>
              <w:top w:w="70" w:type="dxa"/>
              <w:bottom w:w="70" w:type="dxa"/>
            </w:tcMar>
          </w:tcPr>
          <w:p>
            <w:pPr>
              <w:pStyle w:val="Compact"/>
              <w:spacing w:after="0"/>
              <w:jc w:val="left"/>
            </w:pPr>
            <w:r>
              <w:rPr>
                <w:sz w:val="19"/>
              </w:rPr>
              <w:t xml:space="preserve">Lecture (laisser couler) / verbe d’action</w:t>
            </w:r>
          </w:p>
        </w:tc>
        <w:tc>
          <w:tcPr>
            <w:tcMar>
              <w:left w:w="70" w:type="dxa"/>
              <w:right w:w="70" w:type="dxa"/>
              <w:top w:w="70" w:type="dxa"/>
              <w:bottom w:w="70" w:type="dxa"/>
            </w:tcMar>
          </w:tcPr>
          <w:p>
            <w:pPr>
              <w:pStyle w:val="Compact"/>
              <w:spacing w:after="0"/>
              <w:jc w:val="left"/>
            </w:pPr>
            <w:r>
              <w:rPr>
                <w:sz w:val="19"/>
              </w:rPr>
              <w:t xml:space="preserve">verbe fréquent, recherché pour l’écrit long</w:t>
            </w:r>
          </w:p>
        </w:tc>
      </w:tr>
      <w:tr>
        <w:trPr>
          <w:cantSplit/>
        </w:trPr>
        <w:tc>
          <w:tcPr>
            <w:tcMar>
              <w:left w:w="70" w:type="dxa"/>
              <w:right w:w="70" w:type="dxa"/>
              <w:top w:w="70" w:type="dxa"/>
              <w:bottom w:w="70" w:type="dxa"/>
            </w:tcMar>
          </w:tcPr>
          <w:p>
            <w:pPr>
              <w:pStyle w:val="Compact"/>
              <w:spacing w:after="0"/>
              <w:jc w:val="left"/>
            </w:pPr>
            <w:r>
              <w:rPr>
                <w:sz w:val="19"/>
              </w:rPr>
              <w:t xml:space="preserve">sérieux</w:t>
            </w:r>
          </w:p>
        </w:tc>
        <w:tc>
          <w:tcPr>
            <w:tcMar>
              <w:left w:w="70" w:type="dxa"/>
              <w:right w:w="70" w:type="dxa"/>
              <w:top w:w="70" w:type="dxa"/>
              <w:bottom w:w="70" w:type="dxa"/>
            </w:tcMar>
          </w:tcPr>
          <w:p>
            <w:pPr>
              <w:pStyle w:val="Compact"/>
              <w:spacing w:after="0"/>
              <w:jc w:val="left"/>
            </w:pPr>
            <w:r>
              <w:rPr>
                <w:sz w:val="19"/>
              </w:rPr>
              <w:t xml:space="preserve">31,7</w:t>
            </w:r>
          </w:p>
        </w:tc>
        <w:tc>
          <w:tcPr>
            <w:tcMar>
              <w:left w:w="70" w:type="dxa"/>
              <w:right w:w="70" w:type="dxa"/>
              <w:top w:w="70" w:type="dxa"/>
              <w:bottom w:w="70" w:type="dxa"/>
            </w:tcMar>
          </w:tcPr>
          <w:p>
            <w:pPr>
              <w:pStyle w:val="Compact"/>
              <w:spacing w:after="0"/>
              <w:jc w:val="left"/>
            </w:pPr>
            <w:r>
              <w:rPr>
                <w:sz w:val="19"/>
              </w:rPr>
              <w:t xml:space="preserve">Lecture (refrain des dames)</w:t>
            </w:r>
          </w:p>
        </w:tc>
        <w:tc>
          <w:tcPr>
            <w:tcMar>
              <w:left w:w="70" w:type="dxa"/>
              <w:right w:w="70" w:type="dxa"/>
              <w:top w:w="70" w:type="dxa"/>
              <w:bottom w:w="70" w:type="dxa"/>
            </w:tcMar>
          </w:tcPr>
          <w:p>
            <w:pPr>
              <w:pStyle w:val="Compact"/>
              <w:spacing w:after="0"/>
              <w:jc w:val="left"/>
            </w:pPr>
            <w:r>
              <w:rPr>
                <w:sz w:val="19"/>
              </w:rPr>
              <w:t xml:space="preserve">adjectif fréquent — contraste avec studieux, écarté</w:t>
            </w:r>
          </w:p>
        </w:tc>
      </w:tr>
    </w:tbl>
    <w:bookmarkEnd w:id="28"/>
    <w:bookmarkStart w:id="29" w:name="à-la-limite-du-seuil"/>
    <w:p>
      <w:pPr>
        <w:pStyle w:val="Heading2"/>
      </w:pPr>
      <w:r>
        <w:t xml:space="preserve">À la limite du seuil</w:t>
      </w:r>
    </w:p>
    <w:p>
      <w:pPr>
        <w:numPr>
          <w:ilvl w:val="0"/>
          <w:numId w:val="1007"/>
        </w:numPr>
        <w:pStyle w:val="Compact"/>
      </w:pPr>
      <w:r>
        <w:t xml:space="preserve">décrocher — U = 8,9, juste sous le seuil de 10 ; verbe d’action central du texte (« Charles décroche le téléphone »), à inclure ou non selon la marge de tolérance retenue par l’enseignant.</w:t>
      </w:r>
    </w:p>
    <w:bookmarkEnd w:id="29"/>
    <w:bookmarkStart w:id="30" w:name="Xa929dc94ebc86d7b98ca8cfb0f126890201fc72"/>
    <w:p>
      <w:pPr>
        <w:pStyle w:val="Heading2"/>
      </w:pPr>
      <w:r>
        <w:t xml:space="preserve">Mots examinés mais écartés (U &lt; 10, ou absents de Manulex-infra)</w:t>
      </w:r>
    </w:p>
    <w:p>
      <w:pPr>
        <w:numPr>
          <w:ilvl w:val="0"/>
          <w:numId w:val="1008"/>
        </w:numPr>
      </w:pPr>
      <w:r>
        <w:t xml:space="preserve">studieux — U = 0,4 : très en-deçà du seuil, malgré sa présence dans le refrain (à comparer avec sérieux, retenu).</w:t>
      </w:r>
    </w:p>
    <w:p>
      <w:pPr>
        <w:numPr>
          <w:ilvl w:val="0"/>
          <w:numId w:val="1008"/>
        </w:numPr>
      </w:pPr>
      <w:r>
        <w:t xml:space="preserve">biologie — U = 0,04 : quasiment absent des manuels scolaires du corpus — le français, plus rare que « sciences », qui recouvre la même réalité en primaire.</w:t>
      </w:r>
    </w:p>
    <w:p>
      <w:pPr>
        <w:numPr>
          <w:ilvl w:val="0"/>
          <w:numId w:val="1008"/>
        </w:numPr>
      </w:pPr>
      <w:r>
        <w:t xml:space="preserve">technologie — U = 3,0 : sous le seuil.</w:t>
      </w:r>
    </w:p>
    <w:p>
      <w:pPr>
        <w:numPr>
          <w:ilvl w:val="0"/>
          <w:numId w:val="1008"/>
        </w:numPr>
      </w:pPr>
      <w:r>
        <w:t xml:space="preserve">ciseau (singulier) — U = 0,4 : sous le seuil (seule la forme plurielle ciseaux, U = 40,1, est retenue).</w:t>
      </w:r>
    </w:p>
    <w:p>
      <w:pPr>
        <w:numPr>
          <w:ilvl w:val="0"/>
          <w:numId w:val="1008"/>
        </w:numPr>
      </w:pPr>
      <w:r>
        <w:t xml:space="preserve">déshydratée, lyophilisée, congelée, alcoolique, chœur — absents de la base Manulex-infra.</w:t>
      </w:r>
    </w:p>
    <w:p>
      <w:pPr>
        <w:numPr>
          <w:ilvl w:val="0"/>
          <w:numId w:val="1008"/>
        </w:numPr>
      </w:pPr>
      <w:r>
        <w:t xml:space="preserve">déplumée — U = 0,02 : présent mais quasi inexistant en usage réel.</w:t>
      </w:r>
    </w:p>
    <w:p>
      <w:pPr>
        <w:numPr>
          <w:ilvl w:val="0"/>
          <w:numId w:val="1008"/>
        </w:numPr>
      </w:pPr>
      <w:r>
        <w:t xml:space="preserve">porte-monnaie — absent en tant que mot composé (seul le composant monnaie, U = 30,6, est attesté isolément) : la forme composée elle-même n’est pas mesurée par cette base.</w:t>
      </w:r>
    </w:p>
    <w:bookmarkEnd w:id="30"/>
    <w:bookmarkStart w:id="31" w:name="Xd3d6ad6c15617d3041f33a47360e1f7694dd826"/>
    <w:p>
      <w:pPr>
        <w:pStyle w:val="Heading2"/>
      </w:pPr>
      <w:r>
        <w:t xml:space="preserve">Séquence 2 (« Fer à repasser ») — Mots vérifiés et retenus (seuil U ≥ 10)</w:t>
      </w:r>
    </w:p>
    <w:p>
      <w:pPr>
        <w:pStyle w:val="FirstParagraph"/>
      </w:pPr>
      <w:r>
        <w:t xml:space="preserve">Fréquences relevées dans Manulex-infra 2.4.2, colonne « Grades 1-5 » (voir §10). Dernière colonne : indice de formation porté sur la carte (§4). Avec l’export « CE2 au CM2 » désormais utilisé par l’appli, certaines valeurs diffèrent un peu (repasser : 7,5).</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1584"/>
        <w:gridCol w:w="1584"/>
        <w:gridCol w:w="1584"/>
        <w:gridCol w:w="1584"/>
        <w:gridCol w:w="1584"/>
      </w:tblGrid>
      <w:tr>
        <w:trPr>
          <w:tblHeader w:val="true"/>
          <w:cantSplit/>
        </w:trPr>
        <w:tc>
          <w:tcPr>
            <w:tcMar>
              <w:left w:w="70" w:type="dxa"/>
              <w:right w:w="70" w:type="dxa"/>
              <w:top w:w="70" w:type="dxa"/>
              <w:bottom w:w="70" w:type="dxa"/>
            </w:tcMar>
            <w:shd w:val="clear" w:color="auto" w:fill="DEEAF6"/>
          </w:tcPr>
          <w:p>
            <w:pPr>
              <w:pStyle w:val="Compact"/>
              <w:spacing w:after="0"/>
              <w:jc w:val="left"/>
            </w:pPr>
            <w:r>
              <w:rPr>
                <w:bCs/>
                <w:b/>
                <w:sz w:val="19"/>
              </w:rPr>
              <w:t xml:space="preserve">Mot</w:t>
            </w:r>
          </w:p>
        </w:tc>
        <w:tc>
          <w:tcPr>
            <w:tcMar>
              <w:left w:w="70" w:type="dxa"/>
              <w:right w:w="70" w:type="dxa"/>
              <w:top w:w="70" w:type="dxa"/>
              <w:bottom w:w="70" w:type="dxa"/>
            </w:tcMar>
            <w:shd w:val="clear" w:color="auto" w:fill="DEEAF6"/>
          </w:tcPr>
          <w:p>
            <w:pPr>
              <w:pStyle w:val="Compact"/>
              <w:spacing w:after="0"/>
              <w:jc w:val="left"/>
            </w:pPr>
            <w:r>
              <w:rPr>
                <w:bCs/>
                <w:b/>
                <w:sz w:val="19"/>
              </w:rPr>
              <w:t xml:space="preserve">U (CP-CM2)</w:t>
            </w:r>
          </w:p>
        </w:tc>
        <w:tc>
          <w:tcPr>
            <w:tcMar>
              <w:left w:w="70" w:type="dxa"/>
              <w:right w:w="70" w:type="dxa"/>
              <w:top w:w="70" w:type="dxa"/>
              <w:bottom w:w="70" w:type="dxa"/>
            </w:tcMar>
            <w:shd w:val="clear" w:color="auto" w:fill="DEEAF6"/>
          </w:tcPr>
          <w:p>
            <w:pPr>
              <w:pStyle w:val="Compact"/>
              <w:spacing w:after="0"/>
              <w:jc w:val="left"/>
            </w:pPr>
            <w:r>
              <w:rPr>
                <w:bCs/>
                <w:b/>
                <w:sz w:val="19"/>
              </w:rPr>
              <w:t xml:space="preserve">Origine dans la séquence</w:t>
            </w:r>
          </w:p>
        </w:tc>
        <w:tc>
          <w:tcPr>
            <w:tcMar>
              <w:left w:w="70" w:type="dxa"/>
              <w:right w:w="70" w:type="dxa"/>
              <w:top w:w="70" w:type="dxa"/>
              <w:bottom w:w="70" w:type="dxa"/>
            </w:tcMar>
            <w:shd w:val="clear" w:color="auto" w:fill="DEEAF6"/>
          </w:tcPr>
          <w:p>
            <w:pPr>
              <w:pStyle w:val="Compact"/>
              <w:spacing w:after="0"/>
              <w:jc w:val="left"/>
            </w:pPr>
            <w:r>
              <w:rPr>
                <w:bCs/>
                <w:b/>
                <w:sz w:val="19"/>
              </w:rPr>
              <w:t xml:space="preserve">Pourquoi</w:t>
            </w:r>
          </w:p>
        </w:tc>
        <w:tc>
          <w:tcPr>
            <w:tcMar>
              <w:left w:w="70" w:type="dxa"/>
              <w:right w:w="70" w:type="dxa"/>
              <w:top w:w="70" w:type="dxa"/>
              <w:bottom w:w="70" w:type="dxa"/>
            </w:tcMar>
            <w:shd w:val="clear" w:color="auto" w:fill="DEEAF6"/>
          </w:tcPr>
          <w:p>
            <w:pPr>
              <w:pStyle w:val="Compact"/>
              <w:spacing w:after="0"/>
              <w:jc w:val="left"/>
            </w:pPr>
            <w:r>
              <w:rPr>
                <w:bCs/>
                <w:b/>
                <w:sz w:val="19"/>
              </w:rPr>
              <w:t xml:space="preserve">Indice de formation</w:t>
            </w:r>
          </w:p>
        </w:tc>
      </w:tr>
      <w:tr>
        <w:trPr>
          <w:cantSplit/>
        </w:trPr>
        <w:tc>
          <w:tcPr>
            <w:tcMar>
              <w:left w:w="70" w:type="dxa"/>
              <w:right w:w="70" w:type="dxa"/>
              <w:top w:w="70" w:type="dxa"/>
              <w:bottom w:w="70" w:type="dxa"/>
            </w:tcMar>
          </w:tcPr>
          <w:p>
            <w:pPr>
              <w:pStyle w:val="Compact"/>
              <w:spacing w:after="0"/>
              <w:jc w:val="left"/>
            </w:pPr>
            <w:r>
              <w:rPr>
                <w:sz w:val="19"/>
              </w:rPr>
              <w:t xml:space="preserve">fée</w:t>
            </w:r>
          </w:p>
        </w:tc>
        <w:tc>
          <w:tcPr>
            <w:tcMar>
              <w:left w:w="70" w:type="dxa"/>
              <w:right w:w="70" w:type="dxa"/>
              <w:top w:w="70" w:type="dxa"/>
              <w:bottom w:w="70" w:type="dxa"/>
            </w:tcMar>
          </w:tcPr>
          <w:p>
            <w:pPr>
              <w:pStyle w:val="Compact"/>
              <w:spacing w:after="0"/>
              <w:jc w:val="left"/>
            </w:pPr>
            <w:r>
              <w:rPr>
                <w:sz w:val="19"/>
              </w:rPr>
              <w:t xml:space="preserve">92,8</w:t>
            </w:r>
          </w:p>
        </w:tc>
        <w:tc>
          <w:tcPr>
            <w:tcMar>
              <w:left w:w="70" w:type="dxa"/>
              <w:right w:w="70" w:type="dxa"/>
              <w:top w:w="70" w:type="dxa"/>
              <w:bottom w:w="70" w:type="dxa"/>
            </w:tcMar>
          </w:tcPr>
          <w:p>
            <w:pPr>
              <w:pStyle w:val="Compact"/>
              <w:spacing w:after="0"/>
              <w:jc w:val="left"/>
            </w:pPr>
            <w:r>
              <w:rPr>
                <w:sz w:val="19"/>
              </w:rPr>
              <w:t xml:space="preserve">Lecture / projet d’écriture</w:t>
            </w:r>
          </w:p>
        </w:tc>
        <w:tc>
          <w:tcPr>
            <w:tcMar>
              <w:left w:w="70" w:type="dxa"/>
              <w:right w:w="70" w:type="dxa"/>
              <w:top w:w="70" w:type="dxa"/>
              <w:bottom w:w="70" w:type="dxa"/>
            </w:tcMar>
          </w:tcPr>
          <w:p>
            <w:pPr>
              <w:pStyle w:val="Compact"/>
              <w:spacing w:after="0"/>
              <w:jc w:val="left"/>
            </w:pPr>
            <w:r>
              <w:rPr>
                <w:sz w:val="19"/>
              </w:rPr>
              <w:t xml:space="preserve">é, et -ée au féminin</w:t>
            </w:r>
          </w:p>
        </w:tc>
        <w:tc>
          <w:tcPr>
            <w:tcMar>
              <w:left w:w="70" w:type="dxa"/>
              <w:right w:w="70" w:type="dxa"/>
              <w:top w:w="70" w:type="dxa"/>
              <w:bottom w:w="70" w:type="dxa"/>
            </w:tcMar>
          </w:tcPr>
          <w:p>
            <w:pPr>
              <w:pStyle w:val="Compact"/>
              <w:spacing w:after="0"/>
              <w:jc w:val="left"/>
            </w:pPr>
            <w:r>
              <w:rPr>
                <w:sz w:val="19"/>
              </w:rPr>
              <w:t xml:space="preserve">aucun</w:t>
            </w:r>
          </w:p>
        </w:tc>
      </w:tr>
      <w:tr>
        <w:trPr>
          <w:cantSplit/>
        </w:trPr>
        <w:tc>
          <w:tcPr>
            <w:tcMar>
              <w:left w:w="70" w:type="dxa"/>
              <w:right w:w="70" w:type="dxa"/>
              <w:top w:w="70" w:type="dxa"/>
              <w:bottom w:w="70" w:type="dxa"/>
            </w:tcMar>
          </w:tcPr>
          <w:p>
            <w:pPr>
              <w:pStyle w:val="Compact"/>
              <w:spacing w:after="0"/>
              <w:jc w:val="left"/>
            </w:pPr>
            <w:r>
              <w:rPr>
                <w:sz w:val="19"/>
              </w:rPr>
              <w:t xml:space="preserve">baguette</w:t>
            </w:r>
          </w:p>
        </w:tc>
        <w:tc>
          <w:tcPr>
            <w:tcMar>
              <w:left w:w="70" w:type="dxa"/>
              <w:right w:w="70" w:type="dxa"/>
              <w:top w:w="70" w:type="dxa"/>
              <w:bottom w:w="70" w:type="dxa"/>
            </w:tcMar>
          </w:tcPr>
          <w:p>
            <w:pPr>
              <w:pStyle w:val="Compact"/>
              <w:spacing w:after="0"/>
              <w:jc w:val="left"/>
            </w:pPr>
            <w:r>
              <w:rPr>
                <w:sz w:val="19"/>
              </w:rPr>
              <w:t xml:space="preserve">32,0</w:t>
            </w:r>
          </w:p>
        </w:tc>
        <w:tc>
          <w:tcPr>
            <w:tcMar>
              <w:left w:w="70" w:type="dxa"/>
              <w:right w:w="70" w:type="dxa"/>
              <w:top w:w="70" w:type="dxa"/>
              <w:bottom w:w="70" w:type="dxa"/>
            </w:tcMar>
          </w:tcPr>
          <w:p>
            <w:pPr>
              <w:pStyle w:val="Compact"/>
              <w:spacing w:after="0"/>
              <w:jc w:val="left"/>
            </w:pPr>
            <w:r>
              <w:rPr>
                <w:sz w:val="19"/>
              </w:rPr>
              <w:t xml:space="preserve">Lecture / projet d’écriture</w:t>
            </w:r>
          </w:p>
        </w:tc>
        <w:tc>
          <w:tcPr>
            <w:tcMar>
              <w:left w:w="70" w:type="dxa"/>
              <w:right w:w="70" w:type="dxa"/>
              <w:top w:w="70" w:type="dxa"/>
              <w:bottom w:w="70" w:type="dxa"/>
            </w:tcMar>
          </w:tcPr>
          <w:p>
            <w:pPr>
              <w:pStyle w:val="Compact"/>
              <w:spacing w:after="0"/>
              <w:jc w:val="left"/>
            </w:pPr>
            <w:r>
              <w:rPr>
                <w:sz w:val="19"/>
              </w:rPr>
              <w:t xml:space="preserve">graphie de [g] : gu ; tt</w:t>
            </w:r>
          </w:p>
        </w:tc>
        <w:tc>
          <w:tcPr>
            <w:tcMar>
              <w:left w:w="70" w:type="dxa"/>
              <w:right w:w="70" w:type="dxa"/>
              <w:top w:w="70" w:type="dxa"/>
              <w:bottom w:w="70" w:type="dxa"/>
            </w:tcMar>
          </w:tcPr>
          <w:p>
            <w:pPr>
              <w:pStyle w:val="Compact"/>
              <w:spacing w:after="0"/>
              <w:jc w:val="left"/>
            </w:pPr>
            <w:r>
              <w:rPr>
                <w:sz w:val="19"/>
              </w:rPr>
              <w:t xml:space="preserve">verso : -ette, deux t</w:t>
            </w:r>
          </w:p>
        </w:tc>
      </w:tr>
      <w:tr>
        <w:trPr>
          <w:cantSplit/>
        </w:trPr>
        <w:tc>
          <w:tcPr>
            <w:tcMar>
              <w:left w:w="70" w:type="dxa"/>
              <w:right w:w="70" w:type="dxa"/>
              <w:top w:w="70" w:type="dxa"/>
              <w:bottom w:w="70" w:type="dxa"/>
            </w:tcMar>
          </w:tcPr>
          <w:p>
            <w:pPr>
              <w:pStyle w:val="Compact"/>
              <w:spacing w:after="0"/>
              <w:jc w:val="left"/>
            </w:pPr>
            <w:r>
              <w:rPr>
                <w:sz w:val="19"/>
              </w:rPr>
              <w:t xml:space="preserve">magique</w:t>
            </w:r>
          </w:p>
        </w:tc>
        <w:tc>
          <w:tcPr>
            <w:tcMar>
              <w:left w:w="70" w:type="dxa"/>
              <w:right w:w="70" w:type="dxa"/>
              <w:top w:w="70" w:type="dxa"/>
              <w:bottom w:w="70" w:type="dxa"/>
            </w:tcMar>
          </w:tcPr>
          <w:p>
            <w:pPr>
              <w:pStyle w:val="Compact"/>
              <w:spacing w:after="0"/>
              <w:jc w:val="left"/>
            </w:pPr>
            <w:r>
              <w:rPr>
                <w:sz w:val="19"/>
              </w:rPr>
              <w:t xml:space="preserve">101,2</w:t>
            </w:r>
          </w:p>
        </w:tc>
        <w:tc>
          <w:tcPr>
            <w:tcMar>
              <w:left w:w="70" w:type="dxa"/>
              <w:right w:w="70" w:type="dxa"/>
              <w:top w:w="70" w:type="dxa"/>
              <w:bottom w:w="70" w:type="dxa"/>
            </w:tcMar>
          </w:tcPr>
          <w:p>
            <w:pPr>
              <w:pStyle w:val="Compact"/>
              <w:spacing w:after="0"/>
              <w:jc w:val="left"/>
            </w:pPr>
            <w:r>
              <w:rPr>
                <w:sz w:val="19"/>
              </w:rPr>
              <w:t xml:space="preserve">Lecture (baguette magique)</w:t>
            </w:r>
          </w:p>
        </w:tc>
        <w:tc>
          <w:tcPr>
            <w:tcMar>
              <w:left w:w="70" w:type="dxa"/>
              <w:right w:w="70" w:type="dxa"/>
              <w:top w:w="70" w:type="dxa"/>
              <w:bottom w:w="70" w:type="dxa"/>
            </w:tcMar>
          </w:tcPr>
          <w:p>
            <w:pPr>
              <w:pStyle w:val="Compact"/>
              <w:spacing w:after="0"/>
              <w:jc w:val="left"/>
            </w:pPr>
            <w:r>
              <w:rPr>
                <w:sz w:val="19"/>
              </w:rPr>
              <w:t xml:space="preserve">g = [ʒ] ; graphie de [k] : qu</w:t>
            </w:r>
          </w:p>
        </w:tc>
        <w:tc>
          <w:tcPr>
            <w:tcMar>
              <w:left w:w="70" w:type="dxa"/>
              <w:right w:w="70" w:type="dxa"/>
              <w:top w:w="70" w:type="dxa"/>
              <w:bottom w:w="70" w:type="dxa"/>
            </w:tcMar>
          </w:tcPr>
          <w:p>
            <w:pPr>
              <w:pStyle w:val="Compact"/>
              <w:spacing w:after="0"/>
              <w:jc w:val="left"/>
            </w:pPr>
            <w:r>
              <w:rPr>
                <w:sz w:val="19"/>
              </w:rPr>
              <w:t xml:space="preserve">recto : magie</w:t>
            </w:r>
          </w:p>
        </w:tc>
      </w:tr>
      <w:tr>
        <w:trPr>
          <w:cantSplit/>
        </w:trPr>
        <w:tc>
          <w:tcPr>
            <w:tcMar>
              <w:left w:w="70" w:type="dxa"/>
              <w:right w:w="70" w:type="dxa"/>
              <w:top w:w="70" w:type="dxa"/>
              <w:bottom w:w="70" w:type="dxa"/>
            </w:tcMar>
          </w:tcPr>
          <w:p>
            <w:pPr>
              <w:pStyle w:val="Compact"/>
              <w:spacing w:after="0"/>
              <w:jc w:val="left"/>
            </w:pPr>
            <w:r>
              <w:rPr>
                <w:sz w:val="19"/>
              </w:rPr>
              <w:t xml:space="preserve">prince</w:t>
            </w:r>
          </w:p>
        </w:tc>
        <w:tc>
          <w:tcPr>
            <w:tcMar>
              <w:left w:w="70" w:type="dxa"/>
              <w:right w:w="70" w:type="dxa"/>
              <w:top w:w="70" w:type="dxa"/>
              <w:bottom w:w="70" w:type="dxa"/>
            </w:tcMar>
          </w:tcPr>
          <w:p>
            <w:pPr>
              <w:pStyle w:val="Compact"/>
              <w:spacing w:after="0"/>
              <w:jc w:val="left"/>
            </w:pPr>
            <w:r>
              <w:rPr>
                <w:sz w:val="19"/>
              </w:rPr>
              <w:t xml:space="preserve">112,4</w:t>
            </w:r>
          </w:p>
        </w:tc>
        <w:tc>
          <w:tcPr>
            <w:tcMar>
              <w:left w:w="70" w:type="dxa"/>
              <w:right w:w="70" w:type="dxa"/>
              <w:top w:w="70" w:type="dxa"/>
              <w:bottom w:w="70" w:type="dxa"/>
            </w:tcMar>
          </w:tcPr>
          <w:p>
            <w:pPr>
              <w:pStyle w:val="Compact"/>
              <w:spacing w:after="0"/>
              <w:jc w:val="left"/>
            </w:pPr>
            <w:r>
              <w:rPr>
                <w:sz w:val="19"/>
              </w:rPr>
              <w:t xml:space="preserve">Lecture (prince charmant)</w:t>
            </w:r>
          </w:p>
        </w:tc>
        <w:tc>
          <w:tcPr>
            <w:tcMar>
              <w:left w:w="70" w:type="dxa"/>
              <w:right w:w="70" w:type="dxa"/>
              <w:top w:w="70" w:type="dxa"/>
              <w:bottom w:w="70" w:type="dxa"/>
            </w:tcMar>
          </w:tcPr>
          <w:p>
            <w:pPr>
              <w:pStyle w:val="Compact"/>
              <w:spacing w:after="0"/>
              <w:jc w:val="left"/>
            </w:pPr>
            <w:r>
              <w:rPr>
                <w:sz w:val="19"/>
              </w:rPr>
              <w:t xml:space="preserve">nasalisation (in) ; c = [s]</w:t>
            </w:r>
          </w:p>
        </w:tc>
        <w:tc>
          <w:tcPr>
            <w:tcMar>
              <w:left w:w="70" w:type="dxa"/>
              <w:right w:w="70" w:type="dxa"/>
              <w:top w:w="70" w:type="dxa"/>
              <w:bottom w:w="70" w:type="dxa"/>
            </w:tcMar>
          </w:tcPr>
          <w:p>
            <w:pPr>
              <w:pStyle w:val="Compact"/>
              <w:spacing w:after="0"/>
              <w:jc w:val="left"/>
            </w:pPr>
            <w:r>
              <w:rPr>
                <w:sz w:val="19"/>
              </w:rPr>
              <w:t xml:space="preserve">verso : princesse</w:t>
            </w:r>
          </w:p>
        </w:tc>
      </w:tr>
      <w:tr>
        <w:trPr>
          <w:cantSplit/>
        </w:trPr>
        <w:tc>
          <w:tcPr>
            <w:tcMar>
              <w:left w:w="70" w:type="dxa"/>
              <w:right w:w="70" w:type="dxa"/>
              <w:top w:w="70" w:type="dxa"/>
              <w:bottom w:w="70" w:type="dxa"/>
            </w:tcMar>
          </w:tcPr>
          <w:p>
            <w:pPr>
              <w:pStyle w:val="Compact"/>
              <w:spacing w:after="0"/>
              <w:jc w:val="left"/>
            </w:pPr>
            <w:r>
              <w:rPr>
                <w:sz w:val="19"/>
              </w:rPr>
              <w:t xml:space="preserve">embrasser</w:t>
            </w:r>
          </w:p>
        </w:tc>
        <w:tc>
          <w:tcPr>
            <w:tcMar>
              <w:left w:w="70" w:type="dxa"/>
              <w:right w:w="70" w:type="dxa"/>
              <w:top w:w="70" w:type="dxa"/>
              <w:bottom w:w="70" w:type="dxa"/>
            </w:tcMar>
          </w:tcPr>
          <w:p>
            <w:pPr>
              <w:pStyle w:val="Compact"/>
              <w:spacing w:after="0"/>
              <w:jc w:val="left"/>
            </w:pPr>
            <w:r>
              <w:rPr>
                <w:sz w:val="19"/>
              </w:rPr>
              <w:t xml:space="preserve">12,1</w:t>
            </w:r>
          </w:p>
        </w:tc>
        <w:tc>
          <w:tcPr>
            <w:tcMar>
              <w:left w:w="70" w:type="dxa"/>
              <w:right w:w="70" w:type="dxa"/>
              <w:top w:w="70" w:type="dxa"/>
              <w:bottom w:w="70" w:type="dxa"/>
            </w:tcMar>
          </w:tcPr>
          <w:p>
            <w:pPr>
              <w:pStyle w:val="Compact"/>
              <w:spacing w:after="0"/>
              <w:jc w:val="left"/>
            </w:pPr>
            <w:r>
              <w:rPr>
                <w:sz w:val="19"/>
              </w:rPr>
              <w:t xml:space="preserve">Lecture / chute du texte</w:t>
            </w:r>
          </w:p>
        </w:tc>
        <w:tc>
          <w:tcPr>
            <w:tcMar>
              <w:left w:w="70" w:type="dxa"/>
              <w:right w:w="70" w:type="dxa"/>
              <w:top w:w="70" w:type="dxa"/>
              <w:bottom w:w="70" w:type="dxa"/>
            </w:tcMar>
          </w:tcPr>
          <w:p>
            <w:pPr>
              <w:pStyle w:val="Compact"/>
              <w:spacing w:after="0"/>
              <w:jc w:val="left"/>
            </w:pPr>
            <w:r>
              <w:rPr>
                <w:sz w:val="19"/>
              </w:rPr>
              <w:t xml:space="preserve">em devant b ; ss</w:t>
            </w:r>
          </w:p>
        </w:tc>
        <w:tc>
          <w:tcPr>
            <w:tcMar>
              <w:left w:w="70" w:type="dxa"/>
              <w:right w:w="70" w:type="dxa"/>
              <w:top w:w="70" w:type="dxa"/>
              <w:bottom w:w="70" w:type="dxa"/>
            </w:tcMar>
          </w:tcPr>
          <w:p>
            <w:pPr>
              <w:pStyle w:val="Compact"/>
              <w:spacing w:after="0"/>
              <w:jc w:val="left"/>
            </w:pPr>
            <w:r>
              <w:rPr>
                <w:sz w:val="19"/>
              </w:rPr>
              <w:t xml:space="preserve">recto : bras</w:t>
            </w:r>
          </w:p>
        </w:tc>
      </w:tr>
      <w:tr>
        <w:trPr>
          <w:cantSplit/>
        </w:trPr>
        <w:tc>
          <w:tcPr>
            <w:tcMar>
              <w:left w:w="70" w:type="dxa"/>
              <w:right w:w="70" w:type="dxa"/>
              <w:top w:w="70" w:type="dxa"/>
              <w:bottom w:w="70" w:type="dxa"/>
            </w:tcMar>
          </w:tcPr>
          <w:p>
            <w:pPr>
              <w:pStyle w:val="Compact"/>
              <w:spacing w:after="0"/>
              <w:jc w:val="left"/>
            </w:pPr>
            <w:r>
              <w:rPr>
                <w:sz w:val="19"/>
              </w:rPr>
              <w:t xml:space="preserve">transformer</w:t>
            </w:r>
          </w:p>
        </w:tc>
        <w:tc>
          <w:tcPr>
            <w:tcMar>
              <w:left w:w="70" w:type="dxa"/>
              <w:right w:w="70" w:type="dxa"/>
              <w:top w:w="70" w:type="dxa"/>
              <w:bottom w:w="70" w:type="dxa"/>
            </w:tcMar>
          </w:tcPr>
          <w:p>
            <w:pPr>
              <w:pStyle w:val="Compact"/>
              <w:spacing w:after="0"/>
              <w:jc w:val="left"/>
            </w:pPr>
            <w:r>
              <w:rPr>
                <w:sz w:val="19"/>
              </w:rPr>
              <w:t xml:space="preserve">25,3</w:t>
            </w:r>
          </w:p>
        </w:tc>
        <w:tc>
          <w:tcPr>
            <w:tcMar>
              <w:left w:w="70" w:type="dxa"/>
              <w:right w:w="70" w:type="dxa"/>
              <w:top w:w="70" w:type="dxa"/>
              <w:bottom w:w="70" w:type="dxa"/>
            </w:tcMar>
          </w:tcPr>
          <w:p>
            <w:pPr>
              <w:pStyle w:val="Compact"/>
              <w:spacing w:after="0"/>
              <w:jc w:val="left"/>
            </w:pPr>
            <w:r>
              <w:rPr>
                <w:sz w:val="19"/>
              </w:rPr>
              <w:t xml:space="preserve">Projet d’écriture (verbe clé)</w:t>
            </w:r>
          </w:p>
        </w:tc>
        <w:tc>
          <w:tcPr>
            <w:tcMar>
              <w:left w:w="70" w:type="dxa"/>
              <w:right w:w="70" w:type="dxa"/>
              <w:top w:w="70" w:type="dxa"/>
              <w:bottom w:w="70" w:type="dxa"/>
            </w:tcMar>
          </w:tcPr>
          <w:p>
            <w:pPr>
              <w:pStyle w:val="Compact"/>
              <w:spacing w:after="0"/>
              <w:jc w:val="left"/>
            </w:pPr>
            <w:r>
              <w:rPr>
                <w:sz w:val="19"/>
              </w:rPr>
              <w:t xml:space="preserve">nasalisation (an)</w:t>
            </w:r>
          </w:p>
        </w:tc>
        <w:tc>
          <w:tcPr>
            <w:tcMar>
              <w:left w:w="70" w:type="dxa"/>
              <w:right w:w="70" w:type="dxa"/>
              <w:top w:w="70" w:type="dxa"/>
              <w:bottom w:w="70" w:type="dxa"/>
            </w:tcMar>
          </w:tcPr>
          <w:p>
            <w:pPr>
              <w:pStyle w:val="Compact"/>
              <w:spacing w:after="0"/>
              <w:jc w:val="left"/>
            </w:pPr>
            <w:r>
              <w:rPr>
                <w:sz w:val="19"/>
              </w:rPr>
              <w:t xml:space="preserve">recto : forme</w:t>
            </w:r>
          </w:p>
        </w:tc>
      </w:tr>
      <w:tr>
        <w:trPr>
          <w:cantSplit/>
        </w:trPr>
        <w:tc>
          <w:tcPr>
            <w:tcMar>
              <w:left w:w="70" w:type="dxa"/>
              <w:right w:w="70" w:type="dxa"/>
              <w:top w:w="70" w:type="dxa"/>
              <w:bottom w:w="70" w:type="dxa"/>
            </w:tcMar>
          </w:tcPr>
          <w:p>
            <w:pPr>
              <w:pStyle w:val="Compact"/>
              <w:spacing w:after="0"/>
              <w:jc w:val="left"/>
            </w:pPr>
            <w:r>
              <w:rPr>
                <w:sz w:val="19"/>
              </w:rPr>
              <w:t xml:space="preserve">remercier</w:t>
            </w:r>
          </w:p>
        </w:tc>
        <w:tc>
          <w:tcPr>
            <w:tcMar>
              <w:left w:w="70" w:type="dxa"/>
              <w:right w:w="70" w:type="dxa"/>
              <w:top w:w="70" w:type="dxa"/>
              <w:bottom w:w="70" w:type="dxa"/>
            </w:tcMar>
          </w:tcPr>
          <w:p>
            <w:pPr>
              <w:pStyle w:val="Compact"/>
              <w:spacing w:after="0"/>
              <w:jc w:val="left"/>
            </w:pPr>
            <w:r>
              <w:rPr>
                <w:sz w:val="19"/>
              </w:rPr>
              <w:t xml:space="preserve">19,5</w:t>
            </w:r>
          </w:p>
        </w:tc>
        <w:tc>
          <w:tcPr>
            <w:tcMar>
              <w:left w:w="70" w:type="dxa"/>
              <w:right w:w="70" w:type="dxa"/>
              <w:top w:w="70" w:type="dxa"/>
              <w:bottom w:w="70" w:type="dxa"/>
            </w:tcMar>
          </w:tcPr>
          <w:p>
            <w:pPr>
              <w:pStyle w:val="Compact"/>
              <w:spacing w:after="0"/>
              <w:jc w:val="left"/>
            </w:pPr>
            <w:r>
              <w:rPr>
                <w:sz w:val="19"/>
              </w:rPr>
              <w:t xml:space="preserve">Lecture / projet d’écriture</w:t>
            </w:r>
          </w:p>
        </w:tc>
        <w:tc>
          <w:tcPr>
            <w:tcMar>
              <w:left w:w="70" w:type="dxa"/>
              <w:right w:w="70" w:type="dxa"/>
              <w:top w:w="70" w:type="dxa"/>
              <w:bottom w:w="70" w:type="dxa"/>
            </w:tcMar>
          </w:tcPr>
          <w:p>
            <w:pPr>
              <w:pStyle w:val="Compact"/>
              <w:spacing w:after="0"/>
              <w:jc w:val="left"/>
            </w:pPr>
            <w:r>
              <w:rPr>
                <w:sz w:val="19"/>
              </w:rPr>
              <w:t xml:space="preserve">c = [s] devant i</w:t>
            </w:r>
          </w:p>
        </w:tc>
        <w:tc>
          <w:tcPr>
            <w:tcMar>
              <w:left w:w="70" w:type="dxa"/>
              <w:right w:w="70" w:type="dxa"/>
              <w:top w:w="70" w:type="dxa"/>
              <w:bottom w:w="70" w:type="dxa"/>
            </w:tcMar>
          </w:tcPr>
          <w:p>
            <w:pPr>
              <w:pStyle w:val="Compact"/>
              <w:spacing w:after="0"/>
              <w:jc w:val="left"/>
            </w:pPr>
            <w:r>
              <w:rPr>
                <w:sz w:val="19"/>
              </w:rPr>
              <w:t xml:space="preserve">recto : merci</w:t>
            </w:r>
          </w:p>
        </w:tc>
      </w:tr>
      <w:tr>
        <w:trPr>
          <w:cantSplit/>
        </w:trPr>
        <w:tc>
          <w:tcPr>
            <w:tcMar>
              <w:left w:w="70" w:type="dxa"/>
              <w:right w:w="70" w:type="dxa"/>
              <w:top w:w="70" w:type="dxa"/>
              <w:bottom w:w="70" w:type="dxa"/>
            </w:tcMar>
          </w:tcPr>
          <w:p>
            <w:pPr>
              <w:pStyle w:val="Compact"/>
              <w:spacing w:after="0"/>
              <w:jc w:val="left"/>
            </w:pPr>
            <w:r>
              <w:rPr>
                <w:sz w:val="19"/>
              </w:rPr>
              <w:t xml:space="preserve">attendre</w:t>
            </w:r>
          </w:p>
        </w:tc>
        <w:tc>
          <w:tcPr>
            <w:tcMar>
              <w:left w:w="70" w:type="dxa"/>
              <w:right w:w="70" w:type="dxa"/>
              <w:top w:w="70" w:type="dxa"/>
              <w:bottom w:w="70" w:type="dxa"/>
            </w:tcMar>
          </w:tcPr>
          <w:p>
            <w:pPr>
              <w:pStyle w:val="Compact"/>
              <w:spacing w:after="0"/>
              <w:jc w:val="left"/>
            </w:pPr>
            <w:r>
              <w:rPr>
                <w:sz w:val="19"/>
              </w:rPr>
              <w:t xml:space="preserve">84,0</w:t>
            </w:r>
          </w:p>
        </w:tc>
        <w:tc>
          <w:tcPr>
            <w:tcMar>
              <w:left w:w="70" w:type="dxa"/>
              <w:right w:w="70" w:type="dxa"/>
              <w:top w:w="70" w:type="dxa"/>
              <w:bottom w:w="70" w:type="dxa"/>
            </w:tcMar>
          </w:tcPr>
          <w:p>
            <w:pPr>
              <w:pStyle w:val="Compact"/>
              <w:spacing w:after="0"/>
              <w:jc w:val="left"/>
            </w:pPr>
            <w:r>
              <w:rPr>
                <w:sz w:val="19"/>
              </w:rPr>
              <w:t xml:space="preserve">Lecture (« j’attends »)</w:t>
            </w:r>
          </w:p>
        </w:tc>
        <w:tc>
          <w:tcPr>
            <w:tcMar>
              <w:left w:w="70" w:type="dxa"/>
              <w:right w:w="70" w:type="dxa"/>
              <w:top w:w="70" w:type="dxa"/>
              <w:bottom w:w="70" w:type="dxa"/>
            </w:tcMar>
          </w:tcPr>
          <w:p>
            <w:pPr>
              <w:pStyle w:val="Compact"/>
              <w:spacing w:after="0"/>
              <w:jc w:val="left"/>
            </w:pPr>
            <w:r>
              <w:rPr>
                <w:sz w:val="19"/>
              </w:rPr>
              <w:t xml:space="preserve">tt ; nasalisation (en)</w:t>
            </w:r>
          </w:p>
        </w:tc>
        <w:tc>
          <w:tcPr>
            <w:tcMar>
              <w:left w:w="70" w:type="dxa"/>
              <w:right w:w="70" w:type="dxa"/>
              <w:top w:w="70" w:type="dxa"/>
              <w:bottom w:w="70" w:type="dxa"/>
            </w:tcMar>
          </w:tcPr>
          <w:p>
            <w:pPr>
              <w:pStyle w:val="Compact"/>
              <w:spacing w:after="0"/>
              <w:jc w:val="left"/>
            </w:pPr>
            <w:r>
              <w:rPr>
                <w:sz w:val="19"/>
              </w:rPr>
              <w:t xml:space="preserve">verso : attente</w:t>
            </w:r>
          </w:p>
        </w:tc>
      </w:tr>
      <w:tr>
        <w:trPr>
          <w:cantSplit/>
        </w:trPr>
        <w:tc>
          <w:tcPr>
            <w:tcMar>
              <w:left w:w="70" w:type="dxa"/>
              <w:right w:w="70" w:type="dxa"/>
              <w:top w:w="70" w:type="dxa"/>
              <w:bottom w:w="70" w:type="dxa"/>
            </w:tcMar>
          </w:tcPr>
          <w:p>
            <w:pPr>
              <w:pStyle w:val="Compact"/>
              <w:spacing w:after="0"/>
              <w:jc w:val="left"/>
            </w:pPr>
            <w:r>
              <w:rPr>
                <w:sz w:val="19"/>
              </w:rPr>
              <w:t xml:space="preserve">trompette</w:t>
            </w:r>
          </w:p>
        </w:tc>
        <w:tc>
          <w:tcPr>
            <w:tcMar>
              <w:left w:w="70" w:type="dxa"/>
              <w:right w:w="70" w:type="dxa"/>
              <w:top w:w="70" w:type="dxa"/>
              <w:bottom w:w="70" w:type="dxa"/>
            </w:tcMar>
          </w:tcPr>
          <w:p>
            <w:pPr>
              <w:pStyle w:val="Compact"/>
              <w:spacing w:after="0"/>
              <w:jc w:val="left"/>
            </w:pPr>
            <w:r>
              <w:rPr>
                <w:sz w:val="19"/>
              </w:rPr>
              <w:t xml:space="preserve">29,0</w:t>
            </w:r>
          </w:p>
        </w:tc>
        <w:tc>
          <w:tcPr>
            <w:tcMar>
              <w:left w:w="70" w:type="dxa"/>
              <w:right w:w="70" w:type="dxa"/>
              <w:top w:w="70" w:type="dxa"/>
              <w:bottom w:w="70" w:type="dxa"/>
            </w:tcMar>
          </w:tcPr>
          <w:p>
            <w:pPr>
              <w:pStyle w:val="Compact"/>
              <w:spacing w:after="0"/>
              <w:jc w:val="left"/>
            </w:pPr>
            <w:r>
              <w:rPr>
                <w:sz w:val="19"/>
              </w:rPr>
              <w:t xml:space="preserve">Lecture (cours de trompette)</w:t>
            </w:r>
          </w:p>
        </w:tc>
        <w:tc>
          <w:tcPr>
            <w:tcMar>
              <w:left w:w="70" w:type="dxa"/>
              <w:right w:w="70" w:type="dxa"/>
              <w:top w:w="70" w:type="dxa"/>
              <w:bottom w:w="70" w:type="dxa"/>
            </w:tcMar>
          </w:tcPr>
          <w:p>
            <w:pPr>
              <w:pStyle w:val="Compact"/>
              <w:spacing w:after="0"/>
              <w:jc w:val="left"/>
            </w:pPr>
            <w:r>
              <w:rPr>
                <w:sz w:val="19"/>
              </w:rPr>
              <w:t xml:space="preserve">om devant p ; tt</w:t>
            </w:r>
          </w:p>
        </w:tc>
        <w:tc>
          <w:tcPr>
            <w:tcMar>
              <w:left w:w="70" w:type="dxa"/>
              <w:right w:w="70" w:type="dxa"/>
              <w:top w:w="70" w:type="dxa"/>
              <w:bottom w:w="70" w:type="dxa"/>
            </w:tcMar>
          </w:tcPr>
          <w:p>
            <w:pPr>
              <w:pStyle w:val="Compact"/>
              <w:spacing w:after="0"/>
              <w:jc w:val="left"/>
            </w:pPr>
            <w:r>
              <w:rPr>
                <w:sz w:val="19"/>
              </w:rPr>
              <w:t xml:space="preserve">recto : trompe</w:t>
            </w:r>
          </w:p>
        </w:tc>
      </w:tr>
      <w:tr>
        <w:trPr>
          <w:cantSplit/>
        </w:trPr>
        <w:tc>
          <w:tcPr>
            <w:tcMar>
              <w:left w:w="70" w:type="dxa"/>
              <w:right w:w="70" w:type="dxa"/>
              <w:top w:w="70" w:type="dxa"/>
              <w:bottom w:w="70" w:type="dxa"/>
            </w:tcMar>
          </w:tcPr>
          <w:p>
            <w:pPr>
              <w:pStyle w:val="Compact"/>
              <w:spacing w:after="0"/>
              <w:jc w:val="left"/>
            </w:pPr>
            <w:r>
              <w:rPr>
                <w:sz w:val="19"/>
              </w:rPr>
              <w:t xml:space="preserve">chaussures</w:t>
            </w:r>
          </w:p>
        </w:tc>
        <w:tc>
          <w:tcPr>
            <w:tcMar>
              <w:left w:w="70" w:type="dxa"/>
              <w:right w:w="70" w:type="dxa"/>
              <w:top w:w="70" w:type="dxa"/>
              <w:bottom w:w="70" w:type="dxa"/>
            </w:tcMar>
          </w:tcPr>
          <w:p>
            <w:pPr>
              <w:pStyle w:val="Compact"/>
              <w:spacing w:after="0"/>
              <w:jc w:val="left"/>
            </w:pPr>
            <w:r>
              <w:rPr>
                <w:sz w:val="19"/>
              </w:rPr>
              <w:t xml:space="preserve">76,2</w:t>
            </w:r>
          </w:p>
        </w:tc>
        <w:tc>
          <w:tcPr>
            <w:tcMar>
              <w:left w:w="70" w:type="dxa"/>
              <w:right w:w="70" w:type="dxa"/>
              <w:top w:w="70" w:type="dxa"/>
              <w:bottom w:w="70" w:type="dxa"/>
            </w:tcMar>
          </w:tcPr>
          <w:p>
            <w:pPr>
              <w:pStyle w:val="Compact"/>
              <w:spacing w:after="0"/>
              <w:jc w:val="left"/>
            </w:pPr>
            <w:r>
              <w:rPr>
                <w:sz w:val="19"/>
              </w:rPr>
              <w:t xml:space="preserve">Lecture / V1 (vêtements)</w:t>
            </w:r>
          </w:p>
        </w:tc>
        <w:tc>
          <w:tcPr>
            <w:tcMar>
              <w:left w:w="70" w:type="dxa"/>
              <w:right w:w="70" w:type="dxa"/>
              <w:top w:w="70" w:type="dxa"/>
              <w:bottom w:w="70" w:type="dxa"/>
            </w:tcMar>
          </w:tcPr>
          <w:p>
            <w:pPr>
              <w:pStyle w:val="Compact"/>
              <w:spacing w:after="0"/>
              <w:jc w:val="left"/>
            </w:pPr>
            <w:r>
              <w:rPr>
                <w:sz w:val="19"/>
              </w:rPr>
              <w:t xml:space="preserve">au ; ss</w:t>
            </w:r>
          </w:p>
        </w:tc>
        <w:tc>
          <w:tcPr>
            <w:tcMar>
              <w:left w:w="70" w:type="dxa"/>
              <w:right w:w="70" w:type="dxa"/>
              <w:top w:w="70" w:type="dxa"/>
              <w:bottom w:w="70" w:type="dxa"/>
            </w:tcMar>
          </w:tcPr>
          <w:p>
            <w:pPr>
              <w:pStyle w:val="Compact"/>
              <w:spacing w:after="0"/>
              <w:jc w:val="left"/>
            </w:pPr>
            <w:r>
              <w:rPr>
                <w:sz w:val="19"/>
              </w:rPr>
              <w:t xml:space="preserve">verso : chausser</w:t>
            </w:r>
          </w:p>
        </w:tc>
      </w:tr>
      <w:tr>
        <w:trPr>
          <w:cantSplit/>
        </w:trPr>
        <w:tc>
          <w:tcPr>
            <w:tcMar>
              <w:left w:w="70" w:type="dxa"/>
              <w:right w:w="70" w:type="dxa"/>
              <w:top w:w="70" w:type="dxa"/>
              <w:bottom w:w="70" w:type="dxa"/>
            </w:tcMar>
          </w:tcPr>
          <w:p>
            <w:pPr>
              <w:pStyle w:val="Compact"/>
              <w:spacing w:after="0"/>
              <w:jc w:val="left"/>
            </w:pPr>
            <w:r>
              <w:rPr>
                <w:sz w:val="19"/>
              </w:rPr>
              <w:t xml:space="preserve">équilibre</w:t>
            </w:r>
          </w:p>
        </w:tc>
        <w:tc>
          <w:tcPr>
            <w:tcMar>
              <w:left w:w="70" w:type="dxa"/>
              <w:right w:w="70" w:type="dxa"/>
              <w:top w:w="70" w:type="dxa"/>
              <w:bottom w:w="70" w:type="dxa"/>
            </w:tcMar>
          </w:tcPr>
          <w:p>
            <w:pPr>
              <w:pStyle w:val="Compact"/>
              <w:spacing w:after="0"/>
              <w:jc w:val="left"/>
            </w:pPr>
            <w:r>
              <w:rPr>
                <w:sz w:val="19"/>
              </w:rPr>
              <w:t xml:space="preserve">29,8</w:t>
            </w:r>
          </w:p>
        </w:tc>
        <w:tc>
          <w:tcPr>
            <w:tcMar>
              <w:left w:w="70" w:type="dxa"/>
              <w:right w:w="70" w:type="dxa"/>
              <w:top w:w="70" w:type="dxa"/>
              <w:bottom w:w="70" w:type="dxa"/>
            </w:tcMar>
          </w:tcPr>
          <w:p>
            <w:pPr>
              <w:pStyle w:val="Compact"/>
              <w:spacing w:after="0"/>
              <w:jc w:val="left"/>
            </w:pPr>
            <w:r>
              <w:rPr>
                <w:sz w:val="19"/>
              </w:rPr>
              <w:t xml:space="preserve">Lecture (perdre l’équilibre)</w:t>
            </w:r>
          </w:p>
        </w:tc>
        <w:tc>
          <w:tcPr>
            <w:tcMar>
              <w:left w:w="70" w:type="dxa"/>
              <w:right w:w="70" w:type="dxa"/>
              <w:top w:w="70" w:type="dxa"/>
              <w:bottom w:w="70" w:type="dxa"/>
            </w:tcMar>
          </w:tcPr>
          <w:p>
            <w:pPr>
              <w:pStyle w:val="Compact"/>
              <w:spacing w:after="0"/>
              <w:jc w:val="left"/>
            </w:pPr>
            <w:r>
              <w:rPr>
                <w:sz w:val="19"/>
              </w:rPr>
              <w:t xml:space="preserve">graphie de [k] : qu</w:t>
            </w:r>
          </w:p>
        </w:tc>
        <w:tc>
          <w:tcPr>
            <w:tcMar>
              <w:left w:w="70" w:type="dxa"/>
              <w:right w:w="70" w:type="dxa"/>
              <w:top w:w="70" w:type="dxa"/>
              <w:bottom w:w="70" w:type="dxa"/>
            </w:tcMar>
          </w:tcPr>
          <w:p>
            <w:pPr>
              <w:pStyle w:val="Compact"/>
              <w:spacing w:after="0"/>
              <w:jc w:val="left"/>
            </w:pPr>
            <w:r>
              <w:rPr>
                <w:sz w:val="19"/>
              </w:rPr>
              <w:t xml:space="preserve">aucun</w:t>
            </w:r>
          </w:p>
        </w:tc>
      </w:tr>
      <w:tr>
        <w:trPr>
          <w:cantSplit/>
        </w:trPr>
        <w:tc>
          <w:tcPr>
            <w:tcMar>
              <w:left w:w="70" w:type="dxa"/>
              <w:right w:w="70" w:type="dxa"/>
              <w:top w:w="70" w:type="dxa"/>
              <w:bottom w:w="70" w:type="dxa"/>
            </w:tcMar>
          </w:tcPr>
          <w:p>
            <w:pPr>
              <w:pStyle w:val="Compact"/>
              <w:spacing w:after="0"/>
              <w:jc w:val="left"/>
            </w:pPr>
            <w:r>
              <w:rPr>
                <w:sz w:val="19"/>
              </w:rPr>
              <w:t xml:space="preserve">étiquette</w:t>
            </w:r>
          </w:p>
        </w:tc>
        <w:tc>
          <w:tcPr>
            <w:tcMar>
              <w:left w:w="70" w:type="dxa"/>
              <w:right w:w="70" w:type="dxa"/>
              <w:top w:w="70" w:type="dxa"/>
              <w:bottom w:w="70" w:type="dxa"/>
            </w:tcMar>
          </w:tcPr>
          <w:p>
            <w:pPr>
              <w:pStyle w:val="Compact"/>
              <w:spacing w:after="0"/>
              <w:jc w:val="left"/>
            </w:pPr>
            <w:r>
              <w:rPr>
                <w:sz w:val="19"/>
              </w:rPr>
              <w:t xml:space="preserve">20,1</w:t>
            </w:r>
          </w:p>
        </w:tc>
        <w:tc>
          <w:tcPr>
            <w:tcMar>
              <w:left w:w="70" w:type="dxa"/>
              <w:right w:w="70" w:type="dxa"/>
              <w:top w:w="70" w:type="dxa"/>
              <w:bottom w:w="70" w:type="dxa"/>
            </w:tcMar>
          </w:tcPr>
          <w:p>
            <w:pPr>
              <w:pStyle w:val="Compact"/>
              <w:spacing w:after="0"/>
              <w:jc w:val="left"/>
            </w:pPr>
            <w:r>
              <w:rPr>
                <w:sz w:val="19"/>
              </w:rPr>
              <w:t xml:space="preserve">Lecture (étiquette de prix)</w:t>
            </w:r>
          </w:p>
        </w:tc>
        <w:tc>
          <w:tcPr>
            <w:tcMar>
              <w:left w:w="70" w:type="dxa"/>
              <w:right w:w="70" w:type="dxa"/>
              <w:top w:w="70" w:type="dxa"/>
              <w:bottom w:w="70" w:type="dxa"/>
            </w:tcMar>
          </w:tcPr>
          <w:p>
            <w:pPr>
              <w:pStyle w:val="Compact"/>
              <w:spacing w:after="0"/>
              <w:jc w:val="left"/>
            </w:pPr>
            <w:r>
              <w:rPr>
                <w:sz w:val="19"/>
              </w:rPr>
              <w:t xml:space="preserve">qu ; tt</w:t>
            </w:r>
          </w:p>
        </w:tc>
        <w:tc>
          <w:tcPr>
            <w:tcMar>
              <w:left w:w="70" w:type="dxa"/>
              <w:right w:w="70" w:type="dxa"/>
              <w:top w:w="70" w:type="dxa"/>
              <w:bottom w:w="70" w:type="dxa"/>
            </w:tcMar>
          </w:tcPr>
          <w:p>
            <w:pPr>
              <w:pStyle w:val="Compact"/>
              <w:spacing w:after="0"/>
              <w:jc w:val="left"/>
            </w:pPr>
            <w:r>
              <w:rPr>
                <w:sz w:val="19"/>
              </w:rPr>
              <w:t xml:space="preserve">verso : -ette, deux t</w:t>
            </w:r>
          </w:p>
        </w:tc>
      </w:tr>
      <w:tr>
        <w:trPr>
          <w:cantSplit/>
        </w:trPr>
        <w:tc>
          <w:tcPr>
            <w:tcMar>
              <w:left w:w="70" w:type="dxa"/>
              <w:right w:w="70" w:type="dxa"/>
              <w:top w:w="70" w:type="dxa"/>
              <w:bottom w:w="70" w:type="dxa"/>
            </w:tcMar>
          </w:tcPr>
          <w:p>
            <w:pPr>
              <w:pStyle w:val="Compact"/>
              <w:spacing w:after="0"/>
              <w:jc w:val="left"/>
            </w:pPr>
            <w:r>
              <w:rPr>
                <w:sz w:val="19"/>
              </w:rPr>
              <w:t xml:space="preserve">prix</w:t>
            </w:r>
          </w:p>
        </w:tc>
        <w:tc>
          <w:tcPr>
            <w:tcMar>
              <w:left w:w="70" w:type="dxa"/>
              <w:right w:w="70" w:type="dxa"/>
              <w:top w:w="70" w:type="dxa"/>
              <w:bottom w:w="70" w:type="dxa"/>
            </w:tcMar>
          </w:tcPr>
          <w:p>
            <w:pPr>
              <w:pStyle w:val="Compact"/>
              <w:spacing w:after="0"/>
              <w:jc w:val="left"/>
            </w:pPr>
            <w:r>
              <w:rPr>
                <w:sz w:val="19"/>
              </w:rPr>
              <w:t xml:space="preserve">140,1</w:t>
            </w:r>
          </w:p>
        </w:tc>
        <w:tc>
          <w:tcPr>
            <w:tcMar>
              <w:left w:w="70" w:type="dxa"/>
              <w:right w:w="70" w:type="dxa"/>
              <w:top w:w="70" w:type="dxa"/>
              <w:bottom w:w="70" w:type="dxa"/>
            </w:tcMar>
          </w:tcPr>
          <w:p>
            <w:pPr>
              <w:pStyle w:val="Compact"/>
              <w:spacing w:after="0"/>
              <w:jc w:val="left"/>
            </w:pPr>
            <w:r>
              <w:rPr>
                <w:sz w:val="19"/>
              </w:rPr>
              <w:t xml:space="preserve">Lecture (étiquette de prix)</w:t>
            </w:r>
          </w:p>
        </w:tc>
        <w:tc>
          <w:tcPr>
            <w:tcMar>
              <w:left w:w="70" w:type="dxa"/>
              <w:right w:w="70" w:type="dxa"/>
              <w:top w:w="70" w:type="dxa"/>
              <w:bottom w:w="70" w:type="dxa"/>
            </w:tcMar>
          </w:tcPr>
          <w:p>
            <w:pPr>
              <w:pStyle w:val="Compact"/>
              <w:spacing w:after="0"/>
              <w:jc w:val="left"/>
            </w:pPr>
            <w:r>
              <w:rPr>
                <w:sz w:val="19"/>
              </w:rPr>
              <w:t xml:space="preserve">lettre muette : x</w:t>
            </w:r>
          </w:p>
        </w:tc>
        <w:tc>
          <w:tcPr>
            <w:tcMar>
              <w:left w:w="70" w:type="dxa"/>
              <w:right w:w="70" w:type="dxa"/>
              <w:top w:w="70" w:type="dxa"/>
              <w:bottom w:w="70" w:type="dxa"/>
            </w:tcMar>
          </w:tcPr>
          <w:p>
            <w:pPr>
              <w:pStyle w:val="Compact"/>
              <w:spacing w:after="0"/>
              <w:jc w:val="left"/>
            </w:pPr>
            <w:r>
              <w:rPr>
                <w:sz w:val="19"/>
              </w:rPr>
              <w:t xml:space="preserve">aucun</w:t>
            </w:r>
          </w:p>
        </w:tc>
      </w:tr>
      <w:tr>
        <w:trPr>
          <w:cantSplit/>
        </w:trPr>
        <w:tc>
          <w:tcPr>
            <w:tcMar>
              <w:left w:w="70" w:type="dxa"/>
              <w:right w:w="70" w:type="dxa"/>
              <w:top w:w="70" w:type="dxa"/>
              <w:bottom w:w="70" w:type="dxa"/>
            </w:tcMar>
          </w:tcPr>
          <w:p>
            <w:pPr>
              <w:pStyle w:val="Compact"/>
              <w:spacing w:after="0"/>
              <w:jc w:val="left"/>
            </w:pPr>
            <w:r>
              <w:rPr>
                <w:sz w:val="19"/>
              </w:rPr>
              <w:t xml:space="preserve">poireau</w:t>
            </w:r>
          </w:p>
        </w:tc>
        <w:tc>
          <w:tcPr>
            <w:tcMar>
              <w:left w:w="70" w:type="dxa"/>
              <w:right w:w="70" w:type="dxa"/>
              <w:top w:w="70" w:type="dxa"/>
              <w:bottom w:w="70" w:type="dxa"/>
            </w:tcMar>
          </w:tcPr>
          <w:p>
            <w:pPr>
              <w:pStyle w:val="Compact"/>
              <w:spacing w:after="0"/>
              <w:jc w:val="left"/>
            </w:pPr>
            <w:r>
              <w:rPr>
                <w:sz w:val="19"/>
              </w:rPr>
              <w:t xml:space="preserve">12,2</w:t>
            </w:r>
          </w:p>
        </w:tc>
        <w:tc>
          <w:tcPr>
            <w:tcMar>
              <w:left w:w="70" w:type="dxa"/>
              <w:right w:w="70" w:type="dxa"/>
              <w:top w:w="70" w:type="dxa"/>
              <w:bottom w:w="70" w:type="dxa"/>
            </w:tcMar>
          </w:tcPr>
          <w:p>
            <w:pPr>
              <w:pStyle w:val="Compact"/>
              <w:spacing w:after="0"/>
              <w:jc w:val="left"/>
            </w:pPr>
            <w:r>
              <w:rPr>
                <w:sz w:val="19"/>
              </w:rPr>
              <w:t xml:space="preserve">Lecture / V1 (légumes)</w:t>
            </w:r>
          </w:p>
        </w:tc>
        <w:tc>
          <w:tcPr>
            <w:tcMar>
              <w:left w:w="70" w:type="dxa"/>
              <w:right w:w="70" w:type="dxa"/>
              <w:top w:w="70" w:type="dxa"/>
              <w:bottom w:w="70" w:type="dxa"/>
            </w:tcMar>
          </w:tcPr>
          <w:p>
            <w:pPr>
              <w:pStyle w:val="Compact"/>
              <w:spacing w:after="0"/>
              <w:jc w:val="left"/>
            </w:pPr>
            <w:r>
              <w:rPr>
                <w:sz w:val="19"/>
              </w:rPr>
              <w:t xml:space="preserve">oi ; -eau → -eaux</w:t>
            </w:r>
          </w:p>
        </w:tc>
        <w:tc>
          <w:tcPr>
            <w:tcMar>
              <w:left w:w="70" w:type="dxa"/>
              <w:right w:w="70" w:type="dxa"/>
              <w:top w:w="70" w:type="dxa"/>
              <w:bottom w:w="70" w:type="dxa"/>
            </w:tcMar>
          </w:tcPr>
          <w:p>
            <w:pPr>
              <w:pStyle w:val="Compact"/>
              <w:spacing w:after="0"/>
              <w:jc w:val="left"/>
            </w:pPr>
            <w:r>
              <w:rPr>
                <w:sz w:val="19"/>
              </w:rPr>
              <w:t xml:space="preserve">aucun (rappel « poireau(x) »)</w:t>
            </w:r>
          </w:p>
        </w:tc>
      </w:tr>
      <w:tr>
        <w:trPr>
          <w:cantSplit/>
        </w:trPr>
        <w:tc>
          <w:tcPr>
            <w:tcMar>
              <w:left w:w="70" w:type="dxa"/>
              <w:right w:w="70" w:type="dxa"/>
              <w:top w:w="70" w:type="dxa"/>
              <w:bottom w:w="70" w:type="dxa"/>
            </w:tcMar>
          </w:tcPr>
          <w:p>
            <w:pPr>
              <w:pStyle w:val="Compact"/>
              <w:spacing w:after="0"/>
              <w:jc w:val="left"/>
            </w:pPr>
            <w:r>
              <w:rPr>
                <w:sz w:val="19"/>
              </w:rPr>
              <w:t xml:space="preserve">objet</w:t>
            </w:r>
          </w:p>
        </w:tc>
        <w:tc>
          <w:tcPr>
            <w:tcMar>
              <w:left w:w="70" w:type="dxa"/>
              <w:right w:w="70" w:type="dxa"/>
              <w:top w:w="70" w:type="dxa"/>
              <w:bottom w:w="70" w:type="dxa"/>
            </w:tcMar>
          </w:tcPr>
          <w:p>
            <w:pPr>
              <w:pStyle w:val="Compact"/>
              <w:spacing w:after="0"/>
              <w:jc w:val="left"/>
            </w:pPr>
            <w:r>
              <w:rPr>
                <w:sz w:val="19"/>
              </w:rPr>
              <w:t xml:space="preserve">132,6</w:t>
            </w:r>
          </w:p>
        </w:tc>
        <w:tc>
          <w:tcPr>
            <w:tcMar>
              <w:left w:w="70" w:type="dxa"/>
              <w:right w:w="70" w:type="dxa"/>
              <w:top w:w="70" w:type="dxa"/>
              <w:bottom w:w="70" w:type="dxa"/>
            </w:tcMar>
          </w:tcPr>
          <w:p>
            <w:pPr>
              <w:pStyle w:val="Compact"/>
              <w:spacing w:after="0"/>
              <w:jc w:val="left"/>
            </w:pPr>
            <w:r>
              <w:rPr>
                <w:sz w:val="19"/>
              </w:rPr>
              <w:t xml:space="preserve">V1 (mot-étiquette)</w:t>
            </w:r>
          </w:p>
        </w:tc>
        <w:tc>
          <w:tcPr>
            <w:tcMar>
              <w:left w:w="70" w:type="dxa"/>
              <w:right w:w="70" w:type="dxa"/>
              <w:top w:w="70" w:type="dxa"/>
              <w:bottom w:w="70" w:type="dxa"/>
            </w:tcMar>
          </w:tcPr>
          <w:p>
            <w:pPr>
              <w:pStyle w:val="Compact"/>
              <w:spacing w:after="0"/>
              <w:jc w:val="left"/>
            </w:pPr>
            <w:r>
              <w:rPr>
                <w:sz w:val="19"/>
              </w:rPr>
              <w:t xml:space="preserve">j ; t muet</w:t>
            </w:r>
          </w:p>
        </w:tc>
        <w:tc>
          <w:tcPr>
            <w:tcMar>
              <w:left w:w="70" w:type="dxa"/>
              <w:right w:w="70" w:type="dxa"/>
              <w:top w:w="70" w:type="dxa"/>
              <w:bottom w:w="70" w:type="dxa"/>
            </w:tcMar>
          </w:tcPr>
          <w:p>
            <w:pPr>
              <w:pStyle w:val="Compact"/>
              <w:spacing w:after="0"/>
              <w:jc w:val="left"/>
            </w:pPr>
            <w:r>
              <w:rPr>
                <w:sz w:val="19"/>
              </w:rPr>
              <w:t xml:space="preserve">recto : objectif</w:t>
            </w:r>
          </w:p>
        </w:tc>
      </w:tr>
      <w:tr>
        <w:trPr>
          <w:cantSplit/>
        </w:trPr>
        <w:tc>
          <w:tcPr>
            <w:tcMar>
              <w:left w:w="70" w:type="dxa"/>
              <w:right w:w="70" w:type="dxa"/>
              <w:top w:w="70" w:type="dxa"/>
              <w:bottom w:w="70" w:type="dxa"/>
            </w:tcMar>
          </w:tcPr>
          <w:p>
            <w:pPr>
              <w:pStyle w:val="Compact"/>
              <w:spacing w:after="0"/>
              <w:jc w:val="left"/>
            </w:pPr>
            <w:r>
              <w:rPr>
                <w:sz w:val="19"/>
              </w:rPr>
              <w:t xml:space="preserve">vêtements</w:t>
            </w:r>
          </w:p>
        </w:tc>
        <w:tc>
          <w:tcPr>
            <w:tcMar>
              <w:left w:w="70" w:type="dxa"/>
              <w:right w:w="70" w:type="dxa"/>
              <w:top w:w="70" w:type="dxa"/>
              <w:bottom w:w="70" w:type="dxa"/>
            </w:tcMar>
          </w:tcPr>
          <w:p>
            <w:pPr>
              <w:pStyle w:val="Compact"/>
              <w:spacing w:after="0"/>
              <w:jc w:val="left"/>
            </w:pPr>
            <w:r>
              <w:rPr>
                <w:sz w:val="19"/>
              </w:rPr>
              <w:t xml:space="preserve">100,7</w:t>
            </w:r>
          </w:p>
        </w:tc>
        <w:tc>
          <w:tcPr>
            <w:tcMar>
              <w:left w:w="70" w:type="dxa"/>
              <w:right w:w="70" w:type="dxa"/>
              <w:top w:w="70" w:type="dxa"/>
              <w:bottom w:w="70" w:type="dxa"/>
            </w:tcMar>
          </w:tcPr>
          <w:p>
            <w:pPr>
              <w:pStyle w:val="Compact"/>
              <w:spacing w:after="0"/>
              <w:jc w:val="left"/>
            </w:pPr>
            <w:r>
              <w:rPr>
                <w:sz w:val="19"/>
              </w:rPr>
              <w:t xml:space="preserve">V1 (mot-étiquette)</w:t>
            </w:r>
          </w:p>
        </w:tc>
        <w:tc>
          <w:tcPr>
            <w:tcMar>
              <w:left w:w="70" w:type="dxa"/>
              <w:right w:w="70" w:type="dxa"/>
              <w:top w:w="70" w:type="dxa"/>
              <w:bottom w:w="70" w:type="dxa"/>
            </w:tcMar>
          </w:tcPr>
          <w:p>
            <w:pPr>
              <w:pStyle w:val="Compact"/>
              <w:spacing w:after="0"/>
              <w:jc w:val="left"/>
            </w:pPr>
            <w:r>
              <w:rPr>
                <w:sz w:val="19"/>
              </w:rPr>
              <w:t xml:space="preserve">ê ; -ent muet</w:t>
            </w:r>
          </w:p>
        </w:tc>
        <w:tc>
          <w:tcPr>
            <w:tcMar>
              <w:left w:w="70" w:type="dxa"/>
              <w:right w:w="70" w:type="dxa"/>
              <w:top w:w="70" w:type="dxa"/>
              <w:bottom w:w="70" w:type="dxa"/>
            </w:tcMar>
          </w:tcPr>
          <w:p>
            <w:pPr>
              <w:pStyle w:val="Compact"/>
              <w:spacing w:after="0"/>
              <w:jc w:val="left"/>
            </w:pPr>
            <w:r>
              <w:rPr>
                <w:sz w:val="19"/>
              </w:rPr>
              <w:t xml:space="preserve">verso : vestiaire (pour aller plus loin)</w:t>
            </w:r>
          </w:p>
        </w:tc>
      </w:tr>
      <w:tr>
        <w:trPr>
          <w:cantSplit/>
        </w:trPr>
        <w:tc>
          <w:tcPr>
            <w:tcMar>
              <w:left w:w="70" w:type="dxa"/>
              <w:right w:w="70" w:type="dxa"/>
              <w:top w:w="70" w:type="dxa"/>
              <w:bottom w:w="70" w:type="dxa"/>
            </w:tcMar>
          </w:tcPr>
          <w:p>
            <w:pPr>
              <w:pStyle w:val="Compact"/>
              <w:spacing w:after="0"/>
              <w:jc w:val="left"/>
            </w:pPr>
            <w:r>
              <w:rPr>
                <w:sz w:val="19"/>
              </w:rPr>
              <w:t xml:space="preserve">yeux</w:t>
            </w:r>
          </w:p>
        </w:tc>
        <w:tc>
          <w:tcPr>
            <w:tcMar>
              <w:left w:w="70" w:type="dxa"/>
              <w:right w:w="70" w:type="dxa"/>
              <w:top w:w="70" w:type="dxa"/>
              <w:bottom w:w="70" w:type="dxa"/>
            </w:tcMar>
          </w:tcPr>
          <w:p>
            <w:pPr>
              <w:pStyle w:val="Compact"/>
              <w:spacing w:after="0"/>
              <w:jc w:val="left"/>
            </w:pPr>
            <w:r>
              <w:rPr>
                <w:sz w:val="19"/>
              </w:rPr>
              <w:t xml:space="preserve">664,1</w:t>
            </w:r>
          </w:p>
        </w:tc>
        <w:tc>
          <w:tcPr>
            <w:tcMar>
              <w:left w:w="70" w:type="dxa"/>
              <w:right w:w="70" w:type="dxa"/>
              <w:top w:w="70" w:type="dxa"/>
              <w:bottom w:w="70" w:type="dxa"/>
            </w:tcMar>
          </w:tcPr>
          <w:p>
            <w:pPr>
              <w:pStyle w:val="Compact"/>
              <w:spacing w:after="0"/>
              <w:jc w:val="left"/>
            </w:pPr>
            <w:r>
              <w:rPr>
                <w:sz w:val="19"/>
              </w:rPr>
              <w:t xml:space="preserve">Lecture (yeux bleus)</w:t>
            </w:r>
          </w:p>
        </w:tc>
        <w:tc>
          <w:tcPr>
            <w:tcMar>
              <w:left w:w="70" w:type="dxa"/>
              <w:right w:w="70" w:type="dxa"/>
              <w:top w:w="70" w:type="dxa"/>
              <w:bottom w:w="70" w:type="dxa"/>
            </w:tcMar>
          </w:tcPr>
          <w:p>
            <w:pPr>
              <w:pStyle w:val="Compact"/>
              <w:spacing w:after="0"/>
              <w:jc w:val="left"/>
            </w:pPr>
            <w:r>
              <w:rPr>
                <w:sz w:val="19"/>
              </w:rPr>
              <w:t xml:space="preserve">pluriel irrégulier</w:t>
            </w:r>
          </w:p>
        </w:tc>
        <w:tc>
          <w:tcPr>
            <w:tcMar>
              <w:left w:w="70" w:type="dxa"/>
              <w:right w:w="70" w:type="dxa"/>
              <w:top w:w="70" w:type="dxa"/>
              <w:bottom w:w="70" w:type="dxa"/>
            </w:tcMar>
          </w:tcPr>
          <w:p>
            <w:pPr>
              <w:pStyle w:val="Compact"/>
              <w:spacing w:after="0"/>
              <w:jc w:val="left"/>
            </w:pPr>
            <w:r>
              <w:rPr>
                <w:sz w:val="19"/>
              </w:rPr>
              <w:t xml:space="preserve">aucun (rappel « un œil »)</w:t>
            </w:r>
          </w:p>
        </w:tc>
      </w:tr>
      <w:tr>
        <w:trPr>
          <w:cantSplit/>
        </w:trPr>
        <w:tc>
          <w:tcPr>
            <w:tcMar>
              <w:left w:w="70" w:type="dxa"/>
              <w:right w:w="70" w:type="dxa"/>
              <w:top w:w="70" w:type="dxa"/>
              <w:bottom w:w="70" w:type="dxa"/>
            </w:tcMar>
          </w:tcPr>
          <w:p>
            <w:pPr>
              <w:pStyle w:val="Compact"/>
              <w:spacing w:after="0"/>
              <w:jc w:val="left"/>
            </w:pPr>
            <w:r>
              <w:rPr>
                <w:sz w:val="19"/>
              </w:rPr>
              <w:t xml:space="preserve">cheveux</w:t>
            </w:r>
          </w:p>
        </w:tc>
        <w:tc>
          <w:tcPr>
            <w:tcMar>
              <w:left w:w="70" w:type="dxa"/>
              <w:right w:w="70" w:type="dxa"/>
              <w:top w:w="70" w:type="dxa"/>
              <w:bottom w:w="70" w:type="dxa"/>
            </w:tcMar>
          </w:tcPr>
          <w:p>
            <w:pPr>
              <w:pStyle w:val="Compact"/>
              <w:spacing w:after="0"/>
              <w:jc w:val="left"/>
            </w:pPr>
            <w:r>
              <w:rPr>
                <w:sz w:val="19"/>
              </w:rPr>
              <w:t xml:space="preserve">183,3</w:t>
            </w:r>
          </w:p>
        </w:tc>
        <w:tc>
          <w:tcPr>
            <w:tcMar>
              <w:left w:w="70" w:type="dxa"/>
              <w:right w:w="70" w:type="dxa"/>
              <w:top w:w="70" w:type="dxa"/>
              <w:bottom w:w="70" w:type="dxa"/>
            </w:tcMar>
          </w:tcPr>
          <w:p>
            <w:pPr>
              <w:pStyle w:val="Compact"/>
              <w:spacing w:after="0"/>
              <w:jc w:val="left"/>
            </w:pPr>
            <w:r>
              <w:rPr>
                <w:sz w:val="19"/>
              </w:rPr>
              <w:t xml:space="preserve">Lecture (cheveux blonds)</w:t>
            </w:r>
          </w:p>
        </w:tc>
        <w:tc>
          <w:tcPr>
            <w:tcMar>
              <w:left w:w="70" w:type="dxa"/>
              <w:right w:w="70" w:type="dxa"/>
              <w:top w:w="70" w:type="dxa"/>
              <w:bottom w:w="70" w:type="dxa"/>
            </w:tcMar>
          </w:tcPr>
          <w:p>
            <w:pPr>
              <w:pStyle w:val="Compact"/>
              <w:spacing w:after="0"/>
              <w:jc w:val="left"/>
            </w:pPr>
            <w:r>
              <w:rPr>
                <w:sz w:val="19"/>
              </w:rPr>
              <w:t xml:space="preserve">pluriel en -eux</w:t>
            </w:r>
          </w:p>
        </w:tc>
        <w:tc>
          <w:tcPr>
            <w:tcMar>
              <w:left w:w="70" w:type="dxa"/>
              <w:right w:w="70" w:type="dxa"/>
              <w:top w:w="70" w:type="dxa"/>
              <w:bottom w:w="70" w:type="dxa"/>
            </w:tcMar>
          </w:tcPr>
          <w:p>
            <w:pPr>
              <w:pStyle w:val="Compact"/>
              <w:spacing w:after="0"/>
              <w:jc w:val="left"/>
            </w:pPr>
            <w:r>
              <w:rPr>
                <w:sz w:val="19"/>
              </w:rPr>
              <w:t xml:space="preserve">verso : un cheveu</w:t>
            </w:r>
          </w:p>
        </w:tc>
      </w:tr>
    </w:tbl>
    <w:bookmarkEnd w:id="31"/>
    <w:bookmarkStart w:id="32" w:name="séquence-2-à-la-limite-du-seuil"/>
    <w:p>
      <w:pPr>
        <w:pStyle w:val="Heading2"/>
      </w:pPr>
      <w:r>
        <w:t xml:space="preserve">Séquence 2 — À la limite du seuil</w:t>
      </w:r>
    </w:p>
    <w:p>
      <w:pPr>
        <w:numPr>
          <w:ilvl w:val="0"/>
          <w:numId w:val="1009"/>
        </w:numPr>
      </w:pPr>
      <w:r>
        <w:t xml:space="preserve">repasser — U = 9,9, juste sous le seuil de 10 ; verbe du titre, très présent dans l’écrit long : à inclure ou non selon la marge de tolérance retenue.</w:t>
      </w:r>
    </w:p>
    <w:p>
      <w:pPr>
        <w:numPr>
          <w:ilvl w:val="0"/>
          <w:numId w:val="1009"/>
        </w:numPr>
      </w:pPr>
      <w:r>
        <w:t xml:space="preserve">transformation (9,1) et plaire (9,3) : sous le seuil, à l’appréciation de l’enseignant.</w:t>
      </w:r>
    </w:p>
    <w:bookmarkEnd w:id="32"/>
    <w:bookmarkStart w:id="33" w:name="séquence-2-mots-examinés-mais-écartés"/>
    <w:p>
      <w:pPr>
        <w:pStyle w:val="Heading2"/>
      </w:pPr>
      <w:r>
        <w:t xml:space="preserve">Séquence 2 — Mots examinés mais écartés</w:t>
      </w:r>
    </w:p>
    <w:p>
      <w:pPr>
        <w:numPr>
          <w:ilvl w:val="0"/>
          <w:numId w:val="1010"/>
        </w:numPr>
      </w:pPr>
      <w:r>
        <w:t xml:space="preserve">Absents de la base : minijupe, taille-crayon, grille-pain, tire-bouchon, cahin-caha, télescopique.</w:t>
      </w:r>
    </w:p>
    <w:p>
      <w:pPr>
        <w:numPr>
          <w:ilvl w:val="0"/>
          <w:numId w:val="1010"/>
        </w:numPr>
      </w:pPr>
      <w:r>
        <w:t xml:space="preserve">Sous le seuil : thermostat (7,6), ordures (8,3), épouser (5,9), sucette (4,8), certificat (3,9), insister (3,7), benne (2,4), diplôme (2,1), marmonner (0,6), bredouiller (0,6), répertoire (0,3), rayonnage et réglable (0,02 ou moins).</w:t>
      </w:r>
    </w:p>
    <w:p>
      <w:pPr>
        <w:numPr>
          <w:ilvl w:val="0"/>
          <w:numId w:val="1010"/>
        </w:numPr>
      </w:pPr>
      <w:r>
        <w:t xml:space="preserve">Au-dessus du seuil mais non prioritaires, pour ne pas surcharger la boîte 1 : princesse, crapaud, vraiment, électrique, supermarché, magie, merci, charmant, sourire.</w:t>
      </w:r>
    </w:p>
    <w:p>
      <w:pPr>
        <w:pStyle w:val="FirstParagraph"/>
      </w:pPr>
      <w:r>
        <w:t xml:space="preserve">Ces exemples sont propres aux Séquences 1 et 2 : pour chaque nouvelle séquence, l’enseignant applique la même méthode (consultation de la feuille « Grade 3 to 5 » de Manulex-infra, seuil U retenu pour la classe) aux mots rencontrés dans le carnet de mots (Dispositif 5), plutôt que de reconduire cette liste telle quelle.</w:t>
      </w:r>
    </w:p>
    <w:p>
      <w:pPr>
        <w:pStyle w:val="BodyText"/>
      </w:pPr>
      <w:r>
        <w:t xml:space="preserve">Depuis octobre 2026, cette méthode est appliquée par l’appli (§5) : l’enseignant n’a plus à consulter la base mot par mot, mais vérifie la sélection proposée, en particulier les mots à la limite du seuil et les mots absents de la base.</w:t>
      </w:r>
    </w:p>
    <w:bookmarkEnd w:id="33"/>
    <w:bookmarkEnd w:id="34"/>
    <w:sectPr>
      <w:pgSz w:w="11906" w:h="16838"/>
      <w:pgMar w:left="1020" w:right="1020"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hAnsi="Liberation Sans" w:cs="Liberation Sans" w:eastAsia="Liberation Sans"/>
      <w:sz w:val="21"/>
    </w:rPr>
  </w:style>
  <w:style w:styleId="BodyText" w:type="paragraph">
    <w:name w:val="Body Text"/>
    <w:basedOn w:val="Normal"/>
    <w:link w:val="BodyTextChar"/>
    <w:pPr>
      <w:spacing w:after="100" w:before="180"/>
    </w:pPr>
    <w:qFormat/>
    <w:rPr>
      <w:rFonts w:ascii="Liberation Sans" w:hAnsi="Liberation Sans" w:cs="Liberation Sans" w:eastAsia="Liberation Sans"/>
      <w:sz w:val="21"/>
    </w:rPr>
  </w:style>
  <w:style w:customStyle="1" w:styleId="FirstParagraph" w:type="paragraph">
    <w:name w:val="First Paragraph"/>
    <w:basedOn w:val="BodyText"/>
    <w:next w:val="BodyText"/>
    <w:qFormat/>
    <w:pPr>
      <w:spacing w:after="100"/>
    </w:pPr>
    <w:rPr>
      <w:rFonts w:ascii="Liberation Sans" w:hAnsi="Liberation Sans" w:cs="Liberation Sans" w:eastAsia="Liberation Sans"/>
      <w:sz w:val="21"/>
    </w:rPr>
  </w:style>
  <w:style w:customStyle="1" w:styleId="Compact" w:type="paragraph">
    <w:name w:val="Compact"/>
    <w:basedOn w:val="BodyText"/>
    <w:qFormat/>
    <w:pPr>
      <w:spacing w:after="36" w:before="36"/>
    </w:pPr>
    <w:rPr>
      <w:rFonts w:ascii="Liberation Sans" w:hAnsi="Liberation Sans" w:cs="Liberation Sans" w:eastAsia="Liberation Sans"/>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1F4E79"/>
      <w:sz w:val="36"/>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color w:val="555555"/>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2026-09-27T08:30:25Z</dcterms:created>
  <dcterms:modified xsi:type="dcterms:W3CDTF">2026-09-27T08:30:25Z</dcterms:modified>
</cp:coreProperties>
</file>

<file path=docProps/custom.xml><?xml version="1.0" encoding="utf-8"?>
<Properties xmlns="http://schemas.openxmlformats.org/officeDocument/2006/custom-properties" xmlns:vt="http://schemas.openxmlformats.org/officeDocument/2006/docPropsVTypes"/>
</file>