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Dispositif 7a — Littérature - écrits longs - EDL</w:t>
      </w:r>
    </w:p>
    <w:p>
      <w:pPr>
        <w:pStyle w:val="BodyText"/>
      </w:pPr>
      <w:r>
        <w:rPr>
          <w:iCs/>
          <w:i/>
          <w:bCs/>
          <w:b/>
        </w:rPr>
        <w:t xml:space="preserve">Classe de CM1</w:t>
      </w:r>
    </w:p>
    <w:p>
      <w:pPr>
        <w:pStyle w:val="BodyText"/>
      </w:pPr>
      <w:r>
        <w:rPr>
          <w:iCs/>
          <w:i/>
        </w:rPr>
        <w:t xml:space="preserve">Ce document couvre les trois volets annoncés par son titre : la lecture (carnet de lecteur), les écrits longs (démarche en dix étapes) et leur interaction avec l</w:t>
      </w:r>
      <w:r>
        <w:rPr>
          <w:bCs/>
          <w:b/>
          <w:iCs/>
          <w:i/>
        </w:rPr>
        <w:t xml:space="preserve">’</w:t>
      </w:r>
      <w:r>
        <w:rPr>
          <w:iCs/>
          <w:i/>
        </w:rPr>
        <w:t xml:space="preserve">étude de la langue — grammaire (Dispositif 1, G1-G7), homophones (Dispositif 1 bis, H1-H8), orthographe lexicale (Dispositif 2), conjugaison (Dispositif 3, C1-C5, C8) et vocabulaire (Dispositif 4, V1-V6 ; Dispositif 5, carnet de mots). Il ne traite pas des écrits de travail (quotidiens, non corrigés), qui restent décrits au Dispositif 7, §2.1.</w:t>
      </w:r>
    </w:p>
    <w:bookmarkStart w:id="20" w:name="volet-lecture-le-carnet-de-lecteur"/>
    <w:p>
      <w:pPr>
        <w:pStyle w:val="Heading1"/>
      </w:pPr>
      <w:r>
        <w:t xml:space="preserve">1. Volet Lecture — le carnet de lecteur</w:t>
      </w:r>
    </w:p>
    <w:p>
      <w:pPr>
        <w:pStyle w:val="FirstParagraph"/>
      </w:pPr>
      <w:r>
        <w:t xml:space="preserve">Les ressources Éduscol définissent le carnet de lecteur comme un espace personnel destiné à donner envie de lire, à stimuler la lecture et à garder des repères sur l’avancée des lectures, en laissant place à la subjectivité du lecteur. Il se distingue du cahier d’écrits de travail (Dispositif 7, §2.1) : il n’est pas corrigé, pas noté, et vise le plaisir de lire autant que la trace de lecture.</w:t>
      </w:r>
    </w:p>
    <w:p>
      <w:pPr>
        <w:pStyle w:val="BodyText"/>
      </w:pPr>
      <w:r>
        <w:t xml:space="preserve">Le programme fixe, en CM1, un volume minimal de lecture annuel et un usage régulier de cet outil de mémoire de lecture.</w:t>
      </w:r>
    </w:p>
    <w:tbl>
      <w:tblPr>
        <w:tblStyle w:val="Table"/>
        <w:tblW w:type="pct" w:w="5000"/>
        <w:tblLook w:firstRow="1" w:lastRow="0" w:firstColumn="0" w:lastColumn="0" w:noHBand="0" w:noVBand="0" w:val="0020"/>
        <w:jc w:val="start"/>
        <w:tblBorders>
          <w:top w:val="single" w:sz="4" w:color="8EAADB"/>
          <w:left w:val="single" w:sz="4" w:color="8EAADB"/>
          <w:bottom w:val="single" w:sz="4" w:color="8EAADB"/>
          <w:right w:val="single" w:sz="4" w:color="8EAADB"/>
          <w:insideH w:val="single" w:sz="4" w:color="8EAADB"/>
          <w:insideV w:val="single" w:sz="4" w:color="8EAADB"/>
        </w:tblBorders>
      </w:tblPr>
      <w:tblGrid>
        <w:gridCol w:w="3960"/>
        <w:gridCol w:w="3960"/>
      </w:tblGrid>
      <w:tr>
        <w:trPr>
          <w:tblHeader w:val="true"/>
          <w:cantSplit/>
        </w:trPr>
        <w:tc>
          <w:tcPr>
            <w:tcMar>
              <w:left w:w="70" w:type="dxa"/>
              <w:right w:w="70" w:type="dxa"/>
              <w:top w:w="70" w:type="dxa"/>
              <w:bottom w:w="70" w:type="dxa"/>
            </w:tcMar>
            <w:shd w:val="clear" w:color="auto" w:fill="DEEAF6"/>
          </w:tcPr>
          <w:p>
            <w:pPr>
              <w:pStyle w:val="Compact"/>
              <w:spacing w:after="0"/>
              <w:jc w:val="left"/>
            </w:pPr>
            <w:r>
              <w:rPr>
                <w:bCs/>
                <w:b/>
                <w:sz w:val="19"/>
              </w:rPr>
              <w:t xml:space="preserve">Élément</w:t>
            </w:r>
          </w:p>
        </w:tc>
        <w:tc>
          <w:tcPr>
            <w:tcMar>
              <w:left w:w="70" w:type="dxa"/>
              <w:right w:w="70" w:type="dxa"/>
              <w:top w:w="70" w:type="dxa"/>
              <w:bottom w:w="70" w:type="dxa"/>
            </w:tcMar>
            <w:shd w:val="clear" w:color="auto" w:fill="DEEAF6"/>
          </w:tcPr>
          <w:p>
            <w:pPr>
              <w:pStyle w:val="Compact"/>
              <w:spacing w:after="0"/>
              <w:jc w:val="left"/>
            </w:pPr>
            <w:r>
              <w:rPr>
                <w:bCs/>
                <w:b/>
                <w:sz w:val="19"/>
              </w:rPr>
              <w:t xml:space="preserve">Ce que prévoit le programme CM1</w:t>
            </w:r>
          </w:p>
        </w:tc>
      </w:tr>
      <w:tr>
        <w:trPr>
          <w:cantSplit/>
        </w:trPr>
        <w:tc>
          <w:tcPr>
            <w:tcMar>
              <w:left w:w="70" w:type="dxa"/>
              <w:right w:w="70" w:type="dxa"/>
              <w:top w:w="70" w:type="dxa"/>
              <w:bottom w:w="70" w:type="dxa"/>
            </w:tcMar>
          </w:tcPr>
          <w:p>
            <w:pPr>
              <w:pStyle w:val="Compact"/>
              <w:spacing w:after="0"/>
              <w:jc w:val="left"/>
            </w:pPr>
            <w:r>
              <w:rPr>
                <w:sz w:val="19"/>
              </w:rPr>
              <w:t xml:space="preserve">Volume de lecture</w:t>
            </w:r>
          </w:p>
        </w:tc>
        <w:tc>
          <w:tcPr>
            <w:tcMar>
              <w:left w:w="70" w:type="dxa"/>
              <w:right w:w="70" w:type="dxa"/>
              <w:top w:w="70" w:type="dxa"/>
              <w:bottom w:w="70" w:type="dxa"/>
            </w:tcMar>
          </w:tcPr>
          <w:p>
            <w:pPr>
              <w:pStyle w:val="Compact"/>
              <w:spacing w:after="0"/>
              <w:jc w:val="left"/>
            </w:pPr>
            <w:r>
              <w:rPr>
                <w:sz w:val="19"/>
              </w:rPr>
              <w:t xml:space="preserve">Au moins 2 œuvres du patrimoine et 5 ouvrages de littérature de jeunesse dans l’année, sur les sept œuvres complètes attendues au cours moyen</w:t>
            </w:r>
          </w:p>
        </w:tc>
      </w:tr>
      <w:tr>
        <w:trPr>
          <w:cantSplit/>
        </w:trPr>
        <w:tc>
          <w:tcPr>
            <w:tcMar>
              <w:left w:w="70" w:type="dxa"/>
              <w:right w:w="70" w:type="dxa"/>
              <w:top w:w="70" w:type="dxa"/>
              <w:bottom w:w="70" w:type="dxa"/>
            </w:tcMar>
          </w:tcPr>
          <w:p>
            <w:pPr>
              <w:pStyle w:val="Compact"/>
              <w:spacing w:after="0"/>
              <w:jc w:val="left"/>
            </w:pPr>
            <w:r>
              <w:rPr>
                <w:sz w:val="19"/>
              </w:rPr>
              <w:t xml:space="preserve">Trace de lecture</w:t>
            </w:r>
          </w:p>
        </w:tc>
        <w:tc>
          <w:tcPr>
            <w:tcMar>
              <w:left w:w="70" w:type="dxa"/>
              <w:right w:w="70" w:type="dxa"/>
              <w:top w:w="70" w:type="dxa"/>
              <w:bottom w:w="70" w:type="dxa"/>
            </w:tcMar>
          </w:tcPr>
          <w:p>
            <w:pPr>
              <w:pStyle w:val="Compact"/>
              <w:spacing w:after="0"/>
              <w:jc w:val="left"/>
            </w:pPr>
            <w:r>
              <w:rPr>
                <w:sz w:val="19"/>
              </w:rPr>
              <w:t xml:space="preserve">L’élève garde la mémoire des livres lus (carnet de lecteur, portfolio…) pour les mobiliser ultérieurement</w:t>
            </w:r>
          </w:p>
        </w:tc>
      </w:tr>
      <w:tr>
        <w:trPr>
          <w:cantSplit/>
        </w:trPr>
        <w:tc>
          <w:tcPr>
            <w:tcMar>
              <w:left w:w="70" w:type="dxa"/>
              <w:right w:w="70" w:type="dxa"/>
              <w:top w:w="70" w:type="dxa"/>
              <w:bottom w:w="70" w:type="dxa"/>
            </w:tcMar>
          </w:tcPr>
          <w:p>
            <w:pPr>
              <w:pStyle w:val="Compact"/>
              <w:spacing w:after="0"/>
              <w:jc w:val="left"/>
            </w:pPr>
            <w:r>
              <w:rPr>
                <w:sz w:val="19"/>
              </w:rPr>
              <w:t xml:space="preserve">Nature des entrées</w:t>
            </w:r>
          </w:p>
        </w:tc>
        <w:tc>
          <w:tcPr>
            <w:tcMar>
              <w:left w:w="70" w:type="dxa"/>
              <w:right w:w="70" w:type="dxa"/>
              <w:top w:w="70" w:type="dxa"/>
              <w:bottom w:w="70" w:type="dxa"/>
            </w:tcMar>
          </w:tcPr>
          <w:p>
            <w:pPr>
              <w:pStyle w:val="Compact"/>
              <w:spacing w:after="0"/>
              <w:jc w:val="left"/>
            </w:pPr>
            <w:r>
              <w:rPr>
                <w:sz w:val="19"/>
              </w:rPr>
              <w:t xml:space="preserve">Impressions, réactions, extraits ou poèmes copiés, questions, dessins — formes libres, non figées à l’avance</w:t>
            </w:r>
          </w:p>
        </w:tc>
      </w:tr>
      <w:tr>
        <w:trPr>
          <w:cantSplit/>
        </w:trPr>
        <w:tc>
          <w:tcPr>
            <w:tcMar>
              <w:left w:w="70" w:type="dxa"/>
              <w:right w:w="70" w:type="dxa"/>
              <w:top w:w="70" w:type="dxa"/>
              <w:bottom w:w="70" w:type="dxa"/>
            </w:tcMar>
          </w:tcPr>
          <w:p>
            <w:pPr>
              <w:pStyle w:val="Compact"/>
              <w:spacing w:after="0"/>
              <w:jc w:val="left"/>
            </w:pPr>
            <w:r>
              <w:rPr>
                <w:sz w:val="19"/>
              </w:rPr>
              <w:t xml:space="preserve">Statut</w:t>
            </w:r>
          </w:p>
        </w:tc>
        <w:tc>
          <w:tcPr>
            <w:tcMar>
              <w:left w:w="70" w:type="dxa"/>
              <w:right w:w="70" w:type="dxa"/>
              <w:top w:w="70" w:type="dxa"/>
              <w:bottom w:w="70" w:type="dxa"/>
            </w:tcMar>
          </w:tcPr>
          <w:p>
            <w:pPr>
              <w:pStyle w:val="Compact"/>
              <w:spacing w:after="0"/>
              <w:jc w:val="left"/>
            </w:pPr>
            <w:r>
              <w:rPr>
                <w:sz w:val="19"/>
              </w:rPr>
              <w:t xml:space="preserve">Outil personnel, non noté ; peut servir de point de départ à des échanges collectifs (présentation d’une page, cercle de lecture)</w:t>
            </w:r>
          </w:p>
        </w:tc>
      </w:tr>
    </w:tbl>
    <w:p>
      <w:pPr>
        <w:pStyle w:val="BodyText"/>
      </w:pPr>
      <w:r>
        <w:t xml:space="preserve">Le carnet de lecteur reste distinct du carnet de mots (Dispositif 5) : le premier garde la mémoire subjective des œuvres, le second constitue un répertoire lexical organisé par hyperonymes. Un même mot rencontré en lecture peut, selon le cas, être noté dans l’un, dans l’autre, ou dans les deux.</w:t>
      </w:r>
    </w:p>
    <w:p>
      <w:pPr>
        <w:pStyle w:val="BodyText"/>
      </w:pPr>
      <w:r>
        <w:t xml:space="preserve">C’est aussi ce même carnet de lecteur qui fournit, à l’étape ① de la démarche d’écrit long (§4 ci-dessous), le texte source dont part un projet d’écriture : la lecture et l’écriture longue s’articulent ainsi dès le premier pas de la démarche.</w:t>
      </w:r>
    </w:p>
    <w:bookmarkEnd w:id="20"/>
    <w:bookmarkStart w:id="21" w:name="Xab0afe083ae22f1fd7020e12d39b1234e67f58f"/>
    <w:p>
      <w:pPr>
        <w:pStyle w:val="Heading1"/>
      </w:pPr>
      <w:r>
        <w:t xml:space="preserve">2. Pourquoi le point de jonction avec l’étude de la langue est spécifique</w:t>
      </w:r>
    </w:p>
    <w:p>
      <w:pPr>
        <w:pStyle w:val="FirstParagraph"/>
      </w:pPr>
      <w:r>
        <w:t xml:space="preserve">Le programme de cycle 3 rattache la normalisation d’un texte à l’accord dans le groupe nominal, à l’accord du sujet avec le verbe et à l’attribut du sujet, en précisant que cette vigilance orthographique se construit progressivement et se réinvestit au fil du cycle. C’est donc dans l’écrit long — jamais dans l’écrit de travail — que les compétences validées en ceintures redeviennent des exigences de norme, puisque l’écrit long est destiné à être lu, partagé ou évalué.</w:t>
      </w:r>
    </w:p>
    <w:p>
      <w:pPr>
        <w:pStyle w:val="BodyText"/>
      </w:pPr>
      <w:r>
        <w:t xml:space="preserve">Ce document précise comment cette exigence s’articule avec le fonctionnement en ceintures : ce qui peut être exigé, ce qui ne le peut pas encore, et à quel moment du processus d’écriture chaque vigilance intervient.</w:t>
      </w:r>
    </w:p>
    <w:bookmarkEnd w:id="21"/>
    <w:bookmarkStart w:id="22" w:name="Xe89062a6859b95ebfbdb2dec9e59c39656856df"/>
    <w:p>
      <w:pPr>
        <w:pStyle w:val="Heading1"/>
      </w:pPr>
      <w:r>
        <w:t xml:space="preserve">3. Le principe : n’exiger que ce qui est déjà validé</w:t>
      </w:r>
    </w:p>
    <w:p>
      <w:pPr>
        <w:pStyle w:val="FirstParagraph"/>
      </w:pPr>
      <w:r>
        <w:t xml:space="preserve">Un écrit long ne peut pas être le lieu d’une exigence uniforme pour toute la classe, puisque les ceintures déjà validées diffèrent d’un élève à l’autre (Dispositif global, §4). La vigilance normative appliquée à un écrit long se limite donc, pour chaque élève, aux ceintures qu’il a déjà validées — jamais à des compétences en cours d’entraînement, et jamais à des compétences non encore ouvertes pour la période en cours.</w:t>
      </w:r>
    </w:p>
    <w:tbl>
      <w:tblPr>
        <w:tblStyle w:val="Table"/>
        <w:tblW w:type="pct" w:w="5000"/>
        <w:tblLook w:firstRow="1" w:lastRow="0" w:firstColumn="0" w:lastColumn="0" w:noHBand="0" w:noVBand="0" w:val="0020"/>
        <w:jc w:val="start"/>
        <w:tblBorders>
          <w:top w:val="single" w:sz="4" w:color="8EAADB"/>
          <w:left w:val="single" w:sz="4" w:color="8EAADB"/>
          <w:bottom w:val="single" w:sz="4" w:color="8EAADB"/>
          <w:right w:val="single" w:sz="4" w:color="8EAADB"/>
          <w:insideH w:val="single" w:sz="4" w:color="8EAADB"/>
          <w:insideV w:val="single" w:sz="4" w:color="8EAADB"/>
        </w:tblBorders>
      </w:tblPr>
      <w:tblGrid>
        <w:gridCol w:w="3960"/>
        <w:gridCol w:w="3960"/>
      </w:tblGrid>
      <w:tr>
        <w:trPr>
          <w:tblHeader w:val="true"/>
          <w:cantSplit/>
        </w:trPr>
        <w:tc>
          <w:tcPr>
            <w:tcMar>
              <w:left w:w="70" w:type="dxa"/>
              <w:right w:w="70" w:type="dxa"/>
              <w:top w:w="70" w:type="dxa"/>
              <w:bottom w:w="70" w:type="dxa"/>
            </w:tcMar>
            <w:shd w:val="clear" w:color="auto" w:fill="DEEAF6"/>
          </w:tcPr>
          <w:p>
            <w:pPr>
              <w:pStyle w:val="Compact"/>
              <w:spacing w:after="0"/>
              <w:jc w:val="left"/>
            </w:pPr>
            <w:r>
              <w:rPr>
                <w:bCs/>
                <w:b/>
                <w:sz w:val="19"/>
              </w:rPr>
              <w:t xml:space="preserve">Ceinture / dispositif</w:t>
            </w:r>
          </w:p>
        </w:tc>
        <w:tc>
          <w:tcPr>
            <w:tcMar>
              <w:left w:w="70" w:type="dxa"/>
              <w:right w:w="70" w:type="dxa"/>
              <w:top w:w="70" w:type="dxa"/>
              <w:bottom w:w="70" w:type="dxa"/>
            </w:tcMar>
            <w:shd w:val="clear" w:color="auto" w:fill="DEEAF6"/>
          </w:tcPr>
          <w:p>
            <w:pPr>
              <w:pStyle w:val="Compact"/>
              <w:spacing w:after="0"/>
              <w:jc w:val="left"/>
            </w:pPr>
            <w:r>
              <w:rPr>
                <w:bCs/>
                <w:b/>
                <w:sz w:val="19"/>
              </w:rPr>
              <w:t xml:space="preserve">Ce qu’elle autorise à exiger dans un écrit long, une fois validée</w:t>
            </w:r>
          </w:p>
        </w:tc>
      </w:tr>
      <w:tr>
        <w:trPr>
          <w:cantSplit/>
        </w:trPr>
        <w:tc>
          <w:tcPr>
            <w:tcMar>
              <w:left w:w="70" w:type="dxa"/>
              <w:right w:w="70" w:type="dxa"/>
              <w:top w:w="70" w:type="dxa"/>
              <w:bottom w:w="70" w:type="dxa"/>
            </w:tcMar>
          </w:tcPr>
          <w:p>
            <w:pPr>
              <w:pStyle w:val="Compact"/>
              <w:spacing w:after="0"/>
              <w:jc w:val="left"/>
            </w:pPr>
            <w:r>
              <w:rPr>
                <w:sz w:val="19"/>
              </w:rPr>
              <w:t xml:space="preserve">G1-G2 (phrase, ponctuation)</w:t>
            </w:r>
          </w:p>
        </w:tc>
        <w:tc>
          <w:tcPr>
            <w:tcMar>
              <w:left w:w="70" w:type="dxa"/>
              <w:right w:w="70" w:type="dxa"/>
              <w:top w:w="70" w:type="dxa"/>
              <w:bottom w:w="70" w:type="dxa"/>
            </w:tcMar>
          </w:tcPr>
          <w:p>
            <w:pPr>
              <w:pStyle w:val="Compact"/>
              <w:spacing w:after="0"/>
              <w:jc w:val="left"/>
            </w:pPr>
            <w:r>
              <w:rPr>
                <w:sz w:val="19"/>
              </w:rPr>
              <w:t xml:space="preserve">Phrases correctement délimitées et ponctuées</w:t>
            </w:r>
          </w:p>
        </w:tc>
      </w:tr>
      <w:tr>
        <w:trPr>
          <w:cantSplit/>
        </w:trPr>
        <w:tc>
          <w:tcPr>
            <w:tcMar>
              <w:left w:w="70" w:type="dxa"/>
              <w:right w:w="70" w:type="dxa"/>
              <w:top w:w="70" w:type="dxa"/>
              <w:bottom w:w="70" w:type="dxa"/>
            </w:tcMar>
          </w:tcPr>
          <w:p>
            <w:pPr>
              <w:pStyle w:val="Compact"/>
              <w:spacing w:after="0"/>
              <w:jc w:val="left"/>
            </w:pPr>
            <w:r>
              <w:rPr>
                <w:sz w:val="19"/>
              </w:rPr>
              <w:t xml:space="preserve">G3-G4 (GN, classes grammaticales)</w:t>
            </w:r>
          </w:p>
        </w:tc>
        <w:tc>
          <w:tcPr>
            <w:tcMar>
              <w:left w:w="70" w:type="dxa"/>
              <w:right w:w="70" w:type="dxa"/>
              <w:top w:w="70" w:type="dxa"/>
              <w:bottom w:w="70" w:type="dxa"/>
            </w:tcMar>
          </w:tcPr>
          <w:p>
            <w:pPr>
              <w:pStyle w:val="Compact"/>
              <w:spacing w:after="0"/>
              <w:jc w:val="left"/>
            </w:pPr>
            <w:r>
              <w:rPr>
                <w:sz w:val="19"/>
              </w:rPr>
              <w:t xml:space="preserve">Accords dans le groupe nominal, choix de déterminants adaptés</w:t>
            </w:r>
          </w:p>
        </w:tc>
      </w:tr>
      <w:tr>
        <w:trPr>
          <w:cantSplit/>
        </w:trPr>
        <w:tc>
          <w:tcPr>
            <w:tcMar>
              <w:left w:w="70" w:type="dxa"/>
              <w:right w:w="70" w:type="dxa"/>
              <w:top w:w="70" w:type="dxa"/>
              <w:bottom w:w="70" w:type="dxa"/>
            </w:tcMar>
          </w:tcPr>
          <w:p>
            <w:pPr>
              <w:pStyle w:val="Compact"/>
              <w:spacing w:after="0"/>
              <w:jc w:val="left"/>
            </w:pPr>
            <w:r>
              <w:rPr>
                <w:sz w:val="19"/>
              </w:rPr>
              <w:t xml:space="preserve">G5 (accord sujet-verbe)</w:t>
            </w:r>
          </w:p>
        </w:tc>
        <w:tc>
          <w:tcPr>
            <w:tcMar>
              <w:left w:w="70" w:type="dxa"/>
              <w:right w:w="70" w:type="dxa"/>
              <w:top w:w="70" w:type="dxa"/>
              <w:bottom w:w="70" w:type="dxa"/>
            </w:tcMar>
          </w:tcPr>
          <w:p>
            <w:pPr>
              <w:pStyle w:val="Compact"/>
              <w:spacing w:after="0"/>
              <w:jc w:val="left"/>
            </w:pPr>
            <w:r>
              <w:rPr>
                <w:sz w:val="19"/>
              </w:rPr>
              <w:t xml:space="preserve">Accord du verbe avec son sujet, y compris sujet inversé ou éloigné</w:t>
            </w:r>
          </w:p>
        </w:tc>
      </w:tr>
      <w:tr>
        <w:trPr>
          <w:cantSplit/>
        </w:trPr>
        <w:tc>
          <w:tcPr>
            <w:tcMar>
              <w:left w:w="70" w:type="dxa"/>
              <w:right w:w="70" w:type="dxa"/>
              <w:top w:w="70" w:type="dxa"/>
              <w:bottom w:w="70" w:type="dxa"/>
            </w:tcMar>
          </w:tcPr>
          <w:p>
            <w:pPr>
              <w:pStyle w:val="Compact"/>
              <w:spacing w:after="0"/>
              <w:jc w:val="left"/>
            </w:pPr>
            <w:r>
              <w:rPr>
                <w:sz w:val="19"/>
              </w:rPr>
              <w:t xml:space="preserve">G6 (compléments)</w:t>
            </w:r>
          </w:p>
        </w:tc>
        <w:tc>
          <w:tcPr>
            <w:tcMar>
              <w:left w:w="70" w:type="dxa"/>
              <w:right w:w="70" w:type="dxa"/>
              <w:top w:w="70" w:type="dxa"/>
              <w:bottom w:w="70" w:type="dxa"/>
            </w:tcMar>
          </w:tcPr>
          <w:p>
            <w:pPr>
              <w:pStyle w:val="Compact"/>
              <w:spacing w:after="0"/>
              <w:jc w:val="left"/>
            </w:pPr>
            <w:r>
              <w:rPr>
                <w:sz w:val="19"/>
              </w:rPr>
              <w:t xml:space="preserve">Distinction phrase minimale / compléments, sans classification fine</w:t>
            </w:r>
          </w:p>
        </w:tc>
      </w:tr>
      <w:tr>
        <w:trPr>
          <w:cantSplit/>
        </w:trPr>
        <w:tc>
          <w:tcPr>
            <w:tcMar>
              <w:left w:w="70" w:type="dxa"/>
              <w:right w:w="70" w:type="dxa"/>
              <w:top w:w="70" w:type="dxa"/>
              <w:bottom w:w="70" w:type="dxa"/>
            </w:tcMar>
          </w:tcPr>
          <w:p>
            <w:pPr>
              <w:pStyle w:val="Compact"/>
              <w:spacing w:after="0"/>
              <w:jc w:val="left"/>
            </w:pPr>
            <w:r>
              <w:rPr>
                <w:sz w:val="19"/>
              </w:rPr>
              <w:t xml:space="preserve">G7 (chaîne d’accords)</w:t>
            </w:r>
          </w:p>
        </w:tc>
        <w:tc>
          <w:tcPr>
            <w:tcMar>
              <w:left w:w="70" w:type="dxa"/>
              <w:right w:w="70" w:type="dxa"/>
              <w:top w:w="70" w:type="dxa"/>
              <w:bottom w:w="70" w:type="dxa"/>
            </w:tcMar>
          </w:tcPr>
          <w:p>
            <w:pPr>
              <w:pStyle w:val="Compact"/>
              <w:spacing w:after="0"/>
              <w:jc w:val="left"/>
            </w:pPr>
            <w:r>
              <w:rPr>
                <w:sz w:val="19"/>
              </w:rPr>
              <w:t xml:space="preserve">Accord du participe passé avec être, en cohérence avec le sujet et le GN</w:t>
            </w:r>
          </w:p>
        </w:tc>
      </w:tr>
      <w:tr>
        <w:trPr>
          <w:cantSplit/>
        </w:trPr>
        <w:tc>
          <w:tcPr>
            <w:tcMar>
              <w:left w:w="70" w:type="dxa"/>
              <w:right w:w="70" w:type="dxa"/>
              <w:top w:w="70" w:type="dxa"/>
              <w:bottom w:w="70" w:type="dxa"/>
            </w:tcMar>
          </w:tcPr>
          <w:p>
            <w:pPr>
              <w:pStyle w:val="Compact"/>
              <w:spacing w:after="0"/>
              <w:jc w:val="left"/>
            </w:pPr>
            <w:r>
              <w:rPr>
                <w:sz w:val="19"/>
              </w:rPr>
              <w:t xml:space="preserve">H1-H8 (homophones)</w:t>
            </w:r>
          </w:p>
        </w:tc>
        <w:tc>
          <w:tcPr>
            <w:tcMar>
              <w:left w:w="70" w:type="dxa"/>
              <w:right w:w="70" w:type="dxa"/>
              <w:top w:w="70" w:type="dxa"/>
              <w:bottom w:w="70" w:type="dxa"/>
            </w:tcMar>
          </w:tcPr>
          <w:p>
            <w:pPr>
              <w:pStyle w:val="Compact"/>
              <w:spacing w:after="0"/>
              <w:jc w:val="left"/>
            </w:pPr>
            <w:r>
              <w:rPr>
                <w:sz w:val="19"/>
              </w:rPr>
              <w:t xml:space="preserve">Choix orthographique correct pour les homophones déjà travaillés</w:t>
            </w:r>
          </w:p>
        </w:tc>
      </w:tr>
      <w:tr>
        <w:trPr>
          <w:cantSplit/>
        </w:trPr>
        <w:tc>
          <w:tcPr>
            <w:tcMar>
              <w:left w:w="70" w:type="dxa"/>
              <w:right w:w="70" w:type="dxa"/>
              <w:top w:w="70" w:type="dxa"/>
              <w:bottom w:w="70" w:type="dxa"/>
            </w:tcMar>
          </w:tcPr>
          <w:p>
            <w:pPr>
              <w:pStyle w:val="Compact"/>
              <w:spacing w:after="0"/>
              <w:jc w:val="left"/>
            </w:pPr>
            <w:r>
              <w:rPr>
                <w:sz w:val="19"/>
              </w:rPr>
              <w:t xml:space="preserve">C1-C5, C8 (conjugaison)</w:t>
            </w:r>
          </w:p>
        </w:tc>
        <w:tc>
          <w:tcPr>
            <w:tcMar>
              <w:left w:w="70" w:type="dxa"/>
              <w:right w:w="70" w:type="dxa"/>
              <w:top w:w="70" w:type="dxa"/>
              <w:bottom w:w="70" w:type="dxa"/>
            </w:tcMar>
          </w:tcPr>
          <w:p>
            <w:pPr>
              <w:pStyle w:val="Compact"/>
              <w:spacing w:after="0"/>
              <w:jc w:val="left"/>
            </w:pPr>
            <w:r>
              <w:rPr>
                <w:sz w:val="19"/>
              </w:rPr>
              <w:t xml:space="preserve">Temps verbal cohérent avec la consigne, formes conjuguées correctes</w:t>
            </w:r>
          </w:p>
        </w:tc>
      </w:tr>
      <w:tr>
        <w:trPr>
          <w:cantSplit/>
        </w:trPr>
        <w:tc>
          <w:tcPr>
            <w:tcMar>
              <w:left w:w="70" w:type="dxa"/>
              <w:right w:w="70" w:type="dxa"/>
              <w:top w:w="70" w:type="dxa"/>
              <w:bottom w:w="70" w:type="dxa"/>
            </w:tcMar>
          </w:tcPr>
          <w:p>
            <w:pPr>
              <w:pStyle w:val="Compact"/>
              <w:spacing w:after="0"/>
              <w:jc w:val="left"/>
            </w:pPr>
            <w:r>
              <w:rPr>
                <w:sz w:val="19"/>
              </w:rPr>
              <w:t xml:space="preserve">Dispositif 2 (orthographe lexicale)</w:t>
            </w:r>
          </w:p>
        </w:tc>
        <w:tc>
          <w:tcPr>
            <w:tcMar>
              <w:left w:w="70" w:type="dxa"/>
              <w:right w:w="70" w:type="dxa"/>
              <w:top w:w="70" w:type="dxa"/>
              <w:bottom w:w="70" w:type="dxa"/>
            </w:tcMar>
          </w:tcPr>
          <w:p>
            <w:pPr>
              <w:pStyle w:val="Compact"/>
              <w:spacing w:after="0"/>
              <w:jc w:val="left"/>
            </w:pPr>
            <w:r>
              <w:rPr>
                <w:sz w:val="19"/>
              </w:rPr>
              <w:t xml:space="preserve">Graphies déjà réactivées (lettres muettes, graphies de [s], [k], [g]…)</w:t>
            </w:r>
          </w:p>
        </w:tc>
      </w:tr>
      <w:tr>
        <w:trPr>
          <w:cantSplit/>
        </w:trPr>
        <w:tc>
          <w:tcPr>
            <w:tcMar>
              <w:left w:w="70" w:type="dxa"/>
              <w:right w:w="70" w:type="dxa"/>
              <w:top w:w="70" w:type="dxa"/>
              <w:bottom w:w="70" w:type="dxa"/>
            </w:tcMar>
          </w:tcPr>
          <w:p>
            <w:pPr>
              <w:pStyle w:val="Compact"/>
              <w:spacing w:after="0"/>
              <w:jc w:val="left"/>
            </w:pPr>
            <w:r>
              <w:rPr>
                <w:sz w:val="19"/>
              </w:rPr>
              <w:t xml:space="preserve">V1-V6 / Dispositif 5 (vocabulaire)</w:t>
            </w:r>
          </w:p>
        </w:tc>
        <w:tc>
          <w:tcPr>
            <w:tcMar>
              <w:left w:w="70" w:type="dxa"/>
              <w:right w:w="70" w:type="dxa"/>
              <w:top w:w="70" w:type="dxa"/>
              <w:bottom w:w="70" w:type="dxa"/>
            </w:tcMar>
          </w:tcPr>
          <w:p>
            <w:pPr>
              <w:pStyle w:val="Compact"/>
              <w:spacing w:after="0"/>
              <w:jc w:val="left"/>
            </w:pPr>
            <w:r>
              <w:rPr>
                <w:sz w:val="19"/>
              </w:rPr>
              <w:t xml:space="preserve">Emploi pertinent d’un terme précis, recherché via le carnet de mots</w:t>
            </w:r>
          </w:p>
        </w:tc>
      </w:tr>
    </w:tbl>
    <w:p>
      <w:pPr>
        <w:pStyle w:val="BodyText"/>
      </w:pPr>
      <w:r>
        <w:t xml:space="preserve">Une compétence non encore validée peut apparaître dans un écrit long — l’élève écrit avec ce qu’il sait — mais son défaut n’est pas signalé comme une erreur à corriger : il relève d’un travail encore en cours dans les ceintures, pas d’une négligence dans l’écrit.</w:t>
      </w:r>
    </w:p>
    <w:bookmarkEnd w:id="22"/>
    <w:bookmarkStart w:id="26" w:name="X904e994634e12937ca36e498acc5d9fffb4d1d6"/>
    <w:p>
      <w:pPr>
        <w:pStyle w:val="Heading1"/>
      </w:pPr>
      <w:r>
        <w:t xml:space="preserve">4. La démarche d’un écrit long, étape par étape</w:t>
      </w:r>
    </w:p>
    <w:p>
      <w:pPr>
        <w:pStyle w:val="FirstParagraph"/>
      </w:pPr>
      <w:r>
        <w:t xml:space="preserve">Les ressources Éduscol sur l’écriture au cycle 3 découpent le processus d’écriture en trois grandes phases : la planification (convoquer un univers de référence, réunir un matériau linguistique par une recherche préalable de mots, trouver et organiser des idées), la mise en texte (premier jet), puis la révision (relecture personnelle, confrontation aux pairs, amélioration). La démarche en dix étapes retenue pour la classe se coule dans ces trois phases ; elle les détaille sans s’en écarter.</w:t>
      </w:r>
    </w:p>
    <w:bookmarkStart w:id="23" w:name="phase-1-planification"/>
    <w:p>
      <w:pPr>
        <w:pStyle w:val="Heading2"/>
      </w:pPr>
      <w:r>
        <w:t xml:space="preserve">Phase 1 — Planification</w:t>
      </w:r>
    </w:p>
    <w:p>
      <w:pPr>
        <w:numPr>
          <w:ilvl w:val="0"/>
          <w:numId w:val="1001"/>
        </w:numPr>
      </w:pPr>
      <w:r>
        <w:t xml:space="preserve">① Lecture d’un texte : le texte source fournit l’univers de référence évoqué par le programme — il ancre le projet dans un matériau réel plutôt que dans une consigne hors-sol. Ce texte peut être issu du carnet de lecteur (§1 ci-dessus).</w:t>
      </w:r>
    </w:p>
    <w:p>
      <w:pPr>
        <w:numPr>
          <w:ilvl w:val="0"/>
          <w:numId w:val="1001"/>
        </w:numPr>
      </w:pPr>
      <w:r>
        <w:t xml:space="preserve">② Projet d’écriture : formulation de ce qui va être écrit et pourquoi (raconter, expliquer, décrire, dialoguer, résumer, synthétiser — selon la palette de situations attendue en CM1).</w:t>
      </w:r>
    </w:p>
    <w:p>
      <w:pPr>
        <w:numPr>
          <w:ilvl w:val="0"/>
          <w:numId w:val="1001"/>
        </w:numPr>
      </w:pPr>
      <w:r>
        <w:t xml:space="preserve">③ Recherche d’idées : réflexion préparatoire, collective ou en sous-groupes, sur ce que le texte va devoir dire — avant de chercher comment le dire.</w:t>
      </w:r>
    </w:p>
    <w:p>
      <w:pPr>
        <w:numPr>
          <w:ilvl w:val="0"/>
          <w:numId w:val="1001"/>
        </w:numPr>
      </w:pPr>
      <w:r>
        <w:t xml:space="preserve">④ Construction d’un répertoire de mots utiles : c’est le matériau linguistique proprement dit, obtenu par une recherche de mots ou de locutions préalable à l’écriture. Voir §5 : cette étape s’appuie directement sur le carnet de mots (Dispositif 5).</w:t>
      </w:r>
    </w:p>
    <w:p>
      <w:pPr>
        <w:numPr>
          <w:ilvl w:val="0"/>
          <w:numId w:val="1001"/>
        </w:numPr>
      </w:pPr>
      <w:r>
        <w:t xml:space="preserve">⑤ Élaboration de la trame d’écriture : organisation des idées collectées en une structure (étapes du récit, plan de l’explication, etc.), avant la mise en mots.</w:t>
      </w:r>
    </w:p>
    <w:p>
      <w:pPr>
        <w:pStyle w:val="FirstParagraph"/>
      </w:pPr>
      <w:r>
        <w:t xml:space="preserve">Ces cinq premières étapes ne relèvent d’aucune vigilance normative : elles ne sont ni corrigées ni notées. Elles peuvent réutiliser des écrits de travail antérieurs (Dispositif 7, §2.1) sans que ceux-ci aient à être mis aux normes.</w:t>
      </w:r>
    </w:p>
    <w:bookmarkEnd w:id="23"/>
    <w:bookmarkStart w:id="24" w:name="phase-2-mise-en-texte"/>
    <w:p>
      <w:pPr>
        <w:pStyle w:val="Heading2"/>
      </w:pPr>
      <w:r>
        <w:t xml:space="preserve">Phase 2 — Mise en texte</w:t>
      </w:r>
    </w:p>
    <w:p>
      <w:pPr>
        <w:numPr>
          <w:ilvl w:val="0"/>
          <w:numId w:val="1002"/>
        </w:numPr>
      </w:pPr>
      <w:r>
        <w:t xml:space="preserve">⑥ Critères de réussite : avant la rédaction, formulation de ce qui permettra de dire que le texte a atteint son but (le projet d’écriture de l’étape ②, rendu vérifiable). Ces critères portent sur le texte en tant que texte — sa cohérence, son genre, sa structure — pas sur les ceintures de langue (voir §6).</w:t>
      </w:r>
    </w:p>
    <w:p>
      <w:pPr>
        <w:numPr>
          <w:ilvl w:val="0"/>
          <w:numId w:val="1002"/>
        </w:numPr>
      </w:pPr>
      <w:r>
        <w:t xml:space="preserve">⑦ Premier jet : rédaction, avec le répertoire de mots et la trame comme appuis, sans être freiné par la norme orthographique ou grammaticale (cf. §3 et §4).</w:t>
      </w:r>
    </w:p>
    <w:p>
      <w:pPr>
        <w:numPr>
          <w:ilvl w:val="0"/>
          <w:numId w:val="1002"/>
        </w:numPr>
      </w:pPr>
      <w:r>
        <w:t xml:space="preserve">⑧ Réécriture éventuelle : reprise autonome du premier jet par l’élève lui-même, avant tout partage, s’il perçoit de lui-même un écart avec son projet ou ses critères de réussite.</w:t>
      </w:r>
    </w:p>
    <w:bookmarkEnd w:id="24"/>
    <w:bookmarkStart w:id="25" w:name="phase-3-révision"/>
    <w:p>
      <w:pPr>
        <w:pStyle w:val="Heading2"/>
      </w:pPr>
      <w:r>
        <w:t xml:space="preserve">Phase 3 — Révision</w:t>
      </w:r>
    </w:p>
    <w:p>
      <w:pPr>
        <w:numPr>
          <w:ilvl w:val="0"/>
          <w:numId w:val="1003"/>
        </w:numPr>
      </w:pPr>
      <w:r>
        <w:t xml:space="preserve">⑨ Lecture partagée avec vérification des critères de réussite : confrontation du texte à un pair, à un groupe ou à la classe ; les critères de réussite définis en ⑥ servent de grille commune pour cette lecture — c’est le moment où la cohérence et la cohésion du texte sont examinées, avant ou indépendamment de sa normalisation linguistique.</w:t>
      </w:r>
    </w:p>
    <w:p>
      <w:pPr>
        <w:numPr>
          <w:ilvl w:val="0"/>
          <w:numId w:val="1003"/>
        </w:numPr>
      </w:pPr>
      <w:r>
        <w:t xml:space="preserve">⑩ Réécriture à partir des remarques faites lors du partage : amélioration ciblée sur les points relevés collectivement à l’étape ⑨. C’est seulement à ce stade, une fois le texte stabilisé sur le fond, que la vigilance linguistique liée aux ceintures validées (§3 et §6) s’applique pleinement.</w:t>
      </w:r>
    </w:p>
    <w:p>
      <w:pPr>
        <w:pStyle w:val="FirstParagraph"/>
      </w:pPr>
      <w:r>
        <w:t xml:space="preserve">Cette dernière étape peut, selon les besoins, être suivie d’un nouvel aller-retour entre ⑨ et ⑩ : la révision n’est pas nécessairement bouclée en un seul passage.</w:t>
      </w:r>
    </w:p>
    <w:bookmarkEnd w:id="25"/>
    <w:bookmarkEnd w:id="26"/>
    <w:bookmarkStart w:id="27" w:name="X965ffd6c69d42012e84df097b5d7fc0f2e08b97"/>
    <w:p>
      <w:pPr>
        <w:pStyle w:val="Heading1"/>
      </w:pPr>
      <w:r>
        <w:t xml:space="preserve">5. Le répertoire de mots utiles : une étape adossée au carnet de mots</w:t>
      </w:r>
    </w:p>
    <w:p>
      <w:pPr>
        <w:pStyle w:val="FirstParagraph"/>
      </w:pPr>
      <w:r>
        <w:t xml:space="preserve">L’étape ④ (construction d’un répertoire de mots utiles) est l’un des points où le Dispositif 5 et le présent dispositif se rejoignent explicitement. Le carnet de mots, organisé selon le principe hyperonyme/hyponyme installé par V1, fournit l’outil de recherche. C’est un carnet collectif de la classe, sous forme d’un fichier HTML projeté au TBI (Dispositif 5, §6) : la classe y retrouve les mots déjà consignés et y ajoute, lors d’une recherche collective, les mots dont elle aura besoin pour le projet d’écriture, avant même le premier jet — entrées « production » et « recherche collective » du Dispositif 5 (§5.2, §5.3).</w:t>
      </w:r>
    </w:p>
    <w:p>
      <w:pPr>
        <w:pStyle w:val="BodyText"/>
      </w:pPr>
      <w:r>
        <w:t xml:space="preserve">Ce répertoire n’est pas un outil à part : les mots réunis à l’étape ④ sont directement saisis dans le carnet de la classe (Dispositif 5), sous leur mot-étiquette. Il n’y a donc pas de double support à gérer — le carnet de mots joue à la fois le rôle de réservoir où l’on cherche un mot déjà connu, et de lieu où l’on consigne les mots nouveaux réunis pour le projet d’écriture en cours.</w:t>
      </w:r>
    </w:p>
    <w:p>
      <w:pPr>
        <w:pStyle w:val="BodyText"/>
      </w:pPr>
      <w:r>
        <w:t xml:space="preserve">Pendant l’écriture, le carnet reste projeté, ou les pages utiles sont imprimées et mises à disposition. La part individuelle se situe sur la fiche d’écrit long de l’élève : il y note les mots qu’il retient pour son propre texte.</w:t>
      </w:r>
    </w:p>
    <w:bookmarkEnd w:id="27"/>
    <w:bookmarkStart w:id="28" w:name="X98d15e3aa841aba4d8d9d0f911a614b85b9db95"/>
    <w:p>
      <w:pPr>
        <w:pStyle w:val="Heading1"/>
      </w:pPr>
      <w:r>
        <w:t xml:space="preserve">6. Deux grilles distinctes, pour deux vigilances différentes</w:t>
      </w:r>
    </w:p>
    <w:p>
      <w:pPr>
        <w:pStyle w:val="FirstParagraph"/>
      </w:pPr>
      <w:r>
        <w:t xml:space="preserve">Les ressources Éduscol soulignent que la révision porte à la fois sur la cohérence et la cohésion du texte (l’unité du sens, la syntaxe, l’enchaînement) et sur les normes linguistiques — et qu’il s’agit de deux vigilances séparées, à ne pas confondre dans un même outil. La démarche en dix étapes distingue donc :</w:t>
      </w:r>
    </w:p>
    <w:tbl>
      <w:tblPr>
        <w:tblStyle w:val="Table"/>
        <w:tblW w:type="pct" w:w="5000"/>
        <w:tblLook w:firstRow="1" w:lastRow="0" w:firstColumn="0" w:lastColumn="0" w:noHBand="0" w:noVBand="0" w:val="0020"/>
        <w:jc w:val="start"/>
        <w:tblBorders>
          <w:top w:val="single" w:sz="4" w:color="8EAADB"/>
          <w:left w:val="single" w:sz="4" w:color="8EAADB"/>
          <w:bottom w:val="single" w:sz="4" w:color="8EAADB"/>
          <w:right w:val="single" w:sz="4" w:color="8EAADB"/>
          <w:insideH w:val="single" w:sz="4" w:color="8EAADB"/>
          <w:insideV w:val="single" w:sz="4" w:color="8EAADB"/>
        </w:tblBorders>
      </w:tblPr>
      <w:tblGrid>
        <w:gridCol w:w="1980"/>
        <w:gridCol w:w="1980"/>
        <w:gridCol w:w="1980"/>
        <w:gridCol w:w="1980"/>
      </w:tblGrid>
      <w:tr>
        <w:trPr>
          <w:tblHeader w:val="true"/>
          <w:cantSplit/>
        </w:trPr>
        <w:tc>
          <w:tcPr>
            <w:tcMar>
              <w:left w:w="70" w:type="dxa"/>
              <w:right w:w="70" w:type="dxa"/>
              <w:top w:w="70" w:type="dxa"/>
              <w:bottom w:w="70" w:type="dxa"/>
            </w:tcMar>
            <w:shd w:val="clear" w:color="auto" w:fill="DEEAF6"/>
          </w:tcPr>
          <w:p>
            <w:pPr>
              <w:pStyle w:val="Compact"/>
              <w:spacing w:after="0"/>
              <w:jc w:val="left"/>
            </w:pPr>
            <w:r>
              <w:rPr>
                <w:bCs/>
                <w:b/>
                <w:sz w:val="19"/>
              </w:rPr>
              <w:t xml:space="preserve">Grille</w:t>
            </w:r>
          </w:p>
        </w:tc>
        <w:tc>
          <w:tcPr>
            <w:tcMar>
              <w:left w:w="70" w:type="dxa"/>
              <w:right w:w="70" w:type="dxa"/>
              <w:top w:w="70" w:type="dxa"/>
              <w:bottom w:w="70" w:type="dxa"/>
            </w:tcMar>
            <w:shd w:val="clear" w:color="auto" w:fill="DEEAF6"/>
          </w:tcPr>
          <w:p>
            <w:pPr>
              <w:pStyle w:val="Compact"/>
              <w:spacing w:after="0"/>
              <w:jc w:val="left"/>
            </w:pPr>
            <w:r>
              <w:rPr>
                <w:bCs/>
                <w:b/>
                <w:sz w:val="19"/>
              </w:rPr>
              <w:t xml:space="preserve">Ce qu’elle vérifie</w:t>
            </w:r>
          </w:p>
        </w:tc>
        <w:tc>
          <w:tcPr>
            <w:tcMar>
              <w:left w:w="70" w:type="dxa"/>
              <w:right w:w="70" w:type="dxa"/>
              <w:top w:w="70" w:type="dxa"/>
              <w:bottom w:w="70" w:type="dxa"/>
            </w:tcMar>
            <w:shd w:val="clear" w:color="auto" w:fill="DEEAF6"/>
          </w:tcPr>
          <w:p>
            <w:pPr>
              <w:pStyle w:val="Compact"/>
              <w:spacing w:after="0"/>
              <w:jc w:val="left"/>
            </w:pPr>
            <w:r>
              <w:rPr>
                <w:bCs/>
                <w:b/>
                <w:sz w:val="19"/>
              </w:rPr>
              <w:t xml:space="preserve">Quand elle intervient</w:t>
            </w:r>
          </w:p>
        </w:tc>
        <w:tc>
          <w:tcPr>
            <w:tcMar>
              <w:left w:w="70" w:type="dxa"/>
              <w:right w:w="70" w:type="dxa"/>
              <w:top w:w="70" w:type="dxa"/>
              <w:bottom w:w="70" w:type="dxa"/>
            </w:tcMar>
            <w:shd w:val="clear" w:color="auto" w:fill="DEEAF6"/>
          </w:tcPr>
          <w:p>
            <w:pPr>
              <w:pStyle w:val="Compact"/>
              <w:spacing w:after="0"/>
              <w:jc w:val="left"/>
            </w:pPr>
            <w:r>
              <w:rPr>
                <w:bCs/>
                <w:b/>
                <w:sz w:val="19"/>
              </w:rPr>
              <w:t xml:space="preserve">Qui la définit</w:t>
            </w:r>
          </w:p>
        </w:tc>
      </w:tr>
      <w:tr>
        <w:trPr>
          <w:cantSplit/>
        </w:trPr>
        <w:tc>
          <w:tcPr>
            <w:tcMar>
              <w:left w:w="70" w:type="dxa"/>
              <w:right w:w="70" w:type="dxa"/>
              <w:top w:w="70" w:type="dxa"/>
              <w:bottom w:w="70" w:type="dxa"/>
            </w:tcMar>
          </w:tcPr>
          <w:p>
            <w:pPr>
              <w:pStyle w:val="Compact"/>
              <w:spacing w:after="0"/>
              <w:jc w:val="left"/>
            </w:pPr>
            <w:r>
              <w:rPr>
                <w:sz w:val="19"/>
              </w:rPr>
              <w:t xml:space="preserve">Critères de réussite (étape ⑥)</w:t>
            </w:r>
          </w:p>
        </w:tc>
        <w:tc>
          <w:tcPr>
            <w:tcMar>
              <w:left w:w="70" w:type="dxa"/>
              <w:right w:w="70" w:type="dxa"/>
              <w:top w:w="70" w:type="dxa"/>
              <w:bottom w:w="70" w:type="dxa"/>
            </w:tcMar>
          </w:tcPr>
          <w:p>
            <w:pPr>
              <w:pStyle w:val="Compact"/>
              <w:spacing w:after="0"/>
              <w:jc w:val="left"/>
            </w:pPr>
            <w:r>
              <w:rPr>
                <w:sz w:val="19"/>
              </w:rPr>
              <w:t xml:space="preserve">Le texte répond-il au projet d’écriture ? Est-il cohérent, complet, dans le genre attendu ?</w:t>
            </w:r>
          </w:p>
        </w:tc>
        <w:tc>
          <w:tcPr>
            <w:tcMar>
              <w:left w:w="70" w:type="dxa"/>
              <w:right w:w="70" w:type="dxa"/>
              <w:top w:w="70" w:type="dxa"/>
              <w:bottom w:w="70" w:type="dxa"/>
            </w:tcMar>
          </w:tcPr>
          <w:p>
            <w:pPr>
              <w:pStyle w:val="Compact"/>
              <w:spacing w:after="0"/>
              <w:jc w:val="left"/>
            </w:pPr>
            <w:r>
              <w:rPr>
                <w:sz w:val="19"/>
              </w:rPr>
              <w:t xml:space="preserve">Avant l’écriture (référence), puis lors de la lecture partagée (étape ⑨)</w:t>
            </w:r>
          </w:p>
        </w:tc>
        <w:tc>
          <w:tcPr>
            <w:tcMar>
              <w:left w:w="70" w:type="dxa"/>
              <w:right w:w="70" w:type="dxa"/>
              <w:top w:w="70" w:type="dxa"/>
              <w:bottom w:w="70" w:type="dxa"/>
            </w:tcMar>
          </w:tcPr>
          <w:p>
            <w:pPr>
              <w:pStyle w:val="Compact"/>
              <w:spacing w:after="0"/>
              <w:jc w:val="left"/>
            </w:pPr>
            <w:r>
              <w:rPr>
                <w:sz w:val="19"/>
              </w:rPr>
              <w:t xml:space="preserve">La classe ou l’enseignant, pour le projet en cours — communs à tous</w:t>
            </w:r>
          </w:p>
        </w:tc>
      </w:tr>
      <w:tr>
        <w:trPr>
          <w:cantSplit/>
        </w:trPr>
        <w:tc>
          <w:tcPr>
            <w:tcMar>
              <w:left w:w="70" w:type="dxa"/>
              <w:right w:w="70" w:type="dxa"/>
              <w:top w:w="70" w:type="dxa"/>
              <w:bottom w:w="70" w:type="dxa"/>
            </w:tcMar>
          </w:tcPr>
          <w:p>
            <w:pPr>
              <w:pStyle w:val="Compact"/>
              <w:spacing w:after="0"/>
              <w:jc w:val="left"/>
            </w:pPr>
            <w:r>
              <w:rPr>
                <w:sz w:val="19"/>
              </w:rPr>
              <w:t xml:space="preserve">Grille de relecture linguistique (§8)</w:t>
            </w:r>
          </w:p>
        </w:tc>
        <w:tc>
          <w:tcPr>
            <w:tcMar>
              <w:left w:w="70" w:type="dxa"/>
              <w:right w:w="70" w:type="dxa"/>
              <w:top w:w="70" w:type="dxa"/>
              <w:bottom w:w="70" w:type="dxa"/>
            </w:tcMar>
          </w:tcPr>
          <w:p>
            <w:pPr>
              <w:pStyle w:val="Compact"/>
              <w:spacing w:after="0"/>
              <w:jc w:val="left"/>
            </w:pPr>
            <w:r>
              <w:rPr>
                <w:sz w:val="19"/>
              </w:rPr>
              <w:t xml:space="preserve">Le texte respecte-t-il les ceintures déjà validées par cet élève (accords, homophones, conjugaison, orthographe lexicale) ?</w:t>
            </w:r>
          </w:p>
        </w:tc>
        <w:tc>
          <w:tcPr>
            <w:tcMar>
              <w:left w:w="70" w:type="dxa"/>
              <w:right w:w="70" w:type="dxa"/>
              <w:top w:w="70" w:type="dxa"/>
              <w:bottom w:w="70" w:type="dxa"/>
            </w:tcMar>
          </w:tcPr>
          <w:p>
            <w:pPr>
              <w:pStyle w:val="Compact"/>
              <w:spacing w:after="0"/>
              <w:jc w:val="left"/>
            </w:pPr>
            <w:r>
              <w:rPr>
                <w:sz w:val="19"/>
              </w:rPr>
              <w:t xml:space="preserve">Lors de la réécriture finale (étape ⑩), jamais avant</w:t>
            </w:r>
          </w:p>
        </w:tc>
        <w:tc>
          <w:tcPr>
            <w:tcMar>
              <w:left w:w="70" w:type="dxa"/>
              <w:right w:w="70" w:type="dxa"/>
              <w:top w:w="70" w:type="dxa"/>
              <w:bottom w:w="70" w:type="dxa"/>
            </w:tcMar>
          </w:tcPr>
          <w:p>
            <w:pPr>
              <w:pStyle w:val="Compact"/>
              <w:spacing w:after="0"/>
              <w:jc w:val="left"/>
            </w:pPr>
            <w:r>
              <w:rPr>
                <w:sz w:val="19"/>
              </w:rPr>
              <w:t xml:space="preserve">Individuelle — dépend des ceintures validées par chaque élève</w:t>
            </w:r>
          </w:p>
        </w:tc>
      </w:tr>
    </w:tbl>
    <w:p>
      <w:pPr>
        <w:pStyle w:val="BodyText"/>
      </w:pPr>
      <w:r>
        <w:t xml:space="preserve">Les ressources Éduscol mettent en garde contre un usage trop mécaniste des grilles de critères, qui peut réduire l’écriture à une simple case à cocher. Cette mise en garde vaut pour les deux grilles : elles servent à pointer des réussites et des pistes d’amélioration, pas à sanctionner un texte point par point.</w:t>
      </w:r>
    </w:p>
    <w:bookmarkEnd w:id="28"/>
    <w:bookmarkStart w:id="29" w:name="Xe422634bf7934eaabf6f217752f424b6ea64971"/>
    <w:p>
      <w:pPr>
        <w:pStyle w:val="Heading1"/>
      </w:pPr>
      <w:r>
        <w:t xml:space="preserve">7. Les outils mobilisables pendant l’écrit long</w:t>
      </w:r>
    </w:p>
    <w:p>
      <w:pPr>
        <w:pStyle w:val="FirstParagraph"/>
      </w:pPr>
      <w:r>
        <w:rPr>
          <w:iCs/>
          <w:i/>
        </w:rPr>
        <w:t xml:space="preserve">Mise à jour (cette révision) : contrairement au test de validation d</w:t>
      </w:r>
      <w:r>
        <w:rPr>
          <w:bCs/>
          <w:b/>
          <w:iCs/>
          <w:i/>
        </w:rPr>
        <w:t xml:space="preserve">‘</w:t>
      </w:r>
      <w:r>
        <w:rPr>
          <w:bCs/>
          <w:b/>
          <w:bCs/>
          <w:b/>
          <w:iCs/>
          <w:i/>
        </w:rPr>
        <w:t xml:space="preserve">une ceinture, qui se déroule sans support une fois le test ciblé réussi (Dispositif global, §5 et §15), l</w:t>
      </w:r>
      <w:r>
        <w:rPr>
          <w:bCs/>
          <w:b/>
          <w:iCs/>
          <w:i/>
        </w:rPr>
        <w:t xml:space="preserve">’</w:t>
      </w:r>
      <w:r>
        <w:rPr>
          <w:iCs/>
          <w:i/>
        </w:rPr>
        <w:t xml:space="preserve">écrit long autorise le recours aux outils de la classe dès la phase de planification : tableau de conjugaison affiché, cahier de règles, répertoire de mots utiles puis carnet de mots de la classe, projeté ou imprimé (§5 ci-dessus). L</w:t>
      </w:r>
      <w:r>
        <w:rPr>
          <w:bCs/>
          <w:b/>
          <w:iCs/>
          <w:i/>
        </w:rPr>
        <w:t xml:space="preserve">’</w:t>
      </w:r>
      <w:r>
        <w:rPr>
          <w:iCs/>
          <w:i/>
        </w:rPr>
        <w:t xml:space="preserve">écrit long ne revalide pas une ceinture ; il réinvestit des compétences déjà validées dans un contexte de production réelle, ce qui justifie cette différence de posture.</w:t>
      </w:r>
    </w:p>
    <w:bookmarkEnd w:id="29"/>
    <w:bookmarkStart w:id="30" w:name="X6363e3de5d7d5b390a4fe01a5a9ef2efb36f329"/>
    <w:p>
      <w:pPr>
        <w:pStyle w:val="Heading1"/>
      </w:pPr>
      <w:r>
        <w:t xml:space="preserve">8. Grille de relecture linguistique : une grille par élève, pas une grille de classe</w:t>
      </w:r>
    </w:p>
    <w:p>
      <w:pPr>
        <w:pStyle w:val="FirstParagraph"/>
      </w:pPr>
      <w:r>
        <w:t xml:space="preserve">Puisque les ceintures déjà validées diffèrent d’un élève à l’autre, une grille de relecture linguistique unique pour toute la classe entraînerait soit une exigence trop faible pour les élèves avancés, soit une exigence hors de portée pour les élèves plus lents. Cette grille — distincte des critères de réussite du projet (§6) — doit donc être renseignée à partir des ceintures que l’élève a personnellement validées à la date de l’écrit, et non à partir d’une liste générique de points de vigilance CM1.</w:t>
      </w:r>
    </w:p>
    <w:p>
      <w:pPr>
        <w:numPr>
          <w:ilvl w:val="0"/>
          <w:numId w:val="1004"/>
        </w:numPr>
      </w:pPr>
      <w:r>
        <w:t xml:space="preserve">Concrètement : la grille peut lister les ceintures validées de l’élève (G, H, C) au moment de l’écrit, chacune reformulée en une question de relecture (« Ai-je vérifié l’accord du verbe avec son sujet ? » pour G5 validée).</w:t>
      </w:r>
    </w:p>
    <w:p>
      <w:pPr>
        <w:numPr>
          <w:ilvl w:val="0"/>
          <w:numId w:val="1004"/>
        </w:numPr>
      </w:pPr>
      <w:r>
        <w:t xml:space="preserve">Une ceinture validée en cours de période s’ajoute à la grille dès sa validation, pas seulement au point d’étape suivant.</w:t>
      </w:r>
    </w:p>
    <w:bookmarkEnd w:id="30"/>
    <w:bookmarkStart w:id="31" w:name="points-non-tranchés"/>
    <w:p>
      <w:pPr>
        <w:pStyle w:val="Heading1"/>
      </w:pPr>
      <w:r>
        <w:t xml:space="preserve">9. Points non tranchés</w:t>
      </w:r>
    </w:p>
    <w:p>
      <w:pPr>
        <w:numPr>
          <w:ilvl w:val="0"/>
          <w:numId w:val="1005"/>
        </w:numPr>
      </w:pPr>
      <w:r>
        <w:t xml:space="preserve">Format matériel de la grille individuelle (fiche imprimée par élève, tableau collectif où chacun coche ses propres lignes, outil numérique) non arrêté.</w:t>
      </w:r>
    </w:p>
    <w:p>
      <w:pPr>
        <w:numPr>
          <w:ilvl w:val="0"/>
          <w:numId w:val="1005"/>
        </w:numPr>
      </w:pPr>
      <w:r>
        <w:t xml:space="preserve">Fréquence des écrits longs sur l’année et articulation avec le calendrier des ceintures (répartition en 5 périodes, Dispositif global §13) restant à formaliser précisément.</w:t>
      </w:r>
    </w:p>
    <w:p>
      <w:pPr>
        <w:numPr>
          <w:ilvl w:val="0"/>
          <w:numId w:val="1005"/>
        </w:numPr>
      </w:pPr>
      <w:r>
        <w:t xml:space="preserve">Position à adopter quand un élève mobilise, de sa propre initiative, une compétence non encore validée en ceinture mais correctement maîtrisée dans l’écrit : à valoriser sans que cela accélère formellement le parcours de ceintures, ou à considérer comme un indice de validation informelle — non tranché.</w:t>
      </w:r>
    </w:p>
    <w:p>
      <w:pPr>
        <w:numPr>
          <w:ilvl w:val="0"/>
          <w:numId w:val="1005"/>
        </w:numPr>
      </w:pPr>
      <w:r>
        <w:t xml:space="preserve">Nombre d’allers-retours entre lecture partagée (⑨) et réécriture (⑩) à ne pas dépasser, pour éviter qu’un texte ne soit jamais considéré comme abouti — non tranché.</w:t>
      </w:r>
    </w:p>
    <w:p>
      <w:pPr>
        <w:numPr>
          <w:ilvl w:val="0"/>
          <w:numId w:val="1005"/>
        </w:numPr>
      </w:pPr>
      <w:r>
        <w:t xml:space="preserve">Fréquence exacte du carnet de lecteur (temps dédié hebdomadaire ou usage libre) non fixée à ce stade.</w:t>
      </w:r>
    </w:p>
    <w:p>
      <w:pPr>
        <w:numPr>
          <w:ilvl w:val="0"/>
          <w:numId w:val="1005"/>
        </w:numPr>
      </w:pPr>
      <w:r>
        <w:t xml:space="preserve">Modalités de valorisation du carnet de lecteur (présentation orale, cercle de lecture) à définir : le programme les évoque sans les rendre obligatoires.</w:t>
      </w:r>
    </w:p>
    <w:bookmarkEnd w:id="31"/>
    <w:p>
      <w:pPr>
        <w:pStyle w:val="Heading1"/>
      </w:pPr>
      <w:r>
        <w:t xml:space="preserve">En CM2</w:t>
      </w:r>
    </w:p>
    <w:p>
      <w:pPr>
        <w:pStyle w:val="Heading2"/>
      </w:pPr>
      <w:r>
        <w:t xml:space="preserve">Lecture et carnet de lecteur</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left w:w="80" w:type="dxa"/>
          <w:right w:w="80" w:type="dxa"/>
        </w:tblCellMar>
      </w:tblPr>
      <w:tblGrid>
        <w:gridCol w:w="1541"/>
        <w:gridCol w:w="3447"/>
        <w:gridCol w:w="4610"/>
      </w:tblGrid>
      <w:tr>
        <w:trPr>
          <w:tblHeader/>
        </w:trPr>
        <w:tc>
          <w:tcPr>
            <w:tcW w:type="dxa" w:w="1541"/>
            <w:shd w:fill="D9E2F3" w:val="clear"/>
          </w:tcPr>
          <w:p>
            <w:pPr>
              <w:spacing w:before="20" w:after="20"/>
            </w:pPr>
            <w:r>
              <w:rPr>
                <w:b/>
                <w:bCs/>
              </w:rPr>
              <w:t xml:space="preserve">Élément</w:t>
            </w:r>
          </w:p>
        </w:tc>
        <w:tc>
          <w:tcPr>
            <w:tcW w:type="dxa" w:w="3447"/>
            <w:shd w:fill="D9E2F3" w:val="clear"/>
          </w:tcPr>
          <w:p>
            <w:pPr>
              <w:spacing w:before="20" w:after="20"/>
            </w:pPr>
            <w:r>
              <w:rPr>
                <w:b/>
                <w:bCs/>
              </w:rPr>
              <w:t xml:space="preserve">Programme CM1</w:t>
            </w:r>
          </w:p>
        </w:tc>
        <w:tc>
          <w:tcPr>
            <w:tcW w:type="dxa" w:w="4610"/>
            <w:shd w:fill="D9E2F3" w:val="clear"/>
          </w:tcPr>
          <w:p>
            <w:pPr>
              <w:spacing w:before="20" w:after="20"/>
            </w:pPr>
            <w:r>
              <w:rPr>
                <w:b/>
                <w:bCs/>
              </w:rPr>
              <w:t xml:space="preserve">Programme CM2</w:t>
            </w:r>
          </w:p>
        </w:tc>
      </w:tr>
      <w:tr>
        <w:tc>
          <w:tcPr>
            <w:tcW w:type="dxa" w:w="1541"/>
          </w:tcPr>
          <w:p>
            <w:pPr>
              <w:spacing w:before="20" w:after="20"/>
            </w:pPr>
            <w:r>
              <w:t xml:space="preserve">Volume de lecture</w:t>
            </w:r>
          </w:p>
        </w:tc>
        <w:tc>
          <w:tcPr>
            <w:tcW w:type="dxa" w:w="3447"/>
          </w:tcPr>
          <w:p>
            <w:pPr>
              <w:spacing w:before="20" w:after="20"/>
            </w:pPr>
            <w:r>
              <w:t xml:space="preserve">Au moins 2 œuvres du patrimoine et 5 ouvrages de littérature de jeunesse</w:t>
            </w:r>
          </w:p>
        </w:tc>
        <w:tc>
          <w:tcPr>
            <w:tcW w:type="dxa" w:w="4610"/>
          </w:tcPr>
          <w:p>
            <w:pPr>
              <w:spacing w:before="20" w:after="20"/>
            </w:pPr>
            <w:r>
              <w:t xml:space="preserve">Au moins 3 œuvres du patrimoine et 4 ouvrages de littérature de jeunesse</w:t>
            </w:r>
          </w:p>
        </w:tc>
      </w:tr>
      <w:tr>
        <w:tc>
          <w:tcPr>
            <w:tcW w:type="dxa" w:w="1541"/>
          </w:tcPr>
          <w:p>
            <w:pPr>
              <w:spacing w:before="20" w:after="20"/>
            </w:pPr>
            <w:r>
              <w:t xml:space="preserve">Fluence</w:t>
            </w:r>
          </w:p>
        </w:tc>
        <w:tc>
          <w:tcPr>
            <w:tcW w:type="dxa" w:w="3447"/>
          </w:tcPr>
          <w:p>
            <w:pPr>
              <w:spacing w:before="20" w:after="20"/>
            </w:pPr>
            <w:r>
              <w:t xml:space="preserve">110 mots par minute en moyenne</w:t>
            </w:r>
          </w:p>
        </w:tc>
        <w:tc>
          <w:tcPr>
            <w:tcW w:type="dxa" w:w="4610"/>
          </w:tcPr>
          <w:p>
            <w:pPr>
              <w:spacing w:before="20" w:after="20"/>
            </w:pPr>
            <w:r>
              <w:t xml:space="preserve">120 mots par minute en moyenne ; lecture à voix haute d’un texte long, après préparation</w:t>
            </w:r>
          </w:p>
        </w:tc>
      </w:tr>
      <w:tr>
        <w:tc>
          <w:tcPr>
            <w:tcW w:type="dxa" w:w="1541"/>
          </w:tcPr>
          <w:p>
            <w:pPr>
              <w:spacing w:before="20" w:after="20"/>
            </w:pPr>
            <w:r>
              <w:t xml:space="preserve">Compréhension</w:t>
            </w:r>
          </w:p>
        </w:tc>
        <w:tc>
          <w:tcPr>
            <w:tcW w:type="dxa" w:w="3447"/>
          </w:tcPr>
          <w:p>
            <w:pPr>
              <w:spacing w:before="20" w:after="20"/>
            </w:pPr>
            <w:r>
              <w:t xml:space="preserve">—</w:t>
            </w:r>
          </w:p>
        </w:tc>
        <w:tc>
          <w:tcPr>
            <w:tcW w:type="dxa" w:w="4610"/>
          </w:tcPr>
          <w:p>
            <w:pPr>
              <w:spacing w:before="20" w:after="20"/>
            </w:pPr>
            <w:r>
              <w:t xml:space="preserve">Restituer l’essentiel d’un texte (explicite et implicite) ; reconnaître et nommer les principaux genres littéraires</w:t>
            </w:r>
          </w:p>
        </w:tc>
      </w:tr>
      <w:tr>
        <w:tc>
          <w:tcPr>
            <w:tcW w:type="dxa" w:w="1541"/>
          </w:tcPr>
          <w:p>
            <w:pPr>
              <w:spacing w:before="20" w:after="20"/>
            </w:pPr>
            <w:r>
              <w:t xml:space="preserve">Appropriation</w:t>
            </w:r>
          </w:p>
        </w:tc>
        <w:tc>
          <w:tcPr>
            <w:tcW w:type="dxa" w:w="3447"/>
          </w:tcPr>
          <w:p>
            <w:pPr>
              <w:spacing w:before="20" w:after="20"/>
            </w:pPr>
            <w:r>
              <w:t xml:space="preserve">—</w:t>
            </w:r>
          </w:p>
        </w:tc>
        <w:tc>
          <w:tcPr>
            <w:tcW w:type="dxa" w:w="4610"/>
          </w:tcPr>
          <w:p>
            <w:pPr>
              <w:spacing w:before="20" w:after="20"/>
            </w:pPr>
            <w:r>
              <w:t xml:space="preserve">Mettre en relation le texte avec une autre œuvre, une autre référence culturelle, ses expériences personnelles</w:t>
            </w:r>
          </w:p>
        </w:tc>
      </w:tr>
    </w:tbl>
    <w:p/>
    <w:p>
      <w:pPr>
        <w:pStyle w:val="BodyText"/>
      </w:pPr>
      <w:r>
        <w:t xml:space="preserve">Le carnet de lecteur garde le même statut (personnel, non noté). En CM2, on y ajoute le genre de l’œuvre et les liens avec d’autres œuvres déjà lues.</w:t>
      </w:r>
    </w:p>
    <w:p>
      <w:pPr>
        <w:pStyle w:val="Heading2"/>
      </w:pPr>
      <w:r>
        <w:t xml:space="preserve">Écrits longs</w:t>
      </w:r>
    </w:p>
    <w:p>
      <w:pPr>
        <w:pStyle w:val="BodyText"/>
      </w:pPr>
      <w:r>
        <w:t xml:space="preserve">La démarche en dix étapes ne change pas. Les situations d’écriture du CM2 ajoutent la description et le dialogue, l’avis nuancé, la suite de texte enrichie d’un dialogue ou d’une description, et l’attention à la cohérence textuelle.</w:t>
      </w:r>
    </w:p>
    <w:p>
      <w:pPr>
        <w:pStyle w:val="Heading2"/>
      </w:pPr>
      <w:r>
        <w:t xml:space="preserve">Interaction avec l’étude de la langue (CM2)</w:t>
      </w:r>
    </w:p>
    <w:p>
      <w:pPr>
        <w:pStyle w:val="BodyText"/>
        <w:numPr>
          <w:ilvl w:val="0"/>
          <w:numId w:val="1000"/>
        </w:numPr>
        <w:spacing w:after="60"/>
      </w:pPr>
      <w:r>
        <w:t xml:space="preserve">Grammaire : phrase complexe (G2), complément du nom et attribut (G3, G7), sujet inversé après des paroles rapportées (G1, G5).</w:t>
      </w:r>
    </w:p>
    <w:p>
      <w:pPr>
        <w:pStyle w:val="BodyText"/>
        <w:numPr>
          <w:ilvl w:val="0"/>
          <w:numId w:val="1000"/>
        </w:numPr>
        <w:spacing w:after="60"/>
      </w:pPr>
      <w:r>
        <w:t xml:space="preserve">Conjugaison : un récit au passé peut être écrit à l’imparfait et au passé simple une fois C3 validée ; C6 (plus-que-parfait) et C7 (passé simple des verbes irréguliers) enrichissent les récits.</w:t>
      </w:r>
    </w:p>
    <w:p>
      <w:pPr>
        <w:pStyle w:val="BodyText"/>
        <w:numPr>
          <w:ilvl w:val="0"/>
          <w:numId w:val="1000"/>
        </w:numPr>
        <w:spacing w:after="60"/>
      </w:pPr>
      <w:r>
        <w:t xml:space="preserve">Homophones : les paires du CM2 (sans / s’en, donc / dont, quel / qu’elle) entrent dans la relecture une fois H8 validée.</w:t>
      </w:r>
    </w:p>
    <w:p>
      <w:pPr>
        <w:pStyle w:val="BodyText"/>
        <w:numPr>
          <w:ilvl w:val="0"/>
          <w:numId w:val="1000"/>
        </w:numPr>
        <w:spacing w:after="60"/>
      </w:pPr>
      <w:r>
        <w:t xml:space="preserve">Vocabulaire : champ lexical (V5) pour créer une ambiance, polysémie (V6), dictionnaire (V2).</w:t>
      </w:r>
    </w:p>
    <w:p>
      <w:pPr>
        <w:pStyle w:val="Heading1"/>
      </w:pPr>
      <w:r>
        <w:t xml:space="preserve">En CE2</w:t>
      </w:r>
    </w:p>
    <w:p>
      <w:pPr>
        <w:pStyle w:val="Heading2"/>
      </w:pPr>
      <w:r>
        <w:t xml:space="preserve">Lecture et carnet de lecteur</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left w:w="80" w:type="dxa"/>
          <w:right w:w="80" w:type="dxa"/>
        </w:tblCellMar>
      </w:tblPr>
      <w:tblGrid>
        <w:gridCol w:w="2294"/>
        <w:gridCol w:w="7305"/>
      </w:tblGrid>
      <w:tr>
        <w:trPr>
          <w:tblHeader/>
        </w:trPr>
        <w:tc>
          <w:tcPr>
            <w:tcW w:type="dxa" w:w="2294"/>
            <w:shd w:fill="D9E2F3" w:val="clear"/>
          </w:tcPr>
          <w:p>
            <w:pPr>
              <w:spacing w:before="20" w:after="20"/>
            </w:pPr>
            <w:r>
              <w:rPr>
                <w:b/>
                <w:bCs/>
              </w:rPr>
              <w:t xml:space="preserve">Élément</w:t>
            </w:r>
          </w:p>
        </w:tc>
        <w:tc>
          <w:tcPr>
            <w:tcW w:type="dxa" w:w="7305"/>
            <w:shd w:fill="D9E2F3" w:val="clear"/>
          </w:tcPr>
          <w:p>
            <w:pPr>
              <w:spacing w:before="20" w:after="20"/>
            </w:pPr>
            <w:r>
              <w:rPr>
                <w:b/>
                <w:bCs/>
              </w:rPr>
              <w:t xml:space="preserve">Programme CE2</w:t>
            </w:r>
          </w:p>
        </w:tc>
      </w:tr>
      <w:tr>
        <w:tc>
          <w:tcPr>
            <w:tcW w:type="dxa" w:w="2294"/>
          </w:tcPr>
          <w:p>
            <w:pPr>
              <w:spacing w:before="20" w:after="20"/>
            </w:pPr>
            <w:r>
              <w:t xml:space="preserve">Volume de lecture</w:t>
            </w:r>
          </w:p>
        </w:tc>
        <w:tc>
          <w:tcPr>
            <w:tcW w:type="dxa" w:w="7305"/>
          </w:tcPr>
          <w:p>
            <w:pPr>
              <w:spacing w:before="20" w:after="20"/>
            </w:pPr>
            <w:r>
              <w:t xml:space="preserve">5 à 10 œuvres complètes et variées (albums, romans, contes, fables, poèmes, théâtre, documentaires)</w:t>
            </w:r>
          </w:p>
        </w:tc>
      </w:tr>
      <w:tr>
        <w:tc>
          <w:tcPr>
            <w:tcW w:type="dxa" w:w="2294"/>
          </w:tcPr>
          <w:p>
            <w:pPr>
              <w:spacing w:before="20" w:after="20"/>
            </w:pPr>
            <w:r>
              <w:t xml:space="preserve">Fluence</w:t>
            </w:r>
          </w:p>
        </w:tc>
        <w:tc>
          <w:tcPr>
            <w:tcW w:type="dxa" w:w="7305"/>
          </w:tcPr>
          <w:p>
            <w:pPr>
              <w:spacing w:before="20" w:after="20"/>
            </w:pPr>
            <w:r>
              <w:t xml:space="preserve">90 mots par minute ; lecture expressive en respectant la ponctuation et les liaisons</w:t>
            </w:r>
          </w:p>
        </w:tc>
      </w:tr>
      <w:tr>
        <w:tc>
          <w:tcPr>
            <w:tcW w:type="dxa" w:w="2294"/>
          </w:tcPr>
          <w:p>
            <w:pPr>
              <w:spacing w:before="20" w:after="20"/>
            </w:pPr>
            <w:r>
              <w:t xml:space="preserve">Compréhension</w:t>
            </w:r>
          </w:p>
        </w:tc>
        <w:tc>
          <w:tcPr>
            <w:tcW w:type="dxa" w:w="7305"/>
          </w:tcPr>
          <w:p>
            <w:pPr>
              <w:spacing w:before="20" w:after="20"/>
            </w:pPr>
            <w:r>
              <w:t xml:space="preserve">Texte narratif, informatif ou prescriptif d’une vingtaine de lignes en autonomie ; inférences ; reprises d’un nom par un pronom</w:t>
            </w:r>
          </w:p>
        </w:tc>
      </w:tr>
    </w:tbl>
    <w:p/>
    <w:p>
      <w:pPr>
        <w:pStyle w:val="BodyText"/>
      </w:pPr>
      <w:r>
        <w:t xml:space="preserve">Le carnet de lecteur garde le même statut (personnel, non noté).</w:t>
      </w:r>
    </w:p>
    <w:p>
      <w:pPr>
        <w:pStyle w:val="Heading2"/>
      </w:pPr>
      <w:r>
        <w:t xml:space="preserve">Écrits longs</w:t>
      </w:r>
    </w:p>
    <w:p>
      <w:pPr>
        <w:pStyle w:val="BodyText"/>
      </w:pPr>
      <w:r>
        <w:t xml:space="preserve">Au CE2, l’écrit long est un texte d’une dizaine de lignes, préparé au brouillon et amélioré avec les indications de l’enseignant.</w:t>
      </w:r>
    </w:p>
    <w:p>
      <w:pPr>
        <w:pStyle w:val="Heading2"/>
      </w:pPr>
      <w:r>
        <w:t xml:space="preserve">Interaction avec l’étude de la langue (CE2)</w:t>
      </w:r>
    </w:p>
    <w:p>
      <w:pPr>
        <w:pStyle w:val="BodyText"/>
        <w:numPr>
          <w:ilvl w:val="0"/>
          <w:numId w:val="1000"/>
        </w:numPr>
        <w:spacing w:after="60"/>
      </w:pPr>
      <w:r>
        <w:t xml:space="preserve">Grammaire : phrases déclaratives, interrogatives, impératives ; guillemets du dialogue (G2) ; accords dans le groupe nominal et sujet-verbe (G3, G5, G7).</w:t>
      </w:r>
    </w:p>
    <w:p>
      <w:pPr>
        <w:pStyle w:val="BodyText"/>
        <w:numPr>
          <w:ilvl w:val="0"/>
          <w:numId w:val="1000"/>
        </w:numPr>
        <w:spacing w:after="60"/>
      </w:pPr>
      <w:r>
        <w:t xml:space="preserve">Conjugaison : récit au présent, au futur, à l’imparfait ou au passé composé ; les verbes irréguliers avec le tableau affiché jusqu’à C6 et C7.</w:t>
      </w:r>
    </w:p>
    <w:p>
      <w:pPr>
        <w:pStyle w:val="BodyText"/>
        <w:numPr>
          <w:ilvl w:val="0"/>
          <w:numId w:val="1000"/>
        </w:numPr>
        <w:spacing w:after="60"/>
      </w:pPr>
      <w:r>
        <w:t xml:space="preserve">Homophones : a / à, ont / on, est / et, sont / son en relecture une fois H8 validée.</w:t>
      </w:r>
    </w:p>
    <w:sectPr>
      <w:pgSz w:w="11906" w:h="16838"/>
      <w:pgMar w:left="1020" w:right="1020" w:top="907" w:bottom="9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Liberation Sans" w:hAnsi="Liberation Sans" w:cs="Liberation Sans" w:eastAsia="Liberation Sans"/>
      <w:sz w:val="21"/>
    </w:rPr>
  </w:style>
  <w:style w:styleId="BodyText" w:type="paragraph">
    <w:name w:val="Body Text"/>
    <w:basedOn w:val="Normal"/>
    <w:link w:val="BodyTextChar"/>
    <w:pPr>
      <w:spacing w:after="100" w:before="180"/>
    </w:pPr>
    <w:qFormat/>
    <w:rPr>
      <w:rFonts w:ascii="Liberation Sans" w:hAnsi="Liberation Sans" w:cs="Liberation Sans" w:eastAsia="Liberation Sans"/>
      <w:sz w:val="21"/>
    </w:rPr>
  </w:style>
  <w:style w:customStyle="1" w:styleId="FirstParagraph" w:type="paragraph">
    <w:name w:val="First Paragraph"/>
    <w:basedOn w:val="BodyText"/>
    <w:next w:val="BodyText"/>
    <w:qFormat/>
    <w:pPr>
      <w:spacing w:after="100"/>
    </w:pPr>
    <w:rPr>
      <w:rFonts w:ascii="Liberation Sans" w:hAnsi="Liberation Sans" w:cs="Liberation Sans" w:eastAsia="Liberation Sans"/>
      <w:sz w:val="21"/>
    </w:rPr>
  </w:style>
  <w:style w:customStyle="1" w:styleId="Compact" w:type="paragraph">
    <w:name w:val="Compact"/>
    <w:basedOn w:val="BodyText"/>
    <w:qFormat/>
    <w:pPr>
      <w:spacing w:after="36" w:before="36"/>
    </w:pPr>
    <w:rPr>
      <w:rFonts w:ascii="Liberation Sans" w:hAnsi="Liberation Sans" w:cs="Liberation Sans" w:eastAsia="Liberation Sans"/>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Liberation Sans" w:hAnsi="Liberation Sans" w:cs="Liberation Sans" w:eastAsia="Liberation Sans"/>
      <w:b/>
      <w:bCs/>
      <w:color w:val="1F4E79"/>
      <w:sz w:val="36"/>
      <w:szCs w:val="36"/>
    </w:rPr>
  </w:style>
  <w:style w:styleId="Subtitle" w:type="paragraph">
    <w:name w:val="Subtitle"/>
    <w:basedOn w:val="Title"/>
    <w:next w:val="BodyText"/>
    <w:qFormat/>
    <w:pPr>
      <w:keepNext/>
      <w:keepLines/>
      <w:spacing w:after="240" w:before="240"/>
      <w:jc w:val="center"/>
    </w:pPr>
    <w:rPr>
      <w:rFonts w:ascii="Liberation Sans" w:hAnsi="Liberation Sans" w:cs="Liberation Sans" w:eastAsia="Liberation Sans"/>
      <w:color w:val="555555"/>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2026-09-27T08:30:26Z</dcterms:created>
  <dcterms:modified xsi:type="dcterms:W3CDTF">2026-09-27T08:30:26Z</dcterms:modified>
</cp:coreProperties>
</file>

<file path=docProps/custom.xml><?xml version="1.0" encoding="utf-8"?>
<Properties xmlns="http://schemas.openxmlformats.org/officeDocument/2006/custom-properties" xmlns:vt="http://schemas.openxmlformats.org/officeDocument/2006/docPropsVTypes"/>
</file>