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rPr/>
      </w:pPr>
      <w:r>
        <w:rPr>
          <w:b/>
          <w:bCs/>
        </w:rPr>
        <w:t>Dispositif 3 — Conjugaison et morphologie verbale</w:t>
      </w:r>
    </w:p>
    <w:p>
      <w:pPr>
        <w:pStyle w:val="Heading2"/>
        <w:rPr/>
      </w:pPr>
      <w:bookmarkStart w:id="0" w:name="classe-de-cm1"/>
      <w:r>
        <w:rPr/>
        <w:t>Classe de CM1</w:t>
      </w:r>
    </w:p>
    <w:p>
      <w:pPr>
        <w:pStyle w:val="FirstParagraph"/>
        <w:rPr/>
      </w:pPr>
      <w:r>
        <w:rPr>
          <w:i/>
          <w:iCs/>
        </w:rPr>
        <w:t>Préfixe retenu : C (Conjugaison). Version intégrant le jeu Profissime correspondant à chaque ceinture. Version triple niveau : document « Dispositif 3 — CE2-CM1-CM2 ».</w:t>
      </w:r>
    </w:p>
    <w:p>
      <w:pPr>
        <w:pStyle w:val="BodyText"/>
        <w:rPr/>
      </w:pPr>
      <w:bookmarkStart w:id="1" w:name="classe-de-cm1"/>
      <w:r>
        <w:rPr>
          <w:i/>
          <w:iCs/>
        </w:rPr>
        <w:t>Mise à jour (septembre 2026) : parcours de ceinture commun (Structure des ceintures) — observation (diaporama et page interactive), trace écrite, entraînement collectif de 30 min (ardoise, puis binômes et groupe de besoin), trois fiches d'entraînement ciblé, un seul test (le test ciblé, en trois versions, réussite 6/6), deux remédiations, trois fiches d'entraînement spiralé sans test, deux fiches maison. C1 est produite ; C2 à C5 et C8 restent à produire.</w:t>
      </w:r>
      <w:bookmarkEnd w:id="1"/>
    </w:p>
    <w:p>
      <w:pPr>
        <w:pStyle w:val="Heading1"/>
        <w:rPr/>
      </w:pPr>
      <w:bookmarkStart w:id="2" w:name="table-des-ceintures"/>
      <w:r>
        <w:rPr/>
        <w:t>1. Table des ceintures</w:t>
      </w:r>
    </w:p>
    <w:p>
      <w:pPr>
        <w:pStyle w:val="FirstParagraph"/>
        <w:rPr/>
      </w:pPr>
      <w:r>
        <w:rPr/>
        <w:t>Ceintures actives en CM1 : C1, C2, C3, C4, C5, C8. C6 (plus-que-parfait) et C7 (passé simple) restent hors programme à ce niveau — le programme officiel ne les attend qu'en CM2.</w:t>
      </w:r>
    </w:p>
    <w:tbl>
      <w:tblPr>
        <w:tblStyle w:val="Table"/>
        <w:tblW w:w="9595"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9"/>
        <w:gridCol w:w="939"/>
        <w:gridCol w:w="1502"/>
        <w:gridCol w:w="1502"/>
        <w:gridCol w:w="939"/>
        <w:gridCol w:w="2415"/>
        <w:gridCol w:w="1359"/>
      </w:tblGrid>
      <w:tr>
        <w:tc>
          <w:tcPr>
            <w:tcW w:type="dxa" w:w="939"/>
          </w:tcPr>
          <w:p>
            <w:r>
              <w:rPr>
                <w:b/>
                <w:sz w:val="17"/>
              </w:rPr>
              <w:t>N°</w:t>
            </w:r>
          </w:p>
        </w:tc>
        <w:tc>
          <w:tcPr>
            <w:tcW w:type="dxa" w:w="939"/>
          </w:tcPr>
          <w:p>
            <w:r>
              <w:rPr>
                <w:b/>
                <w:sz w:val="17"/>
              </w:rPr>
              <w:t>Couleur</w:t>
            </w:r>
          </w:p>
        </w:tc>
        <w:tc>
          <w:tcPr>
            <w:tcW w:type="dxa" w:w="1502"/>
          </w:tcPr>
          <w:p>
            <w:r>
              <w:rPr>
                <w:b/>
                <w:sz w:val="17"/>
              </w:rPr>
              <w:t>Temps</w:t>
            </w:r>
          </w:p>
        </w:tc>
        <w:tc>
          <w:tcPr>
            <w:tcW w:type="dxa" w:w="1502"/>
          </w:tcPr>
          <w:p>
            <w:r>
              <w:rPr>
                <w:b/>
                <w:sz w:val="17"/>
              </w:rPr>
              <w:t>Contenu CM1</w:t>
            </w:r>
          </w:p>
        </w:tc>
        <w:tc>
          <w:tcPr>
            <w:tcW w:type="dxa" w:w="939"/>
          </w:tcPr>
          <w:p>
            <w:r>
              <w:rPr>
                <w:b/>
                <w:sz w:val="17"/>
              </w:rPr>
              <w:t>Période</w:t>
            </w:r>
          </w:p>
        </w:tc>
        <w:tc>
          <w:tcPr>
            <w:tcW w:type="dxa" w:w="2415"/>
          </w:tcPr>
          <w:p>
            <w:r>
              <w:rPr>
                <w:b/>
                <w:sz w:val="17"/>
              </w:rPr>
              <w:t>Verrou inter-dispositifs</w:t>
            </w:r>
          </w:p>
        </w:tc>
        <w:tc>
          <w:tcPr>
            <w:tcW w:type="dxa" w:w="1359"/>
          </w:tcPr>
          <w:p>
            <w:r>
              <w:rPr>
                <w:b/>
                <w:sz w:val="17"/>
              </w:rPr>
              <w:t>Jeu associé</w:t>
            </w:r>
          </w:p>
        </w:tc>
      </w:tr>
      <w:tr>
        <w:tc>
          <w:tcPr>
            <w:tcW w:type="dxa" w:w="939"/>
          </w:tcPr>
          <w:p>
            <w:r>
              <w:rPr>
                <w:b w:val="0"/>
                <w:sz w:val="17"/>
              </w:rPr>
              <w:t>C1</w:t>
            </w:r>
          </w:p>
        </w:tc>
        <w:tc>
          <w:tcPr>
            <w:tcW w:type="dxa" w:w="939"/>
          </w:tcPr>
          <w:p>
            <w:r>
              <w:rPr>
                <w:b w:val="0"/>
                <w:sz w:val="17"/>
              </w:rPr>
              <w:t>Blanche</w:t>
            </w:r>
          </w:p>
        </w:tc>
        <w:tc>
          <w:tcPr>
            <w:tcW w:type="dxa" w:w="1502"/>
          </w:tcPr>
          <w:p>
            <w:r>
              <w:rPr>
                <w:b w:val="0"/>
                <w:sz w:val="17"/>
              </w:rPr>
              <w:t>Présent</w:t>
            </w:r>
          </w:p>
        </w:tc>
        <w:tc>
          <w:tcPr>
            <w:tcW w:type="dxa" w:w="1502"/>
          </w:tcPr>
          <w:p>
            <w:r>
              <w:rPr>
                <w:b w:val="0"/>
                <w:sz w:val="17"/>
              </w:rPr>
              <w:t>Être, avoir, 1er et 2e groupes, aller, faire, dire, venir, prendre, pouvoir, vouloir, voir, partir, mettre, savoir, devoir</w:t>
            </w:r>
          </w:p>
        </w:tc>
        <w:tc>
          <w:tcPr>
            <w:tcW w:type="dxa" w:w="939"/>
          </w:tcPr>
          <w:p>
            <w:r>
              <w:rPr>
                <w:b w:val="0"/>
                <w:sz w:val="17"/>
              </w:rPr>
              <w:t>P1</w:t>
            </w:r>
          </w:p>
        </w:tc>
        <w:tc>
          <w:tcPr>
            <w:tcW w:type="dxa" w:w="2415"/>
          </w:tcPr>
          <w:p>
            <w:r>
              <w:rPr>
                <w:b w:val="0"/>
                <w:sz w:val="17"/>
              </w:rPr>
              <w:t>avant H1</w:t>
            </w:r>
          </w:p>
        </w:tc>
        <w:tc>
          <w:tcPr>
            <w:tcW w:type="dxa" w:w="1359"/>
          </w:tcPr>
          <w:p>
            <w:r>
              <w:rPr>
                <w:b w:val="0"/>
                <w:sz w:val="17"/>
              </w:rPr>
              <w:t>Super conjugo</w:t>
            </w:r>
          </w:p>
        </w:tc>
      </w:tr>
      <w:tr>
        <w:tc>
          <w:tcPr>
            <w:tcW w:type="dxa" w:w="939"/>
          </w:tcPr>
          <w:p>
            <w:r>
              <w:rPr>
                <w:b w:val="0"/>
                <w:sz w:val="17"/>
              </w:rPr>
              <w:t>C2</w:t>
            </w:r>
          </w:p>
        </w:tc>
        <w:tc>
          <w:tcPr>
            <w:tcW w:type="dxa" w:w="939"/>
          </w:tcPr>
          <w:p>
            <w:r>
              <w:rPr>
                <w:b w:val="0"/>
                <w:sz w:val="17"/>
              </w:rPr>
              <w:t>Jaune</w:t>
            </w:r>
          </w:p>
        </w:tc>
        <w:tc>
          <w:tcPr>
            <w:tcW w:type="dxa" w:w="1502"/>
          </w:tcPr>
          <w:p>
            <w:r>
              <w:rPr>
                <w:b w:val="0"/>
                <w:sz w:val="17"/>
              </w:rPr>
              <w:t>Futur simple</w:t>
            </w:r>
          </w:p>
        </w:tc>
        <w:tc>
          <w:tcPr>
            <w:tcW w:type="dxa" w:w="1502"/>
          </w:tcPr>
          <w:p>
            <w:r>
              <w:rPr>
                <w:b w:val="0"/>
                <w:sz w:val="17"/>
              </w:rPr>
              <w:t>Être/avoir/1er et 2e groupe + irréguliers listés</w:t>
            </w:r>
          </w:p>
        </w:tc>
        <w:tc>
          <w:tcPr>
            <w:tcW w:type="dxa" w:w="939"/>
          </w:tcPr>
          <w:p>
            <w:r>
              <w:rPr>
                <w:b w:val="0"/>
                <w:sz w:val="17"/>
              </w:rPr>
              <w:t>P2</w:t>
            </w:r>
          </w:p>
        </w:tc>
        <w:tc>
          <w:tcPr>
            <w:tcW w:type="dxa" w:w="2415"/>
          </w:tcPr>
          <w:p>
            <w:r>
              <w:rPr>
                <w:b w:val="0"/>
                <w:sz w:val="17"/>
              </w:rPr>
              <w:t>avant G5 (P3)</w:t>
            </w:r>
          </w:p>
        </w:tc>
        <w:tc>
          <w:tcPr>
            <w:tcW w:type="dxa" w:w="1359"/>
          </w:tcPr>
          <w:p>
            <w:r>
              <w:rPr>
                <w:b w:val="0"/>
                <w:sz w:val="17"/>
              </w:rPr>
              <w:t>Futuro Bingo</w:t>
            </w:r>
          </w:p>
        </w:tc>
      </w:tr>
      <w:tr>
        <w:tc>
          <w:tcPr>
            <w:tcW w:type="dxa" w:w="939"/>
          </w:tcPr>
          <w:p>
            <w:r>
              <w:rPr>
                <w:b w:val="0"/>
                <w:sz w:val="17"/>
              </w:rPr>
              <w:t>C3</w:t>
            </w:r>
          </w:p>
        </w:tc>
        <w:tc>
          <w:tcPr>
            <w:tcW w:type="dxa" w:w="939"/>
          </w:tcPr>
          <w:p>
            <w:r>
              <w:rPr>
                <w:b w:val="0"/>
                <w:sz w:val="17"/>
              </w:rPr>
              <w:t>Orange</w:t>
            </w:r>
          </w:p>
        </w:tc>
        <w:tc>
          <w:tcPr>
            <w:tcW w:type="dxa" w:w="1502"/>
          </w:tcPr>
          <w:p>
            <w:r>
              <w:rPr>
                <w:b w:val="0"/>
                <w:sz w:val="17"/>
              </w:rPr>
              <w:t>Imparfait</w:t>
            </w:r>
          </w:p>
        </w:tc>
        <w:tc>
          <w:tcPr>
            <w:tcW w:type="dxa" w:w="1502"/>
          </w:tcPr>
          <w:p>
            <w:r>
              <w:rPr>
                <w:b w:val="0"/>
                <w:sz w:val="17"/>
              </w:rPr>
              <w:t>Être/avoir/1er et 2e groupe + irréguliers listés</w:t>
            </w:r>
          </w:p>
        </w:tc>
        <w:tc>
          <w:tcPr>
            <w:tcW w:type="dxa" w:w="939"/>
          </w:tcPr>
          <w:p>
            <w:r>
              <w:rPr>
                <w:b w:val="0"/>
                <w:sz w:val="17"/>
              </w:rPr>
              <w:t>P2/P3</w:t>
            </w:r>
          </w:p>
        </w:tc>
        <w:tc>
          <w:tcPr>
            <w:tcW w:type="dxa" w:w="2415"/>
          </w:tcPr>
          <w:p>
            <w:r>
              <w:rPr>
                <w:b w:val="0"/>
                <w:sz w:val="17"/>
              </w:rPr>
              <w:t>avant G5 (P3)</w:t>
            </w:r>
          </w:p>
        </w:tc>
        <w:tc>
          <w:tcPr>
            <w:tcW w:type="dxa" w:w="1359"/>
          </w:tcPr>
          <w:p>
            <w:r>
              <w:rPr>
                <w:b w:val="0"/>
                <w:sz w:val="17"/>
              </w:rPr>
              <w:t>Lynx 'parfait</w:t>
            </w:r>
          </w:p>
        </w:tc>
      </w:tr>
      <w:tr>
        <w:tc>
          <w:tcPr>
            <w:tcW w:type="dxa" w:w="939"/>
          </w:tcPr>
          <w:p>
            <w:r>
              <w:rPr>
                <w:b w:val="0"/>
                <w:sz w:val="17"/>
              </w:rPr>
              <w:t>C4</w:t>
            </w:r>
          </w:p>
        </w:tc>
        <w:tc>
          <w:tcPr>
            <w:tcW w:type="dxa" w:w="939"/>
          </w:tcPr>
          <w:p>
            <w:r>
              <w:rPr>
                <w:b w:val="0"/>
                <w:sz w:val="17"/>
              </w:rPr>
              <w:t>Verte</w:t>
            </w:r>
          </w:p>
        </w:tc>
        <w:tc>
          <w:tcPr>
            <w:tcW w:type="dxa" w:w="1502"/>
          </w:tcPr>
          <w:p>
            <w:r>
              <w:rPr>
                <w:b w:val="0"/>
                <w:sz w:val="17"/>
              </w:rPr>
              <w:t>Passé composé avec avoir</w:t>
            </w:r>
          </w:p>
        </w:tc>
        <w:tc>
          <w:tcPr>
            <w:tcW w:type="dxa" w:w="1502"/>
          </w:tcPr>
          <w:p>
            <w:r>
              <w:rPr>
                <w:b w:val="0"/>
                <w:sz w:val="17"/>
              </w:rPr>
              <w:t>1er et 2e groupe</w:t>
            </w:r>
          </w:p>
        </w:tc>
        <w:tc>
          <w:tcPr>
            <w:tcW w:type="dxa" w:w="939"/>
          </w:tcPr>
          <w:p>
            <w:r>
              <w:rPr>
                <w:b w:val="0"/>
                <w:sz w:val="17"/>
              </w:rPr>
              <w:t>P3/P4</w:t>
            </w:r>
          </w:p>
        </w:tc>
        <w:tc>
          <w:tcPr>
            <w:tcW w:type="dxa" w:w="2415"/>
          </w:tcPr>
          <w:p>
            <w:r>
              <w:rPr>
                <w:b w:val="0"/>
                <w:sz w:val="17"/>
              </w:rPr>
              <w:t>—</w:t>
            </w:r>
          </w:p>
        </w:tc>
        <w:tc>
          <w:tcPr>
            <w:tcW w:type="dxa" w:w="1359"/>
          </w:tcPr>
          <w:p>
            <w:r>
              <w:rPr>
                <w:b w:val="0"/>
                <w:sz w:val="17"/>
              </w:rPr>
              <w:t>Compo Domino (partagé avec C5)</w:t>
            </w:r>
          </w:p>
        </w:tc>
      </w:tr>
      <w:tr>
        <w:tc>
          <w:tcPr>
            <w:tcW w:type="dxa" w:w="939"/>
          </w:tcPr>
          <w:p>
            <w:r>
              <w:rPr>
                <w:b w:val="0"/>
                <w:sz w:val="17"/>
              </w:rPr>
              <w:t>C5</w:t>
            </w:r>
          </w:p>
        </w:tc>
        <w:tc>
          <w:tcPr>
            <w:tcW w:type="dxa" w:w="939"/>
          </w:tcPr>
          <w:p>
            <w:r>
              <w:rPr>
                <w:b w:val="0"/>
                <w:sz w:val="17"/>
              </w:rPr>
              <w:t>Bleue</w:t>
            </w:r>
          </w:p>
        </w:tc>
        <w:tc>
          <w:tcPr>
            <w:tcW w:type="dxa" w:w="1502"/>
          </w:tcPr>
          <w:p>
            <w:r>
              <w:rPr>
                <w:b w:val="0"/>
                <w:sz w:val="17"/>
              </w:rPr>
              <w:t>Passé composé avec être + participe passé</w:t>
            </w:r>
          </w:p>
        </w:tc>
        <w:tc>
          <w:tcPr>
            <w:tcW w:type="dxa" w:w="1502"/>
          </w:tcPr>
          <w:p>
            <w:r>
              <w:rPr>
                <w:b w:val="0"/>
                <w:sz w:val="17"/>
              </w:rPr>
              <w:t>Notion de participe passé/accord</w:t>
            </w:r>
          </w:p>
        </w:tc>
        <w:tc>
          <w:tcPr>
            <w:tcW w:type="dxa" w:w="939"/>
          </w:tcPr>
          <w:p>
            <w:r>
              <w:rPr>
                <w:b w:val="0"/>
                <w:sz w:val="17"/>
              </w:rPr>
              <w:t>P4</w:t>
            </w:r>
          </w:p>
        </w:tc>
        <w:tc>
          <w:tcPr>
            <w:tcW w:type="dxa" w:w="2415"/>
          </w:tcPr>
          <w:p>
            <w:r>
              <w:rPr>
                <w:b w:val="0"/>
                <w:sz w:val="17"/>
              </w:rPr>
              <w:t>avant G7 (P4)</w:t>
            </w:r>
          </w:p>
        </w:tc>
        <w:tc>
          <w:tcPr>
            <w:tcW w:type="dxa" w:w="1359"/>
          </w:tcPr>
          <w:p>
            <w:r>
              <w:rPr>
                <w:b w:val="0"/>
                <w:sz w:val="17"/>
              </w:rPr>
              <w:t>Compo Domino + Accord mistigri</w:t>
            </w:r>
          </w:p>
        </w:tc>
      </w:tr>
      <w:tr>
        <w:tc>
          <w:tcPr>
            <w:tcW w:type="dxa" w:w="939"/>
          </w:tcPr>
          <w:p>
            <w:r>
              <w:rPr>
                <w:b w:val="0"/>
                <w:sz w:val="17"/>
              </w:rPr>
              <w:t>C8</w:t>
            </w:r>
          </w:p>
        </w:tc>
        <w:tc>
          <w:tcPr>
            <w:tcW w:type="dxa" w:w="939"/>
          </w:tcPr>
          <w:p>
            <w:r>
              <w:rPr>
                <w:b w:val="0"/>
                <w:sz w:val="17"/>
              </w:rPr>
              <w:t>Marron</w:t>
            </w:r>
          </w:p>
        </w:tc>
        <w:tc>
          <w:tcPr>
            <w:tcW w:type="dxa" w:w="1502"/>
          </w:tcPr>
          <w:p>
            <w:r>
              <w:rPr>
                <w:b w:val="0"/>
                <w:sz w:val="17"/>
              </w:rPr>
              <w:t>Mobilisation / transfert</w:t>
            </w:r>
          </w:p>
        </w:tc>
        <w:tc>
          <w:tcPr>
            <w:tcW w:type="dxa" w:w="1502"/>
          </w:tcPr>
          <w:p>
            <w:r>
              <w:rPr>
                <w:b w:val="0"/>
                <w:sz w:val="17"/>
              </w:rPr>
              <w:t>Synthèse CM1 (mobilise C1 à C5)</w:t>
            </w:r>
          </w:p>
        </w:tc>
        <w:tc>
          <w:tcPr>
            <w:tcW w:type="dxa" w:w="939"/>
          </w:tcPr>
          <w:p>
            <w:r>
              <w:rPr>
                <w:b w:val="0"/>
                <w:sz w:val="17"/>
              </w:rPr>
              <w:t>P5</w:t>
            </w:r>
          </w:p>
        </w:tc>
        <w:tc>
          <w:tcPr>
            <w:tcW w:type="dxa" w:w="2415"/>
          </w:tcPr>
          <w:p>
            <w:r>
              <w:rPr>
                <w:b w:val="0"/>
                <w:sz w:val="17"/>
              </w:rPr>
              <w:t>—</w:t>
            </w:r>
          </w:p>
        </w:tc>
        <w:tc>
          <w:tcPr>
            <w:tcW w:type="dxa" w:w="1359"/>
          </w:tcPr>
          <w:p>
            <w:r>
              <w:rPr>
                <w:b w:val="0"/>
                <w:sz w:val="17"/>
              </w:rPr>
              <w:t>non identifié dans les packs</w:t>
            </w:r>
          </w:p>
        </w:tc>
      </w:tr>
    </w:tbl>
    <w:p>
      <w:pPr>
        <w:pStyle w:val="BodyText"/>
        <w:rPr/>
      </w:pPr>
      <w:bookmarkStart w:id="3" w:name="table-des-ceintures"/>
      <w:r>
        <w:rPr>
          <w:i/>
          <w:iCs/>
        </w:rPr>
        <w:t>Le jeu Verbes en puissance (le verbe : infinitif / conjugué / groupe) constitue un prérequis transversal avant C1, sans se rattacher à une ceinture précise. Verbo Danger (distinction V+er / V+é) reste proche de C5/G7, sans ceinture dédiée à cette confusion.</w:t>
      </w:r>
      <w:bookmarkEnd w:id="3"/>
    </w:p>
    <w:p>
      <w:pPr>
        <w:pStyle w:val="Heading1"/>
        <w:rPr/>
      </w:pPr>
      <w:bookmarkStart w:id="2" w:name="table-des-ceintures"/>
      <w:r>
        <w:rPr/>
        <w:t>2. Réinvestissement rotatif</w:t>
      </w:r>
    </w:p>
    <w:p>
      <w:pPr>
        <w:pStyle w:val="FirstParagraph"/>
        <w:rPr/>
      </w:pPr>
      <w:r>
        <w:rPr/>
        <w:t>N'importe quel temps antérieur reste toujours pertinent à rebrasser sur n'importe quelle nouvelle notion. Le pool est donc le pool brut complet, comme pour le Dispositif 1 — chaque ceinture pioche un temps différent à chaque série d'entraînement spiralé. C1, première ceinture, n'a rien à rebrasser : son spiralé approfondit le présent (-ger, -cer, -ier ; sujet composé, éloigné ou après le verbe ; texte à transposer).</w:t>
      </w:r>
    </w:p>
    <w:tbl>
      <w:tblPr>
        <w:tblStyle w:val="Table"/>
        <w:tblW w:w="9599"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06"/>
        <w:gridCol w:w="4342"/>
        <w:gridCol w:w="4051"/>
      </w:tblGrid>
      <w:tr>
        <w:tc>
          <w:tcPr>
            <w:tcW w:type="dxa" w:w="1206"/>
          </w:tcPr>
          <w:p>
            <w:r>
              <w:rPr>
                <w:b/>
              </w:rPr>
              <w:t>N°</w:t>
            </w:r>
          </w:p>
        </w:tc>
        <w:tc>
          <w:tcPr>
            <w:tcW w:type="dxa" w:w="4342"/>
          </w:tcPr>
          <w:p>
            <w:r>
              <w:rPr>
                <w:b/>
              </w:rPr>
              <w:t>Nouvelle notion</w:t>
            </w:r>
          </w:p>
        </w:tc>
        <w:tc>
          <w:tcPr>
            <w:tcW w:type="dxa" w:w="4051"/>
          </w:tcPr>
          <w:p>
            <w:r>
              <w:rPr>
                <w:b/>
              </w:rPr>
              <w:t>Pool rotatif</w:t>
            </w:r>
          </w:p>
        </w:tc>
      </w:tr>
      <w:tr>
        <w:tc>
          <w:tcPr>
            <w:tcW w:type="dxa" w:w="1206"/>
          </w:tcPr>
          <w:p>
            <w:r>
              <w:rPr>
                <w:b w:val="0"/>
              </w:rPr>
              <w:t>C1</w:t>
            </w:r>
          </w:p>
        </w:tc>
        <w:tc>
          <w:tcPr>
            <w:tcW w:type="dxa" w:w="4342"/>
          </w:tcPr>
          <w:p>
            <w:r>
              <w:rPr>
                <w:b w:val="0"/>
              </w:rPr>
              <w:t>Présent</w:t>
            </w:r>
          </w:p>
        </w:tc>
        <w:tc>
          <w:tcPr>
            <w:tcW w:type="dxa" w:w="4051"/>
          </w:tcPr>
          <w:p>
            <w:r>
              <w:rPr>
                <w:b w:val="0"/>
              </w:rPr>
              <w:t>— (première ceinture : spiralé en approfondissement)</w:t>
            </w:r>
          </w:p>
        </w:tc>
      </w:tr>
      <w:tr>
        <w:tc>
          <w:tcPr>
            <w:tcW w:type="dxa" w:w="1206"/>
          </w:tcPr>
          <w:p>
            <w:r>
              <w:rPr>
                <w:b w:val="0"/>
              </w:rPr>
              <w:t>C2</w:t>
            </w:r>
          </w:p>
        </w:tc>
        <w:tc>
          <w:tcPr>
            <w:tcW w:type="dxa" w:w="4342"/>
          </w:tcPr>
          <w:p>
            <w:r>
              <w:rPr>
                <w:b w:val="0"/>
              </w:rPr>
              <w:t>Futur simple</w:t>
            </w:r>
          </w:p>
        </w:tc>
        <w:tc>
          <w:tcPr>
            <w:tcW w:type="dxa" w:w="4051"/>
          </w:tcPr>
          <w:p>
            <w:r>
              <w:rPr>
                <w:b w:val="0"/>
              </w:rPr>
              <w:t>{C1}</w:t>
            </w:r>
          </w:p>
        </w:tc>
      </w:tr>
      <w:tr>
        <w:tc>
          <w:tcPr>
            <w:tcW w:type="dxa" w:w="1206"/>
          </w:tcPr>
          <w:p>
            <w:r>
              <w:rPr>
                <w:b w:val="0"/>
              </w:rPr>
              <w:t>C3</w:t>
            </w:r>
          </w:p>
        </w:tc>
        <w:tc>
          <w:tcPr>
            <w:tcW w:type="dxa" w:w="4342"/>
          </w:tcPr>
          <w:p>
            <w:r>
              <w:rPr>
                <w:b w:val="0"/>
              </w:rPr>
              <w:t>Imparfait</w:t>
            </w:r>
          </w:p>
        </w:tc>
        <w:tc>
          <w:tcPr>
            <w:tcW w:type="dxa" w:w="4051"/>
          </w:tcPr>
          <w:p>
            <w:r>
              <w:rPr>
                <w:b w:val="0"/>
              </w:rPr>
              <w:t>{C1, C2}</w:t>
            </w:r>
          </w:p>
        </w:tc>
      </w:tr>
      <w:tr>
        <w:tc>
          <w:tcPr>
            <w:tcW w:type="dxa" w:w="1206"/>
          </w:tcPr>
          <w:p>
            <w:r>
              <w:rPr>
                <w:b w:val="0"/>
              </w:rPr>
              <w:t>C4</w:t>
            </w:r>
          </w:p>
        </w:tc>
        <w:tc>
          <w:tcPr>
            <w:tcW w:type="dxa" w:w="4342"/>
          </w:tcPr>
          <w:p>
            <w:r>
              <w:rPr>
                <w:b w:val="0"/>
              </w:rPr>
              <w:t>Passé composé avec avoir</w:t>
            </w:r>
          </w:p>
        </w:tc>
        <w:tc>
          <w:tcPr>
            <w:tcW w:type="dxa" w:w="4051"/>
          </w:tcPr>
          <w:p>
            <w:r>
              <w:rPr>
                <w:b w:val="0"/>
              </w:rPr>
              <w:t>{C1, C2, C3}</w:t>
            </w:r>
          </w:p>
        </w:tc>
      </w:tr>
      <w:tr>
        <w:tc>
          <w:tcPr>
            <w:tcW w:type="dxa" w:w="1206"/>
          </w:tcPr>
          <w:p>
            <w:r>
              <w:rPr>
                <w:b w:val="0"/>
              </w:rPr>
              <w:t>C5</w:t>
            </w:r>
          </w:p>
        </w:tc>
        <w:tc>
          <w:tcPr>
            <w:tcW w:type="dxa" w:w="4342"/>
          </w:tcPr>
          <w:p>
            <w:r>
              <w:rPr>
                <w:b w:val="0"/>
              </w:rPr>
              <w:t>Passé composé avec être + participe passé</w:t>
            </w:r>
          </w:p>
        </w:tc>
        <w:tc>
          <w:tcPr>
            <w:tcW w:type="dxa" w:w="4051"/>
          </w:tcPr>
          <w:p>
            <w:r>
              <w:rPr>
                <w:b w:val="0"/>
              </w:rPr>
              <w:t>{C1, C2, C3, C4}</w:t>
            </w:r>
          </w:p>
        </w:tc>
      </w:tr>
      <w:tr>
        <w:tc>
          <w:tcPr>
            <w:tcW w:type="dxa" w:w="1206"/>
          </w:tcPr>
          <w:p>
            <w:r>
              <w:rPr>
                <w:b w:val="0"/>
              </w:rPr>
              <w:t>C8</w:t>
            </w:r>
          </w:p>
        </w:tc>
        <w:tc>
          <w:tcPr>
            <w:tcW w:type="dxa" w:w="4342"/>
          </w:tcPr>
          <w:p>
            <w:r>
              <w:rPr>
                <w:b w:val="0"/>
              </w:rPr>
              <w:t>Mobilisation / transfert</w:t>
            </w:r>
          </w:p>
        </w:tc>
        <w:tc>
          <w:tcPr>
            <w:tcW w:type="dxa" w:w="4051"/>
          </w:tcPr>
          <w:p>
            <w:r>
              <w:rPr>
                <w:b w:val="0"/>
              </w:rPr>
              <w:t>tout le pool {C1…C5}, systématique</w:t>
            </w:r>
          </w:p>
        </w:tc>
      </w:tr>
    </w:tbl>
    <w:p>
      <w:pPr>
        <w:pStyle w:val="Heading1"/>
        <w:rPr/>
      </w:pPr>
      <w:bookmarkStart w:id="2" w:name="table-des-ceintures"/>
      <w:r>
        <w:rPr/>
        <w:t>3. Ce qui reste inchangé</w:t>
      </w:r>
    </w:p>
    <w:p>
      <w:pPr>
        <w:pStyle w:val="Normal"/>
        <w:numPr>
          <w:ilvl w:val="0"/>
          <w:numId w:val="1"/>
        </w:numPr>
        <w:rPr/>
      </w:pPr>
      <w:r>
        <w:rPr/>
        <w:t>Les verrous inter-dispositifs : C1 en P1 (avant H1) ; C2/C3 avant G5 (P3) ; C5 avant G7 (P4).</w:t>
      </w:r>
    </w:p>
    <w:p>
      <w:pPr>
        <w:pStyle w:val="Normal"/>
        <w:numPr>
          <w:ilvl w:val="0"/>
          <w:numId w:val="1"/>
        </w:numPr>
        <w:rPr/>
      </w:pPr>
      <w:r>
        <w:rPr/>
        <w:t>C6 (plus-que-parfait) et C7 (passé simple) restent vides en CM1 : ce ne sont pas des cases forcées, le programme officiel ne les attend qu'en CM2.</w:t>
      </w:r>
    </w:p>
    <w:p>
      <w:pPr>
        <w:pStyle w:val="Normal"/>
        <w:numPr>
          <w:ilvl w:val="0"/>
          <w:numId w:val="1"/>
        </w:numPr>
        <w:rPr/>
      </w:pPr>
      <w:r>
        <w:rPr/>
        <w:t>La palette de couleurs, reprise du dispositif calcul mental : Blanche → Jaune → Orange → Verte → Bleue → (Rouge, Violette non utilisées en CM1) → Marron pour la synthèse (C8).</w:t>
      </w:r>
    </w:p>
    <w:p>
      <w:pPr>
        <w:pStyle w:val="Normal"/>
        <w:numPr>
          <w:ilvl w:val="0"/>
          <w:numId w:val="1"/>
        </w:numPr>
        <w:rPr/>
      </w:pPr>
      <w:r>
        <w:rPr/>
        <w:t>L'observation du verbe pronominal (prérequis de H7) reste traitée comme remarque ponctuelle intégrée à l'entraînement de C5, sans ceinture dédiée.</w:t>
      </w:r>
    </w:p>
    <w:p>
      <w:pPr>
        <w:pStyle w:val="Normal"/>
        <w:numPr>
          <w:ilvl w:val="0"/>
          <w:numId w:val="1"/>
        </w:numPr>
        <w:rPr/>
      </w:pPr>
      <w:r>
        <w:rPr/>
        <w:t>Le créneau dédié à la conjugaison : 30 min le jeudi, aux côtés de la dictée hebdomadaire ; l'entraînement collectif de 30 min l'occupe entièrement.</w:t>
      </w:r>
    </w:p>
    <w:p>
      <w:pPr>
        <w:pStyle w:val="Heading1"/>
        <w:rPr/>
      </w:pPr>
      <w:bookmarkStart w:id="2" w:name="table-des-ceintures"/>
      <w:r>
        <w:rPr/>
        <w:t>4. Format des fiches</w:t>
      </w:r>
    </w:p>
    <w:p>
      <w:pPr>
        <w:pStyle w:val="Normal"/>
        <w:numPr>
          <w:ilvl w:val="0"/>
          <w:numId w:val="1"/>
        </w:numPr>
        <w:rPr/>
      </w:pPr>
      <w:r>
        <w:rPr/>
        <w:t>Chaque ceinture suit le parcours commun (Structure des ceintures, §1-§2). Nommage : « 4 - C1 - Entraînement ciblé individuel 2 », un fichier par fiche.</w:t>
      </w:r>
    </w:p>
    <w:p>
      <w:pPr>
        <w:pStyle w:val="Normal"/>
        <w:numPr>
          <w:ilvl w:val="0"/>
          <w:numId w:val="1"/>
        </w:numPr>
        <w:rPr/>
      </w:pPr>
      <w:r>
        <w:rPr/>
        <w:t>Entraînement ciblé : trois fiches de 12 items (6 + 6), avec les deux mêmes exercices sur les trois fiches, fondés sur une manipulation. Pour C1 : « Je conjugue » (remplacer l'infinitif par le verbe au présent) et « Je change le sujet » (récrire la phrase avec le sujet donné).</w:t>
      </w:r>
    </w:p>
    <w:p>
      <w:pPr>
        <w:pStyle w:val="Normal"/>
        <w:numPr>
          <w:ilvl w:val="0"/>
          <w:numId w:val="1"/>
        </w:numPr>
        <w:rPr/>
      </w:pPr>
      <w:r>
        <w:rPr/>
        <w:t>Test ciblé : versions A, B, C de 3 + 3 items, mêmes exercices que le ciblé, réussite 6/6 écrite sous chaque version. Échec à A : remédiation 1 (5 bis) puis version B ; échec à B : remédiation 2 (5 ter) puis version C. Les remédiations reprennent les exercices du ciblé (12 items).</w:t>
      </w:r>
    </w:p>
    <w:p>
      <w:pPr>
        <w:pStyle w:val="Normal"/>
        <w:numPr>
          <w:ilvl w:val="0"/>
          <w:numId w:val="1"/>
        </w:numPr>
        <w:rPr/>
      </w:pPr>
      <w:r>
        <w:rPr/>
        <w:t>Entraînement spiralé : trois fiches de 12 items, sans test ; approfondissement pour C1, rebrassage du pool rotatif (§2) pour les ceintures suivantes. La production courte et le texte à transposer y ont leur place.</w:t>
      </w:r>
    </w:p>
    <w:p>
      <w:pPr>
        <w:pStyle w:val="Normal"/>
        <w:numPr>
          <w:ilvl w:val="0"/>
          <w:numId w:val="1"/>
        </w:numPr>
        <w:rPr/>
      </w:pPr>
      <w:r>
        <w:rPr/>
        <w:t>Fiches maison : deux fiches de 4 items (2 + 2), mêmes exercices que le ciblé, avec un rappel en haut.</w:t>
      </w:r>
    </w:p>
    <w:p>
      <w:pPr>
        <w:pStyle w:val="Normal"/>
        <w:numPr>
          <w:ilvl w:val="0"/>
          <w:numId w:val="1"/>
        </w:numPr>
        <w:rPr/>
      </w:pPr>
      <w:r>
        <w:rPr/>
        <w:t>Corrigé sur une page séparée, sans consigne d'autocorrection. Aucune phrase répétée d'un document à l'autre dans une même ceinture ; les réponses à choix (QCM, vrai ou faux) ne servent qu'à l'oral.</w:t>
      </w:r>
    </w:p>
    <w:p>
      <w:pPr>
        <w:pStyle w:val="Heading1"/>
        <w:rPr/>
      </w:pPr>
      <w:bookmarkStart w:id="2" w:name="table-des-ceintures"/>
      <w:r>
        <w:rPr/>
        <w:t>5. Usage du tableau de conjugaison selon l'étape</w:t>
      </w:r>
    </w:p>
    <w:tbl>
      <w:tblPr>
        <w:tblStyle w:val="Table"/>
        <w:tblW w:w="9598"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57"/>
        <w:gridCol w:w="4152"/>
        <w:gridCol w:w="2789"/>
      </w:tblGrid>
      <w:tr>
        <w:tc>
          <w:tcPr>
            <w:tcW w:type="dxa" w:w="2657"/>
          </w:tcPr>
          <w:p>
            <w:r>
              <w:rPr>
                <w:b/>
              </w:rPr>
              <w:t>Étape</w:t>
            </w:r>
          </w:p>
        </w:tc>
        <w:tc>
          <w:tcPr>
            <w:tcW w:type="dxa" w:w="4152"/>
          </w:tcPr>
          <w:p>
            <w:r>
              <w:rPr>
                <w:b/>
              </w:rPr>
              <w:t>Tableau de conjugaison</w:t>
            </w:r>
          </w:p>
        </w:tc>
        <w:tc>
          <w:tcPr>
            <w:tcW w:type="dxa" w:w="2789"/>
          </w:tcPr>
          <w:p>
            <w:r>
              <w:rPr>
                <w:b/>
              </w:rPr>
              <w:t>Justification</w:t>
            </w:r>
          </w:p>
        </w:tc>
      </w:tr>
      <w:tr>
        <w:tc>
          <w:tcPr>
            <w:tcW w:type="dxa" w:w="2657"/>
          </w:tcPr>
          <w:p>
            <w:r>
              <w:rPr>
                <w:b w:val="0"/>
              </w:rPr>
              <w:t>Observation</w:t>
            </w:r>
          </w:p>
        </w:tc>
        <w:tc>
          <w:tcPr>
            <w:tcW w:type="dxa" w:w="4152"/>
          </w:tcPr>
          <w:p>
            <w:r>
              <w:rPr>
                <w:b w:val="0"/>
              </w:rPr>
              <w:t>Construit collectivement, affiché en classe</w:t>
            </w:r>
          </w:p>
        </w:tc>
        <w:tc>
          <w:tcPr>
            <w:tcW w:type="dxa" w:w="2789"/>
          </w:tcPr>
          <w:p>
            <w:r>
              <w:rPr>
                <w:b w:val="0"/>
              </w:rPr>
              <w:t>C'est l'objet même de l'étape</w:t>
            </w:r>
          </w:p>
        </w:tc>
      </w:tr>
      <w:tr>
        <w:tc>
          <w:tcPr>
            <w:tcW w:type="dxa" w:w="2657"/>
          </w:tcPr>
          <w:p>
            <w:r>
              <w:rPr>
                <w:b w:val="0"/>
              </w:rPr>
              <w:t>Entraînement collectif et ciblé</w:t>
            </w:r>
          </w:p>
        </w:tc>
        <w:tc>
          <w:tcPr>
            <w:tcW w:type="dxa" w:w="4152"/>
          </w:tcPr>
          <w:p>
            <w:r>
              <w:rPr>
                <w:b w:val="0"/>
              </w:rPr>
              <w:t>Affiché au mur, pas de support individuel</w:t>
            </w:r>
          </w:p>
        </w:tc>
        <w:tc>
          <w:tcPr>
            <w:tcW w:type="dxa" w:w="2789"/>
          </w:tcPr>
          <w:p>
            <w:r>
              <w:rPr>
                <w:b w:val="0"/>
              </w:rPr>
              <w:t>La mobilisation s'appuie sur la mémorisation orale déjà amorcée</w:t>
            </w:r>
          </w:p>
        </w:tc>
      </w:tr>
      <w:tr>
        <w:tc>
          <w:tcPr>
            <w:tcW w:type="dxa" w:w="2657"/>
          </w:tcPr>
          <w:p>
            <w:r>
              <w:rPr>
                <w:b w:val="0"/>
              </w:rPr>
              <w:t>Test ciblé (validation)</w:t>
            </w:r>
          </w:p>
        </w:tc>
        <w:tc>
          <w:tcPr>
            <w:tcW w:type="dxa" w:w="4152"/>
          </w:tcPr>
          <w:p>
            <w:r>
              <w:rPr>
                <w:b w:val="0"/>
              </w:rPr>
              <w:t>Sans support, aucune exception</w:t>
            </w:r>
          </w:p>
        </w:tc>
        <w:tc>
          <w:tcPr>
            <w:tcW w:type="dxa" w:w="2789"/>
          </w:tcPr>
          <w:p>
            <w:r>
              <w:rPr>
                <w:b w:val="0"/>
              </w:rPr>
              <w:t>La ceinture atteste une compétence autonome</w:t>
            </w:r>
          </w:p>
        </w:tc>
      </w:tr>
      <w:tr>
        <w:tc>
          <w:tcPr>
            <w:tcW w:type="dxa" w:w="2657"/>
          </w:tcPr>
          <w:p>
            <w:r>
              <w:rPr>
                <w:b w:val="0"/>
              </w:rPr>
              <w:t>Remédiations (5 bis, 5 ter)</w:t>
            </w:r>
          </w:p>
        </w:tc>
        <w:tc>
          <w:tcPr>
            <w:tcW w:type="dxa" w:w="4152"/>
          </w:tcPr>
          <w:p>
            <w:r>
              <w:rPr>
                <w:b w:val="0"/>
              </w:rPr>
              <w:t>Affiché au mur</w:t>
            </w:r>
          </w:p>
        </w:tc>
        <w:tc>
          <w:tcPr>
            <w:tcW w:type="dxa" w:w="2789"/>
          </w:tcPr>
          <w:p>
            <w:r>
              <w:rPr>
                <w:b w:val="0"/>
              </w:rPr>
              <w:t>Reprise guidée avant la version suivante du test</w:t>
            </w:r>
          </w:p>
        </w:tc>
      </w:tr>
      <w:tr>
        <w:tc>
          <w:tcPr>
            <w:tcW w:type="dxa" w:w="2657"/>
          </w:tcPr>
          <w:p>
            <w:r>
              <w:rPr>
                <w:b w:val="0"/>
              </w:rPr>
              <w:t>Entraînement spiralé (sans test)</w:t>
            </w:r>
          </w:p>
        </w:tc>
        <w:tc>
          <w:tcPr>
            <w:tcW w:type="dxa" w:w="4152"/>
          </w:tcPr>
          <w:p>
            <w:r>
              <w:rPr>
                <w:b w:val="0"/>
              </w:rPr>
              <w:t>Affiché au mur</w:t>
            </w:r>
          </w:p>
        </w:tc>
        <w:tc>
          <w:tcPr>
            <w:tcW w:type="dxa" w:w="2789"/>
          </w:tcPr>
          <w:p>
            <w:r>
              <w:rPr>
                <w:b w:val="0"/>
              </w:rPr>
              <w:t>Approfondissement (C1) ou rebrassage, sans réévaluation</w:t>
            </w:r>
          </w:p>
        </w:tc>
      </w:tr>
      <w:tr>
        <w:tc>
          <w:tcPr>
            <w:tcW w:type="dxa" w:w="2657"/>
          </w:tcPr>
          <w:p>
            <w:r>
              <w:rPr>
                <w:b w:val="0"/>
              </w:rPr>
              <w:t>Fiches maison</w:t>
            </w:r>
          </w:p>
        </w:tc>
        <w:tc>
          <w:tcPr>
            <w:tcW w:type="dxa" w:w="4152"/>
          </w:tcPr>
          <w:p>
            <w:r>
              <w:rPr>
                <w:b w:val="0"/>
              </w:rPr>
              <w:t>Rappel imprimé en haut de la fiche</w:t>
            </w:r>
          </w:p>
        </w:tc>
        <w:tc>
          <w:tcPr>
            <w:tcW w:type="dxa" w:w="2789"/>
          </w:tcPr>
          <w:p>
            <w:r>
              <w:rPr>
                <w:b w:val="0"/>
              </w:rPr>
              <w:t>Travail sans l'enseignant</w:t>
            </w:r>
          </w:p>
        </w:tc>
      </w:tr>
    </w:tbl>
    <w:p>
      <w:pPr>
        <w:pStyle w:val="Heading1"/>
        <w:rPr/>
      </w:pPr>
      <w:bookmarkStart w:id="2" w:name="table-des-ceintures"/>
      <w:r>
        <w:rPr/>
        <w:t>6. Conventions propres à la conjugaison</w:t>
      </w:r>
    </w:p>
    <w:p>
      <w:pPr>
        <w:pStyle w:val="Normal"/>
        <w:numPr>
          <w:ilvl w:val="0"/>
          <w:numId w:val="1"/>
        </w:numPr>
        <w:rPr/>
      </w:pPr>
      <w:r>
        <w:rPr/>
        <w:t>Mots employés avec les élèves : « infinitif », « terminaison », « verbes en -er » dès le CE2 ; « radical », « 1er groupe », « 2e groupe » à partir du CM1 ; « 3e groupe » au CM2 (exception à la règle des termes savants, Structure des ceintures §2).</w:t>
      </w:r>
    </w:p>
    <w:p>
      <w:pPr>
        <w:pStyle w:val="Normal"/>
        <w:numPr>
          <w:ilvl w:val="0"/>
          <w:numId w:val="1"/>
        </w:numPr>
        <w:rPr/>
      </w:pPr>
      <w:r>
        <w:rPr/>
        <w:t>Code couleur : terminaison en violet (couleur du Dispositif 3), sujet en bleu (comme G1).</w:t>
      </w:r>
    </w:p>
    <w:p>
      <w:pPr>
        <w:pStyle w:val="Normal"/>
        <w:numPr>
          <w:ilvl w:val="0"/>
          <w:numId w:val="1"/>
        </w:numPr>
        <w:rPr/>
      </w:pPr>
      <w:r>
        <w:rPr/>
        <w:t>Kit universel : sachet C (radicaux et terminaisons du présent), utilisé avec les pronoms du sachet G1-G2 ; à compléter pour C2 et C3 (terminaisons du futur et de l'imparfait).</w:t>
      </w:r>
    </w:p>
    <w:p>
      <w:pPr>
        <w:pStyle w:val="Heading1"/>
        <w:rPr/>
      </w:pPr>
      <w:bookmarkStart w:id="2" w:name="table-des-ceintures"/>
      <w:r>
        <w:rPr/>
        <w:t>7. Coût assumé de cette révision</w:t>
      </w:r>
    </w:p>
    <w:p>
      <w:pPr>
        <w:pStyle w:val="FirstParagraph"/>
        <w:rPr/>
      </w:pPr>
      <w:r>
        <w:rPr/>
        <w:t>Cette numérotation remplace entièrement les repères T1-T8/T7/T6 d'une version précédente. Si des fiches avaient été rédigées sous cette ancienne numérotation, elles doivent être renumérotées (T1 → C1, T2 → C2, etc.).</w:t>
      </w:r>
    </w:p>
    <w:p>
      <w:pPr>
        <w:pStyle w:val="Heading1"/>
      </w:pPr>
      <w:r>
        <w:t xml:space="preserve">En CM2 : les mêmes ceintures, approfondies</w:t>
      </w:r>
    </w:p>
    <w:p>
      <w:pPr>
        <w:pStyle w:val="BodyText"/>
      </w:pPr>
      <w:r>
        <w:t xml:space="preserve">Depuis octobre 2026, chaque ceinture CM2 porte le même numéro, la même couleur et la même notion qu’en CM1. En classe à double niveau, l’observation et la trace écrite sont communes ; le CM2 va plus loin avec des écrans et des exercices en plus, et passe son propre test.</w:t>
      </w:r>
    </w:p>
    <w:p>
      <w:pPr>
        <w:pStyle w:val="BodyText"/>
        <w:numPr>
          <w:ilvl w:val="0"/>
          <w:numId w:val="1"/>
        </w:numPr>
        <w:spacing w:after="60"/>
      </w:pPr>
      <w:r>
        <w:rPr>
          <w:b/>
          <w:bCs/>
        </w:rPr>
        <w:t xml:space="preserve">Trace écrite</w:t>
      </w:r>
      <w:r>
        <w:t xml:space="preserve"> : la carte mentale est la même ; un encadré « En CM2, j’apprends aussi » la complète (page interactive et impression).</w:t>
      </w:r>
    </w:p>
    <w:p>
      <w:pPr>
        <w:pStyle w:val="BodyText"/>
        <w:numPr>
          <w:ilvl w:val="0"/>
          <w:numId w:val="1"/>
        </w:numPr>
        <w:spacing w:after="60"/>
      </w:pPr>
      <w:r>
        <w:rPr>
          <w:b/>
          <w:bCs/>
        </w:rPr>
        <w:t xml:space="preserve">Page interactive</w:t>
      </w:r>
      <w:r>
        <w:t xml:space="preserve"> : bouton « CM2 » du sommaire ; les écrans propres au CM2 portent l’étiquette « CM2 ».</w:t>
      </w:r>
    </w:p>
    <w:p>
      <w:pPr>
        <w:pStyle w:val="BodyText"/>
        <w:numPr>
          <w:ilvl w:val="0"/>
          <w:numId w:val="1"/>
        </w:numPr>
        <w:spacing w:after="60"/>
      </w:pPr>
      <w:r>
        <w:rPr>
          <w:b/>
          <w:bCs/>
        </w:rPr>
        <w:t xml:space="preserve">Parcours</w:t>
      </w:r>
      <w:r>
        <w:t xml:space="preserve"> : inchangé (Structure des ceintures) ; test ciblé A/B/C, réussite 6/6. Proposition : pour le CM2, 3 items sur le tronc commun et 3 items sur l’ajout CM2.</w:t>
      </w:r>
    </w:p>
    <w:p>
      <w:pPr>
        <w:pStyle w:val="BodyText"/>
        <w:numPr>
          <w:ilvl w:val="0"/>
          <w:numId w:val="1"/>
        </w:numPr>
        <w:spacing w:after="60"/>
      </w:pPr>
      <w:r>
        <w:rPr>
          <w:b/>
          <w:bCs/>
        </w:rPr>
        <w:t xml:space="preserve">Cahier de progrès</w:t>
      </w:r>
      <w:r>
        <w:t xml:space="preserve"> : parcours C des fiches CE2-CM1-CM2, renuméroté sur le CM1.</w:t>
      </w:r>
    </w:p>
    <w:p>
      <w:pPr>
        <w:pStyle w:val="BodyText"/>
      </w:pPr>
      <w:r>
        <w:t xml:space="preserve">Ceintures actives en CM2 : C1 à C8. C6 et C7, réservées au CM2 par le §1, sont désormais produites.</w:t>
      </w:r>
    </w:p>
    <w:tbl>
      <w:tblPr>
        <w:tblW w:type="dxa" w:w="9600"/>
        <w:tblBorders>
          <w:top w:val="single" w:color="auto" w:sz="4"/>
          <w:left w:val="single" w:color="auto" w:sz="4"/>
          <w:bottom w:val="single" w:color="auto" w:sz="4"/>
          <w:right w:val="single" w:color="auto" w:sz="4"/>
          <w:insideH w:val="single" w:color="auto" w:sz="4"/>
          <w:insideV w:val="single" w:color="auto" w:sz="4"/>
        </w:tblBorders>
        <w:tblCellMar>
          <w:left w:w="80" w:type="dxa"/>
          <w:right w:w="80" w:type="dxa"/>
        </w:tblCellMar>
      </w:tblPr>
      <w:tblGrid>
        <w:gridCol w:w="675"/>
        <w:gridCol w:w="1064"/>
        <w:gridCol w:w="2568"/>
        <w:gridCol w:w="4284"/>
        <w:gridCol w:w="1008"/>
      </w:tblGrid>
      <w:tr>
        <w:trPr>
          <w:tblHeader/>
        </w:trPr>
        <w:tc>
          <w:tcPr>
            <w:tcW w:type="dxa" w:w="675"/>
            <w:shd w:fill="D9E2F3" w:val="clear"/>
          </w:tcPr>
          <w:p>
            <w:pPr>
              <w:spacing w:before="20" w:after="20"/>
            </w:pPr>
            <w:r>
              <w:rPr>
                <w:b/>
                <w:bCs/>
              </w:rPr>
              <w:t xml:space="preserve">N°</w:t>
            </w:r>
          </w:p>
        </w:tc>
        <w:tc>
          <w:tcPr>
            <w:tcW w:type="dxa" w:w="1064"/>
            <w:shd w:fill="D9E2F3" w:val="clear"/>
          </w:tcPr>
          <w:p>
            <w:pPr>
              <w:spacing w:before="20" w:after="20"/>
            </w:pPr>
            <w:r>
              <w:rPr>
                <w:b/>
                <w:bCs/>
              </w:rPr>
              <w:t xml:space="preserve">Couleur</w:t>
            </w:r>
          </w:p>
        </w:tc>
        <w:tc>
          <w:tcPr>
            <w:tcW w:type="dxa" w:w="2568"/>
            <w:shd w:fill="D9E2F3" w:val="clear"/>
          </w:tcPr>
          <w:p>
            <w:pPr>
              <w:spacing w:before="20" w:after="20"/>
            </w:pPr>
            <w:r>
              <w:rPr>
                <w:b/>
                <w:bCs/>
              </w:rPr>
              <w:t xml:space="preserve">Tronc commun (CM1)</w:t>
            </w:r>
          </w:p>
        </w:tc>
        <w:tc>
          <w:tcPr>
            <w:tcW w:type="dxa" w:w="4284"/>
            <w:shd w:fill="D9E2F3" w:val="clear"/>
          </w:tcPr>
          <w:p>
            <w:pPr>
              <w:spacing w:before="20" w:after="20"/>
            </w:pPr>
            <w:r>
              <w:rPr>
                <w:b/>
                <w:bCs/>
              </w:rPr>
              <w:t xml:space="preserve">En plus en CM2</w:t>
            </w:r>
          </w:p>
        </w:tc>
        <w:tc>
          <w:tcPr>
            <w:tcW w:type="dxa" w:w="1008"/>
            <w:shd w:fill="D9E2F3" w:val="clear"/>
          </w:tcPr>
          <w:p>
            <w:pPr>
              <w:spacing w:before="20" w:after="20"/>
            </w:pPr>
            <w:r>
              <w:rPr>
                <w:b/>
                <w:bCs/>
              </w:rPr>
              <w:t xml:space="preserve">Période</w:t>
            </w:r>
          </w:p>
        </w:tc>
      </w:tr>
      <w:tr>
        <w:tc>
          <w:tcPr>
            <w:tcW w:type="dxa" w:w="675"/>
          </w:tcPr>
          <w:p>
            <w:pPr>
              <w:spacing w:before="20" w:after="20"/>
            </w:pPr>
            <w:r>
              <w:t xml:space="preserve">C1</w:t>
            </w:r>
          </w:p>
        </w:tc>
        <w:tc>
          <w:tcPr>
            <w:tcW w:type="dxa" w:w="1064"/>
          </w:tcPr>
          <w:p>
            <w:pPr>
              <w:spacing w:before="20" w:after="20"/>
            </w:pPr>
            <w:r>
              <w:t xml:space="preserve">Blanche</w:t>
            </w:r>
          </w:p>
        </w:tc>
        <w:tc>
          <w:tcPr>
            <w:tcW w:type="dxa" w:w="2568"/>
          </w:tcPr>
          <w:p>
            <w:pPr>
              <w:spacing w:before="20" w:after="20"/>
            </w:pPr>
            <w:r>
              <w:t xml:space="preserve">Présent ; radicaux qui changent (1er groupe)</w:t>
            </w:r>
          </w:p>
        </w:tc>
        <w:tc>
          <w:tcPr>
            <w:tcW w:type="dxa" w:w="4284"/>
          </w:tcPr>
          <w:p>
            <w:pPr>
              <w:spacing w:before="20" w:after="20"/>
            </w:pPr>
            <w:r>
              <w:t xml:space="preserve">Radicaux qui changent au 3e groupe (je peux, nous pouvons, ils peuvent)</w:t>
            </w:r>
          </w:p>
        </w:tc>
        <w:tc>
          <w:tcPr>
            <w:tcW w:type="dxa" w:w="1008"/>
          </w:tcPr>
          <w:p>
            <w:pPr>
              <w:spacing w:before="20" w:after="20"/>
            </w:pPr>
            <w:r>
              <w:t xml:space="preserve">P1</w:t>
            </w:r>
          </w:p>
        </w:tc>
      </w:tr>
      <w:tr>
        <w:tc>
          <w:tcPr>
            <w:tcW w:type="dxa" w:w="675"/>
          </w:tcPr>
          <w:p>
            <w:pPr>
              <w:spacing w:before="20" w:after="20"/>
            </w:pPr>
            <w:r>
              <w:t xml:space="preserve">C2</w:t>
            </w:r>
          </w:p>
        </w:tc>
        <w:tc>
          <w:tcPr>
            <w:tcW w:type="dxa" w:w="1064"/>
          </w:tcPr>
          <w:p>
            <w:pPr>
              <w:spacing w:before="20" w:after="20"/>
            </w:pPr>
            <w:r>
              <w:t xml:space="preserve">Jaune</w:t>
            </w:r>
          </w:p>
        </w:tc>
        <w:tc>
          <w:tcPr>
            <w:tcW w:type="dxa" w:w="2568"/>
          </w:tcPr>
          <w:p>
            <w:pPr>
              <w:spacing w:before="20" w:after="20"/>
            </w:pPr>
            <w:r>
              <w:t xml:space="preserve">Futur simple</w:t>
            </w:r>
          </w:p>
        </w:tc>
        <w:tc>
          <w:tcPr>
            <w:tcW w:type="dxa" w:w="4284"/>
          </w:tcPr>
          <w:p>
            <w:pPr>
              <w:spacing w:before="20" w:after="20"/>
            </w:pPr>
            <w:r>
              <w:t xml:space="preserve">Marque du temps (r) et marque de personne</w:t>
            </w:r>
          </w:p>
        </w:tc>
        <w:tc>
          <w:tcPr>
            <w:tcW w:type="dxa" w:w="1008"/>
          </w:tcPr>
          <w:p>
            <w:pPr>
              <w:spacing w:before="20" w:after="20"/>
            </w:pPr>
            <w:r>
              <w:t xml:space="preserve">P2</w:t>
            </w:r>
          </w:p>
        </w:tc>
      </w:tr>
      <w:tr>
        <w:tc>
          <w:tcPr>
            <w:tcW w:type="dxa" w:w="675"/>
          </w:tcPr>
          <w:p>
            <w:pPr>
              <w:spacing w:before="20" w:after="20"/>
            </w:pPr>
            <w:r>
              <w:t xml:space="preserve">C3</w:t>
            </w:r>
          </w:p>
        </w:tc>
        <w:tc>
          <w:tcPr>
            <w:tcW w:type="dxa" w:w="1064"/>
          </w:tcPr>
          <w:p>
            <w:pPr>
              <w:spacing w:before="20" w:after="20"/>
            </w:pPr>
            <w:r>
              <w:t xml:space="preserve">Orange</w:t>
            </w:r>
          </w:p>
        </w:tc>
        <w:tc>
          <w:tcPr>
            <w:tcW w:type="dxa" w:w="2568"/>
          </w:tcPr>
          <w:p>
            <w:pPr>
              <w:spacing w:before="20" w:after="20"/>
            </w:pPr>
            <w:r>
              <w:t xml:space="preserve">Imparfait</w:t>
            </w:r>
          </w:p>
        </w:tc>
        <w:tc>
          <w:tcPr>
            <w:tcW w:type="dxa" w:w="4284"/>
          </w:tcPr>
          <w:p>
            <w:pPr>
              <w:spacing w:before="20" w:after="20"/>
            </w:pPr>
            <w:r>
              <w:t xml:space="preserve">Passé simple d’être, d’avoir et du 1er groupe : les temps du récit</w:t>
            </w:r>
          </w:p>
        </w:tc>
        <w:tc>
          <w:tcPr>
            <w:tcW w:type="dxa" w:w="1008"/>
          </w:tcPr>
          <w:p>
            <w:pPr>
              <w:spacing w:before="20" w:after="20"/>
            </w:pPr>
            <w:r>
              <w:t xml:space="preserve">P2</w:t>
            </w:r>
          </w:p>
        </w:tc>
      </w:tr>
      <w:tr>
        <w:tc>
          <w:tcPr>
            <w:tcW w:type="dxa" w:w="675"/>
          </w:tcPr>
          <w:p>
            <w:pPr>
              <w:spacing w:before="20" w:after="20"/>
            </w:pPr>
            <w:r>
              <w:t xml:space="preserve">C4</w:t>
            </w:r>
          </w:p>
        </w:tc>
        <w:tc>
          <w:tcPr>
            <w:tcW w:type="dxa" w:w="1064"/>
          </w:tcPr>
          <w:p>
            <w:pPr>
              <w:spacing w:before="20" w:after="20"/>
            </w:pPr>
            <w:r>
              <w:t xml:space="preserve">Verte</w:t>
            </w:r>
          </w:p>
        </w:tc>
        <w:tc>
          <w:tcPr>
            <w:tcW w:type="dxa" w:w="2568"/>
          </w:tcPr>
          <w:p>
            <w:pPr>
              <w:spacing w:before="20" w:after="20"/>
            </w:pPr>
            <w:r>
              <w:t xml:space="preserve">Passé composé avec avoir ; forme négative</w:t>
            </w:r>
          </w:p>
        </w:tc>
        <w:tc>
          <w:tcPr>
            <w:tcW w:type="dxa" w:w="4284"/>
          </w:tcPr>
          <w:p>
            <w:pPr>
              <w:spacing w:before="20" w:after="20"/>
            </w:pPr>
            <w:r>
              <w:t xml:space="preserve">Accord du participe passé avec le COD placé avant</w:t>
            </w:r>
          </w:p>
        </w:tc>
        <w:tc>
          <w:tcPr>
            <w:tcW w:type="dxa" w:w="1008"/>
          </w:tcPr>
          <w:p>
            <w:pPr>
              <w:spacing w:before="20" w:after="20"/>
            </w:pPr>
            <w:r>
              <w:t xml:space="preserve">P3</w:t>
            </w:r>
          </w:p>
        </w:tc>
      </w:tr>
      <w:tr>
        <w:tc>
          <w:tcPr>
            <w:tcW w:type="dxa" w:w="675"/>
          </w:tcPr>
          <w:p>
            <w:pPr>
              <w:spacing w:before="20" w:after="20"/>
            </w:pPr>
            <w:r>
              <w:t xml:space="preserve">C5</w:t>
            </w:r>
          </w:p>
        </w:tc>
        <w:tc>
          <w:tcPr>
            <w:tcW w:type="dxa" w:w="1064"/>
          </w:tcPr>
          <w:p>
            <w:pPr>
              <w:spacing w:before="20" w:after="20"/>
            </w:pPr>
            <w:r>
              <w:t xml:space="preserve">Bleue</w:t>
            </w:r>
          </w:p>
        </w:tc>
        <w:tc>
          <w:tcPr>
            <w:tcW w:type="dxa" w:w="2568"/>
          </w:tcPr>
          <w:p>
            <w:pPr>
              <w:spacing w:before="20" w:after="20"/>
            </w:pPr>
            <w:r>
              <w:t xml:space="preserve">Passé composé avec être ; accord avec le sujet</w:t>
            </w:r>
          </w:p>
        </w:tc>
        <w:tc>
          <w:tcPr>
            <w:tcW w:type="dxa" w:w="4284"/>
          </w:tcPr>
          <w:p>
            <w:pPr>
              <w:spacing w:before="20" w:after="20"/>
            </w:pPr>
            <w:r>
              <w:t xml:space="preserve">Accord avec le sujet inversé</w:t>
            </w:r>
          </w:p>
        </w:tc>
        <w:tc>
          <w:tcPr>
            <w:tcW w:type="dxa" w:w="1008"/>
          </w:tcPr>
          <w:p>
            <w:pPr>
              <w:spacing w:before="20" w:after="20"/>
            </w:pPr>
            <w:r>
              <w:t xml:space="preserve">P4</w:t>
            </w:r>
          </w:p>
        </w:tc>
      </w:tr>
      <w:tr>
        <w:tc>
          <w:tcPr>
            <w:tcW w:type="dxa" w:w="675"/>
          </w:tcPr>
          <w:p>
            <w:pPr>
              <w:spacing w:before="20" w:after="20"/>
            </w:pPr>
            <w:r>
              <w:t xml:space="preserve">C6</w:t>
            </w:r>
          </w:p>
        </w:tc>
        <w:tc>
          <w:tcPr>
            <w:tcW w:type="dxa" w:w="1064"/>
          </w:tcPr>
          <w:p>
            <w:pPr>
              <w:spacing w:before="20" w:after="20"/>
            </w:pPr>
            <w:r>
              <w:t xml:space="preserve">Rouge</w:t>
            </w:r>
          </w:p>
        </w:tc>
        <w:tc>
          <w:tcPr>
            <w:tcW w:type="dxa" w:w="2568"/>
          </w:tcPr>
          <w:p>
            <w:pPr>
              <w:spacing w:before="20" w:after="20"/>
            </w:pPr>
            <w:r>
              <w:t xml:space="preserve">— (CM2 seulement)</w:t>
            </w:r>
          </w:p>
        </w:tc>
        <w:tc>
          <w:tcPr>
            <w:tcW w:type="dxa" w:w="4284"/>
          </w:tcPr>
          <w:p>
            <w:pPr>
              <w:spacing w:before="20" w:after="20"/>
            </w:pPr>
            <w:r>
              <w:t xml:space="preserve">Plus-que-parfait : avoir ou être à l’imparfait + participe passé ; forme négative</w:t>
            </w:r>
          </w:p>
        </w:tc>
        <w:tc>
          <w:tcPr>
            <w:tcW w:type="dxa" w:w="1008"/>
          </w:tcPr>
          <w:p>
            <w:pPr>
              <w:spacing w:before="20" w:after="20"/>
            </w:pPr>
            <w:r>
              <w:t xml:space="preserve">P4</w:t>
            </w:r>
          </w:p>
        </w:tc>
      </w:tr>
      <w:tr>
        <w:tc>
          <w:tcPr>
            <w:tcW w:type="dxa" w:w="675"/>
          </w:tcPr>
          <w:p>
            <w:pPr>
              <w:spacing w:before="20" w:after="20"/>
            </w:pPr>
            <w:r>
              <w:t xml:space="preserve">C7</w:t>
            </w:r>
          </w:p>
        </w:tc>
        <w:tc>
          <w:tcPr>
            <w:tcW w:type="dxa" w:w="1064"/>
          </w:tcPr>
          <w:p>
            <w:pPr>
              <w:spacing w:before="20" w:after="20"/>
            </w:pPr>
            <w:r>
              <w:t xml:space="preserve">Violette</w:t>
            </w:r>
          </w:p>
        </w:tc>
        <w:tc>
          <w:tcPr>
            <w:tcW w:type="dxa" w:w="2568"/>
          </w:tcPr>
          <w:p>
            <w:pPr>
              <w:spacing w:before="20" w:after="20"/>
            </w:pPr>
            <w:r>
              <w:t xml:space="preserve">— (CM2 seulement)</w:t>
            </w:r>
          </w:p>
        </w:tc>
        <w:tc>
          <w:tcPr>
            <w:tcW w:type="dxa" w:w="4284"/>
          </w:tcPr>
          <w:p>
            <w:pPr>
              <w:spacing w:before="20" w:after="20"/>
            </w:pPr>
            <w:r>
              <w:t xml:space="preserve">Passé simple : 2e groupe et verbes irréguliers (faire, aller, dire, venir, pouvoir, voir, vouloir, prendre)</w:t>
            </w:r>
          </w:p>
        </w:tc>
        <w:tc>
          <w:tcPr>
            <w:tcW w:type="dxa" w:w="1008"/>
          </w:tcPr>
          <w:p>
            <w:pPr>
              <w:spacing w:before="20" w:after="20"/>
            </w:pPr>
            <w:r>
              <w:t xml:space="preserve">P5</w:t>
            </w:r>
          </w:p>
        </w:tc>
      </w:tr>
      <w:tr>
        <w:tc>
          <w:tcPr>
            <w:tcW w:type="dxa" w:w="675"/>
          </w:tcPr>
          <w:p>
            <w:pPr>
              <w:spacing w:before="20" w:after="20"/>
            </w:pPr>
            <w:r>
              <w:t xml:space="preserve">C8</w:t>
            </w:r>
          </w:p>
        </w:tc>
        <w:tc>
          <w:tcPr>
            <w:tcW w:type="dxa" w:w="1064"/>
          </w:tcPr>
          <w:p>
            <w:pPr>
              <w:spacing w:before="20" w:after="20"/>
            </w:pPr>
            <w:r>
              <w:t xml:space="preserve">Marron</w:t>
            </w:r>
          </w:p>
        </w:tc>
        <w:tc>
          <w:tcPr>
            <w:tcW w:type="dxa" w:w="2568"/>
          </w:tcPr>
          <w:p>
            <w:pPr>
              <w:spacing w:before="20" w:after="20"/>
            </w:pPr>
            <w:r>
              <w:t xml:space="preserve">Mobilisation de C1 à C5</w:t>
            </w:r>
          </w:p>
        </w:tc>
        <w:tc>
          <w:tcPr>
            <w:tcW w:type="dxa" w:w="4284"/>
          </w:tcPr>
          <w:p>
            <w:pPr>
              <w:spacing w:before="20" w:after="20"/>
            </w:pPr>
            <w:r>
              <w:t xml:space="preserve">Mobilisation de tous les temps du CM2, plus-que-parfait et passé simple compris</w:t>
            </w:r>
          </w:p>
        </w:tc>
        <w:tc>
          <w:tcPr>
            <w:tcW w:type="dxa" w:w="1008"/>
          </w:tcPr>
          <w:p>
            <w:pPr>
              <w:spacing w:before="20" w:after="20"/>
            </w:pPr>
            <w:r>
              <w:t xml:space="preserve">P5</w:t>
            </w:r>
          </w:p>
        </w:tc>
      </w:tr>
    </w:tbl>
    <w:p/>
    <w:p>
      <w:pPr>
        <w:pStyle w:val="BodyText"/>
      </w:pPr>
      <w:r>
        <w:t xml:space="preserve">Couleurs de C6 et C7 : rouge et violette, dans l’ordre de la palette (… bleue, rouge, violette, marron).</w:t>
      </w:r>
    </w:p>
    <w:p>
      <w:pPr>
        <w:pStyle w:val="BodyText"/>
      </w:pPr>
      <w:r>
        <w:t xml:space="preserve">Programme 2025 (CM2) couvert ainsi : passé simple et plus-que-parfait (être, avoir, 1er et 2e groupes, verbes irréguliers listés), temps composés en deux parties, accord du participe passé avec être et avec le COD, forme négative aux temps composés, marques de temps et de personne, radicaux variables.</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2026-09-24T08:16:49Z</dcterms:created>
  <dc:creator/>
  <dc:description/>
  <dc:language>en-US</dc:language>
  <cp:lastModifiedBy/>
  <dcterms:modified xsi:type="dcterms:W3CDTF">2026-09-24T08:16:49Z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