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center"/>
      </w:pPr>
      <w:r>
        <w:rPr>
          <w:b/>
          <w:bCs/>
          <w:color w:val="155b8f"/>
          <w:sz w:val="56"/>
          <w:szCs w:val="56"/>
        </w:rPr>
        <w:t xml:space="preserve">CometQuant Lab</w:t>
      </w:r>
    </w:p>
    <w:p>
      <w:pPr>
        <w:spacing w:after="40"/>
        <w:jc w:val="center"/>
      </w:pPr>
      <w:r>
        <w:rPr>
          <w:color w:val="17202a"/>
          <w:sz w:val="34"/>
          <w:szCs w:val="34"/>
        </w:rPr>
        <w:t xml:space="preserve">Manual de Interpretação dos Resultados</w:t>
      </w:r>
    </w:p>
    <w:p>
      <w:pPr>
        <w:pBdr>
          <w:bottom w:val="single" w:color="cbd5e1" w:sz="6" w:space="12"/>
        </w:pBdr>
        <w:spacing w:after="200"/>
        <w:jc w:val="center"/>
      </w:pPr>
      <w:r>
        <w:rPr>
          <w:i/>
          <w:iCs/>
          <w:color w:val="56657a"/>
          <w:sz w:val="22"/>
          <w:szCs w:val="22"/>
        </w:rPr>
        <w:t xml:space="preserve">Guia de leitura das análises estatísticas do ensaio cometa</w:t>
      </w:r>
    </w:p>
    <w:p>
      <w:pPr>
        <w:spacing w:after="120" w:before="260"/>
        <w:jc w:val="left"/>
      </w:pPr>
      <w:r>
        <w:rPr>
          <w:b/>
          <w:bCs/>
          <w:color w:val="155b8f"/>
          <w:sz w:val="26"/>
          <w:szCs w:val="26"/>
        </w:rPr>
        <w:t xml:space="preserve">Conteúdo</w:t>
      </w:r>
    </w:p>
    <w:p>
      <w:pPr>
        <w:spacing w:after="90"/>
        <w:ind w:left="200"/>
      </w:pPr>
      <w:r>
        <w:rPr>
          <w:color w:val="155b8f"/>
          <w:sz w:val="22"/>
          <w:szCs w:val="22"/>
        </w:rPr>
        <w:t xml:space="preserve">•  </w:t>
      </w:r>
      <w:r>
        <w:rPr>
          <w:color w:val="17202a"/>
          <w:sz w:val="22"/>
          <w:szCs w:val="22"/>
        </w:rPr>
        <w:t xml:space="preserve">Sobre este manual</w:t>
      </w:r>
    </w:p>
    <w:p>
      <w:pPr>
        <w:spacing w:after="90"/>
        <w:ind w:left="200"/>
      </w:pPr>
      <w:r>
        <w:rPr>
          <w:color w:val="155b8f"/>
          <w:sz w:val="22"/>
          <w:szCs w:val="22"/>
        </w:rPr>
        <w:t xml:space="preserve">•  </w:t>
      </w:r>
      <w:r>
        <w:rPr>
          <w:color w:val="17202a"/>
          <w:sz w:val="22"/>
          <w:szCs w:val="22"/>
        </w:rPr>
        <w:t xml:space="preserve">O ponto de partida: o escore e a unidade de análise</w:t>
      </w:r>
    </w:p>
    <w:p>
      <w:pPr>
        <w:spacing w:after="90"/>
        <w:ind w:left="200"/>
      </w:pPr>
      <w:r>
        <w:rPr>
          <w:color w:val="155b8f"/>
          <w:sz w:val="22"/>
          <w:szCs w:val="22"/>
        </w:rPr>
        <w:t xml:space="preserve">•  </w:t>
      </w:r>
      <w:r>
        <w:rPr>
          <w:color w:val="17202a"/>
          <w:sz w:val="22"/>
          <w:szCs w:val="22"/>
        </w:rPr>
        <w:t xml:space="preserve">Dois conceitos que aparecem o tempo todo</w:t>
      </w:r>
    </w:p>
    <w:p>
      <w:pPr>
        <w:spacing w:after="90"/>
        <w:ind w:left="200"/>
      </w:pPr>
      <w:r>
        <w:rPr>
          <w:color w:val="155b8f"/>
          <w:sz w:val="22"/>
          <w:szCs w:val="22"/>
        </w:rPr>
        <w:t xml:space="preserve">•  </w:t>
      </w:r>
      <w:r>
        <w:rPr>
          <w:color w:val="17202a"/>
          <w:sz w:val="22"/>
          <w:szCs w:val="22"/>
        </w:rPr>
        <w:t xml:space="preserve">As análises, uma a uma</w:t>
      </w:r>
    </w:p>
    <w:p>
      <w:pPr>
        <w:spacing w:after="90"/>
        <w:ind w:left="200"/>
      </w:pPr>
      <w:r>
        <w:rPr>
          <w:color w:val="155b8f"/>
          <w:sz w:val="22"/>
          <w:szCs w:val="22"/>
        </w:rPr>
        <w:t xml:space="preserve">•  </w:t>
      </w:r>
      <w:r>
        <w:rPr>
          <w:color w:val="17202a"/>
          <w:sz w:val="22"/>
          <w:szCs w:val="22"/>
        </w:rPr>
        <w:t xml:space="preserve">Como o relatório junta tudo</w:t>
      </w:r>
    </w:p>
    <w:p>
      <w:pPr>
        <w:spacing w:after="90"/>
        <w:ind w:left="200"/>
      </w:pPr>
      <w:r>
        <w:rPr>
          <w:color w:val="155b8f"/>
          <w:sz w:val="22"/>
          <w:szCs w:val="22"/>
        </w:rPr>
        <w:t xml:space="preserve">•  </w:t>
      </w:r>
      <w:r>
        <w:rPr>
          <w:color w:val="17202a"/>
          <w:sz w:val="22"/>
          <w:szCs w:val="22"/>
        </w:rPr>
        <w:t xml:space="preserve">Glossário rápido</w:t>
      </w:r>
    </w:p>
    <w:p>
      <w:r>
        <w:br w:type="page"/>
      </w:r>
    </w:p>
    <w:p>
      <w:pPr>
        <w:pStyle w:val="Heading1"/>
        <w:spacing w:after="140" w:before="320"/>
      </w:pPr>
      <w:r>
        <w:rPr>
          <w:b/>
          <w:bCs/>
          <w:color w:val="155b8f"/>
          <w:sz w:val="30"/>
          <w:szCs w:val="30"/>
        </w:rPr>
        <w:t xml:space="preserve">Sobre este manual</w:t>
      </w:r>
    </w:p>
    <w:p>
      <w:pPr>
        <w:spacing w:after="140" w:line="300"/>
        <w:jc w:val="both"/>
      </w:pPr>
      <w:r>
        <w:rPr>
          <w:sz w:val="22"/>
          <w:szCs w:val="22"/>
        </w:rPr>
        <w:t xml:space="preserve">O relatório gerado pelo CometQuant reúne um conjunto de análises estatísticas que, isoladamente, dizem pouco a quem não trabalha com estatística no dia a dia. Este manual traduz cada uma delas. O objetivo não é ensinar a calcular nada, e sim explicar o que cada número responde, por que aquela análise está ali e como lê-la sem interpretar demais nem de menos.</w:t>
      </w:r>
    </w:p>
    <w:p>
      <w:pPr>
        <w:spacing w:after="140" w:line="300"/>
        <w:jc w:val="both"/>
      </w:pPr>
      <w:r>
        <w:rPr>
          <w:sz w:val="22"/>
          <w:szCs w:val="22"/>
        </w:rPr>
        <w:t xml:space="preserve">Uma ideia atravessa o documento inteiro e convém fixá-la desde já: o CometQuant apresenta a </w:t>
      </w:r>
      <w:r>
        <w:rPr>
          <w:b/>
          <w:bCs/>
          <w:sz w:val="22"/>
          <w:szCs w:val="22"/>
        </w:rPr>
        <w:t xml:space="preserve">força da evidência</w:t>
      </w:r>
      <w:r>
        <w:rPr>
          <w:sz w:val="22"/>
          <w:szCs w:val="22"/>
        </w:rPr>
        <w:t xml:space="preserve">, não um veredito. Nenhuma das análises abaixo classifica sozinha um composto como genotóxico ou seguro. Essa decisão continua sendo do pesquisador, que pondera os números aqui descritos junto com citotoxicidade, controles históricos do laboratório e os critérios do guia adotado. O que o software faz é organizar a evidência de forma honesta e reprodutível.</w:t>
      </w:r>
    </w:p>
    <w:p>
      <w:pPr>
        <w:pStyle w:val="Heading1"/>
        <w:spacing w:after="140" w:before="320"/>
      </w:pPr>
      <w:r>
        <w:rPr>
          <w:b/>
          <w:bCs/>
          <w:color w:val="155b8f"/>
          <w:sz w:val="30"/>
          <w:szCs w:val="30"/>
        </w:rPr>
        <w:t xml:space="preserve">O ponto de partida: o escore e a unidade de análise</w:t>
      </w:r>
    </w:p>
    <w:p>
      <w:pPr>
        <w:spacing w:after="140" w:line="300"/>
        <w:jc w:val="both"/>
      </w:pPr>
      <w:r>
        <w:rPr>
          <w:sz w:val="22"/>
          <w:szCs w:val="22"/>
        </w:rPr>
        <w:t xml:space="preserve">Antes de qualquer teste, o CometQuant reduz as observações a um número por lâmina. Cada nucleoide classificado visualmente recebe uma nota de 0 (DNA íntegro) a 4 (dano máximo), e a lâmina inteira vira um escore ponderado que vai de 0 a 100. Esse escore é uma média de dano por célula, o que traz uma consequência prática importante: ele não depende do número exato de nucleoides contados. Se em uma lâmina foram classificados 98 nucleoides e em outra 103, o escore de cada uma é calculado sobre a contagem efetiva, e os dois permanecem comparáveis.</w:t>
      </w:r>
    </w:p>
    <w:p>
      <w:pPr>
        <w:spacing w:after="140" w:line="300"/>
        <w:jc w:val="both"/>
      </w:pPr>
      <w:r>
        <w:rPr>
          <w:sz w:val="22"/>
          <w:szCs w:val="22"/>
        </w:rPr>
        <w:t xml:space="preserve">A pergunta que define toda a análise é: qual é a unidade que conta como uma observação independente? A resposta do CometQuant é o </w:t>
      </w:r>
      <w:r>
        <w:rPr>
          <w:b/>
          <w:bCs/>
          <w:sz w:val="22"/>
          <w:szCs w:val="22"/>
        </w:rPr>
        <w:t xml:space="preserve">experimento independente</w:t>
      </w:r>
      <w:r>
        <w:rPr>
          <w:sz w:val="22"/>
          <w:szCs w:val="22"/>
        </w:rPr>
        <w:t xml:space="preserve"> — a repetição feita em outro dia, com outra cultura e outra passagem celular. As duas lâminas de um mesmo tratamento dentro de um experimento são réplicas técnicas: medem o mesmo material biológico e, por isso, são promediadas antes de entrar na estatística. Tratar cada lâmina, ou pior, cada nucleoide, como observação independente inflaria artificialmente o tamanho da amostra e produziria diferenças "significativas" que não correspondem à biologia. Esse erro tem nome — pseudorreplicação — e é justamente o que a estrutura de blocos do software evita.</w:t>
      </w:r>
    </w:p>
    <w:p>
      <w:pPr>
        <w:spacing w:after="140" w:line="300"/>
        <w:jc w:val="both"/>
      </w:pPr>
      <w:r>
        <w:rPr>
          <w:sz w:val="22"/>
          <w:szCs w:val="22"/>
        </w:rPr>
        <w:t xml:space="preserve">No relatório, cada experimento independente aparece como um </w:t>
      </w:r>
      <w:r>
        <w:rPr>
          <w:b/>
          <w:bCs/>
          <w:sz w:val="22"/>
          <w:szCs w:val="22"/>
        </w:rPr>
        <w:t xml:space="preserve">bloco</w:t>
      </w:r>
      <w:r>
        <w:rPr>
          <w:sz w:val="22"/>
          <w:szCs w:val="22"/>
        </w:rPr>
        <w:t xml:space="preserve">. Um estudo típico tem três ou quatro blocos, e cada um contém todos os tratamentos.</w:t>
      </w:r>
    </w:p>
    <w:p>
      <w:pPr>
        <w:pStyle w:val="Heading1"/>
        <w:spacing w:after="140" w:before="320"/>
      </w:pPr>
      <w:r>
        <w:rPr>
          <w:b/>
          <w:bCs/>
          <w:color w:val="155b8f"/>
          <w:sz w:val="30"/>
          <w:szCs w:val="30"/>
        </w:rPr>
        <w:t xml:space="preserve">Dois conceitos que aparecem o tempo todo</w:t>
      </w:r>
    </w:p>
    <w:p>
      <w:pPr>
        <w:spacing w:after="140" w:line="300"/>
        <w:jc w:val="both"/>
      </w:pPr>
      <w:r>
        <w:rPr>
          <w:b/>
          <w:bCs/>
          <w:sz w:val="22"/>
          <w:szCs w:val="22"/>
        </w:rPr>
        <w:t xml:space="preserve">O valor-p. </w:t>
      </w:r>
      <w:r>
        <w:rPr>
          <w:sz w:val="22"/>
          <w:szCs w:val="22"/>
        </w:rPr>
        <w:t xml:space="preserve">É a probabilidade de observar uma diferença tão grande quanto a medida caso, na realidade, não houvesse diferença nenhuma entre os grupos. Um valor-p pequeno (por convenção, abaixo de 0,05) indica que o resultado seria improvável por puro acaso, e portanto há evidência de um efeito real. Duas cautelas acompanham essa leitura. O valor-p mede a força da evidência contra a ausência de efeito, não o tamanho do efeito nem sua relevância biológica — um efeito minúsculo pode ter valor-p pequeno se a amostra for grande. E um valor-p acima de 0,05 significa "não detectamos diferença", não "provamos que não há diferença".</w:t>
      </w:r>
    </w:p>
    <w:p>
      <w:pPr>
        <w:spacing w:after="140" w:line="300"/>
        <w:jc w:val="both"/>
      </w:pPr>
      <w:r>
        <w:rPr>
          <w:b/>
          <w:bCs/>
          <w:sz w:val="22"/>
          <w:szCs w:val="22"/>
        </w:rPr>
        <w:t xml:space="preserve">O intervalo de confiança. </w:t>
      </w:r>
      <w:r>
        <w:rPr>
          <w:sz w:val="22"/>
          <w:szCs w:val="22"/>
        </w:rPr>
        <w:t xml:space="preserve">Toda diferença estimada entre um tratamento e o controle vem acompanhada de um intervalo de confiança de 95%. Ele representa a faixa de valores compatíveis com os dados: a estimativa mais provável está no centro, e a largura do intervalo mostra o grau de incerteza. Um intervalo estreito indica uma estimativa precisa; um intervalo largo, muita incerteza. Quando o intervalo não inclui o zero, a diferença é considerada estatisticamente detectável — o que coincide, nesse desenho, com um valor-p abaixo de 0,05.</w:t>
      </w:r>
    </w:p>
    <w:p>
      <w:pPr>
        <w:pStyle w:val="Heading1"/>
        <w:spacing w:after="140" w:before="320"/>
      </w:pPr>
      <w:r>
        <w:rPr>
          <w:b/>
          <w:bCs/>
          <w:color w:val="155b8f"/>
          <w:sz w:val="30"/>
          <w:szCs w:val="30"/>
        </w:rPr>
        <w:t xml:space="preserve">As análises, uma a uma</w:t>
      </w:r>
    </w:p>
    <w:p>
      <w:pPr>
        <w:pStyle w:val="Heading2"/>
        <w:spacing w:after="100" w:before="240"/>
      </w:pPr>
      <w:r>
        <w:rPr>
          <w:b/>
          <w:bCs/>
          <w:color w:val="155b8f"/>
          <w:sz w:val="26"/>
          <w:szCs w:val="26"/>
        </w:rPr>
        <w:t xml:space="preserve">ANOVA em blocos (Randomized Complete Block ANOVA)</w:t>
      </w:r>
    </w:p>
    <w:p>
      <w:pPr>
        <w:spacing w:after="140" w:line="300"/>
        <w:jc w:val="both"/>
      </w:pPr>
      <w:r>
        <w:rPr>
          <w:sz w:val="22"/>
          <w:szCs w:val="22"/>
        </w:rPr>
        <w:t xml:space="preserve">A ANOVA é a análise que responde à primeira pergunta global: existe alguma diferença entre os tratamentos? Ela funciona separando a variação total dos escores em partes atribuíveis a fontes distintas. Uma parte vem do tratamento — a diferença que interessa, o efeito das concentrações. Outra vem do bloco, ou seja, da variação entre os experimentos, que reflete o fato de que dias, culturas e passagens diferentes têm níveis basais de dano diferentes. O que sobra é o resíduo, a variação que nenhuma dessas fontes explica, o ruído de fundo do ensaio.</w:t>
      </w:r>
    </w:p>
    <w:p>
      <w:pPr>
        <w:spacing w:after="140" w:line="300"/>
        <w:jc w:val="both"/>
      </w:pPr>
      <w:r>
        <w:rPr>
          <w:sz w:val="22"/>
          <w:szCs w:val="22"/>
        </w:rPr>
        <w:t xml:space="preserve">A vantagem de incluir o bloco no modelo está aí: a variação entre experimentos é identificada e retirada da conta, o que torna a comparação entre tratamentos mais limpa e mais sensível do que seria se todos os dados fossem jogados juntos ignorando de que dia vieram. O relatório mostra, para cada fonte, a soma de quadrados, os graus de liberdade, a média quadrática, a estatística F e o valor-p. Na prática, o número que se lê primeiro é o valor-p da linha "tratamento": se for pequeno, há diferença entre os grupos em algum lugar — a ANOVA não diz onde, apenas que existe.</w:t>
      </w:r>
    </w:p>
    <w:p>
      <w:pPr>
        <w:pStyle w:val="Heading2"/>
        <w:spacing w:after="100" w:before="240"/>
      </w:pPr>
      <w:r>
        <w:rPr>
          <w:b/>
          <w:bCs/>
          <w:color w:val="155b8f"/>
          <w:sz w:val="26"/>
          <w:szCs w:val="26"/>
        </w:rPr>
        <w:t xml:space="preserve">Comparações planejadas e a correção de Holm</w:t>
      </w:r>
    </w:p>
    <w:p>
      <w:pPr>
        <w:spacing w:after="140" w:line="300"/>
        <w:jc w:val="both"/>
      </w:pPr>
      <w:r>
        <w:rPr>
          <w:sz w:val="22"/>
          <w:szCs w:val="22"/>
        </w:rPr>
        <w:t xml:space="preserve">A ANOVA aponta que há diferença, mas não diz qual concentração difere do controle. Essa é a função das comparações planejadas: cada concentração do composto é comparada com o controle de referência, e o relatório informa a diferença de escore em pontos, o intervalo de confiança, o valor-p e a direção (mais dano ou menos dano que o controle).</w:t>
      </w:r>
    </w:p>
    <w:p>
      <w:pPr>
        <w:spacing w:after="140" w:line="300"/>
        <w:jc w:val="both"/>
      </w:pPr>
      <w:r>
        <w:rPr>
          <w:sz w:val="22"/>
          <w:szCs w:val="22"/>
        </w:rPr>
        <w:t xml:space="preserve">Comparar várias concentrações contra o mesmo controle cria um problema conhecido. Quanto mais comparações são feitas, maior a chance de que ao menos uma pareça significativa apenas por acaso — como jogar a moeda muitas vezes aumenta a chance de sair uma sequência improvável. A </w:t>
      </w:r>
      <w:r>
        <w:rPr>
          <w:b/>
          <w:bCs/>
          <w:sz w:val="22"/>
          <w:szCs w:val="22"/>
        </w:rPr>
        <w:t xml:space="preserve">correção de Holm</w:t>
      </w:r>
      <w:r>
        <w:rPr>
          <w:sz w:val="22"/>
          <w:szCs w:val="22"/>
        </w:rPr>
        <w:t xml:space="preserve"> ajusta os valores-p para controlar esse risco acumulado. Ela mantém o controle sobre falsos positivos sem ser tão severa quanto a alternativa mais tradicional (Bonferroni), preservando mais capacidade de detectar efeitos reais. No relatório, cada comparação aparece com dois valores-p: o bruto (a comparação isolada) e o de Holm (já ajustado para o conjunto). O valor-p de Holm é o que deve ser usado para a decisão.</w:t>
      </w:r>
    </w:p>
    <w:p>
      <w:pPr>
        <w:pStyle w:val="Heading2"/>
        <w:spacing w:after="100" w:before="240"/>
      </w:pPr>
      <w:r>
        <w:rPr>
          <w:b/>
          <w:bCs/>
          <w:color w:val="155b8f"/>
          <w:sz w:val="26"/>
          <w:szCs w:val="26"/>
        </w:rPr>
        <w:t xml:space="preserve">Resposta do controle</w:t>
      </w:r>
    </w:p>
    <w:p>
      <w:pPr>
        <w:spacing w:after="140" w:line="300"/>
        <w:jc w:val="both"/>
      </w:pPr>
      <w:r>
        <w:rPr>
          <w:sz w:val="22"/>
          <w:szCs w:val="22"/>
        </w:rPr>
        <w:t xml:space="preserve">O controle positivo é um agente reconhecidamente capaz de causar dano ao DNA — no ensaio cometa, costuma ser o MMS (metil metanossulfonato). Sua função não é medir o composto-teste, e sim verificar se o próprio ensaio funcionou. Se o controle positivo não produziu um aumento claro de dano em relação ao controle negativo, algo falhou na execução, e o resultado do composto-teste perde a base de comparação, por melhor que pareça.</w:t>
      </w:r>
    </w:p>
    <w:p>
      <w:pPr>
        <w:spacing w:after="140" w:line="300"/>
        <w:jc w:val="both"/>
      </w:pPr>
      <w:r>
        <w:rPr>
          <w:sz w:val="22"/>
          <w:szCs w:val="22"/>
        </w:rPr>
        <w:t xml:space="preserve">Por isso o CometQuant analisa o controle positivo à parte, com a mesma lógica de blocos, mas fora da família de comparações das concentrações. Manter essa comparação separada tem um motivo estatístico: ela não deve consumir parte do "orçamento" de correção de Holm, que se reserva às perguntas centrais do ensaio — as concentrações do composto. O relatório mostra a diferença entre controle positivo e negativo e seu valor-p; um resultado significativo aqui é o sinal verde de que o sistema respondeu ao dano conhecido.</w:t>
      </w:r>
    </w:p>
    <w:p>
      <w:pPr>
        <w:pStyle w:val="Heading2"/>
        <w:spacing w:after="100" w:before="240"/>
      </w:pPr>
      <w:r>
        <w:rPr>
          <w:b/>
          <w:bCs/>
          <w:color w:val="155b8f"/>
          <w:sz w:val="26"/>
          <w:szCs w:val="26"/>
        </w:rPr>
        <w:t xml:space="preserve">Tendência de dose (block-adjusted dose trend)</w:t>
      </w:r>
    </w:p>
    <w:p>
      <w:pPr>
        <w:spacing w:after="140" w:line="300"/>
        <w:jc w:val="both"/>
      </w:pPr>
      <w:r>
        <w:rPr>
          <w:sz w:val="22"/>
          <w:szCs w:val="22"/>
        </w:rPr>
        <w:t xml:space="preserve">Detectar que uma ou outra concentração difere do controle é uma coisa; mostrar que o dano cresce de forma organizada conforme a concentração aumenta é uma evidência mais forte de efeito real. A análise de tendência ajusta uma linha que descreve como o escore varia com a concentração, depois de descontar as diferenças entre experimentos. O número central aqui é a </w:t>
      </w:r>
      <w:r>
        <w:rPr>
          <w:b/>
          <w:bCs/>
          <w:sz w:val="22"/>
          <w:szCs w:val="22"/>
        </w:rPr>
        <w:t xml:space="preserve">inclinação</w:t>
      </w:r>
      <w:r>
        <w:rPr>
          <w:sz w:val="22"/>
          <w:szCs w:val="22"/>
        </w:rPr>
        <w:t xml:space="preserve"> (slope): quanto o escore muda, em média, a cada aumento de concentração. Uma inclinação positiva com valor-p pequeno indica que o dano acompanha a dose. O relatório traz ainda o </w:t>
      </w:r>
      <w:r>
        <w:rPr>
          <w:b/>
          <w:bCs/>
          <w:sz w:val="22"/>
          <w:szCs w:val="22"/>
        </w:rPr>
        <w:t xml:space="preserve">R²</w:t>
      </w:r>
      <w:r>
        <w:rPr>
          <w:sz w:val="22"/>
          <w:szCs w:val="22"/>
        </w:rPr>
        <w:t xml:space="preserve">, que mede quanto da variação nos escores a concentração consegue explicar — um valor próximo de 1 indica uma relação forte e bem definida; um valor baixo indica que a concentração explica apenas parte do que se observa, e que há bastante dispersão em torno da tendência. O controle de referência entra nessa análise como concentração zero, que é o ponto natural de início da curva.</w:t>
      </w:r>
    </w:p>
    <w:p>
      <w:pPr>
        <w:spacing w:after="140" w:line="300"/>
        <w:jc w:val="both"/>
      </w:pPr>
      <w:r>
        <w:rPr>
          <w:sz w:val="22"/>
          <w:szCs w:val="22"/>
        </w:rPr>
        <w:t xml:space="preserve">Convém ler a tendência junto com os escores médios de cada grupo. Uma inclinação significativa confirma a direção geral, mas não garante que cada passo de concentração produza mais dano que o anterior. Quando os escores sobem, descem e voltam a subir ao longo das doses — um padrão chamado </w:t>
      </w:r>
      <w:r>
        <w:rPr>
          <w:b/>
          <w:bCs/>
          <w:sz w:val="22"/>
          <w:szCs w:val="22"/>
        </w:rPr>
        <w:t xml:space="preserve">não-monotônico</w:t>
      </w:r>
      <w:r>
        <w:rPr>
          <w:sz w:val="22"/>
          <w:szCs w:val="22"/>
        </w:rPr>
        <w:t xml:space="preserve"> —, a tendência pode continuar significativa, e ainda assim a relação dose-resposta é irregular, o que merece atenção na interpretação.</w:t>
      </w:r>
    </w:p>
    <w:p>
      <w:pPr>
        <w:pStyle w:val="Heading2"/>
        <w:spacing w:after="100" w:before="240"/>
      </w:pPr>
      <w:r>
        <w:rPr>
          <w:b/>
          <w:bCs/>
          <w:color w:val="155b8f"/>
          <w:sz w:val="26"/>
          <w:szCs w:val="26"/>
        </w:rPr>
        <w:t xml:space="preserve">Dispersão por tratamento</w:t>
      </w:r>
    </w:p>
    <w:p>
      <w:pPr>
        <w:spacing w:after="140" w:line="300"/>
        <w:jc w:val="both"/>
      </w:pPr>
      <w:r>
        <w:rPr>
          <w:sz w:val="22"/>
          <w:szCs w:val="22"/>
        </w:rPr>
        <w:t xml:space="preserve">Esta seção descreve o quão consistentes foram os resultados de cada tratamento entre os experimentos. Para cada grupo, o relatório mostra a média, o desvio-padrão e o coeficiente de variação (CV), que é o desvio-padrão expresso como porcentagem da média. Um CV baixo indica que os experimentos concordaram entre si; um CV alto indica que o mesmo tratamento produziu escores bem diferentes de um dia para outro.</w:t>
      </w:r>
    </w:p>
    <w:p>
      <w:pPr>
        <w:spacing w:after="140" w:line="300"/>
        <w:jc w:val="both"/>
      </w:pPr>
      <w:r>
        <w:rPr>
          <w:sz w:val="22"/>
          <w:szCs w:val="22"/>
        </w:rPr>
        <w:t xml:space="preserve">O software também sinaliza quando a variabilidade é muito desigual entre os grupos — por exemplo, quando um tratamento tem um desvio-padrão várias vezes maior que outro. Esse aviso é relevante porque a ANOVA e as comparações assumem, idealmente, que a dispersão é parecida entre os grupos. Quando não é, os resultados continuam informativos, mas pedem uma leitura mais cuidadosa, e é uma das razões pelas quais o relatório oferece as análises de sensibilidade descritas a seguir.</w:t>
      </w:r>
    </w:p>
    <w:p>
      <w:pPr>
        <w:pStyle w:val="Heading2"/>
        <w:spacing w:after="100" w:before="240"/>
      </w:pPr>
      <w:r>
        <w:rPr>
          <w:b/>
          <w:bCs/>
          <w:color w:val="155b8f"/>
          <w:sz w:val="26"/>
          <w:szCs w:val="26"/>
        </w:rPr>
        <w:t xml:space="preserve">Sensibilidade não-paramétrica (Friedman e Page)</w:t>
      </w:r>
    </w:p>
    <w:p>
      <w:pPr>
        <w:spacing w:after="140" w:line="300"/>
        <w:jc w:val="both"/>
      </w:pPr>
      <w:r>
        <w:rPr>
          <w:sz w:val="22"/>
          <w:szCs w:val="22"/>
        </w:rPr>
        <w:t xml:space="preserve">As análises principais são paramétricas: assumem que os dados seguem aproximadamente certas distribuições. Com poucos experimentos, essa suposição é difícil de verificar. As análises não-paramétricas contornam o problema porque não dependem da forma da distribuição — trabalham apenas com a ordem (o ranqueamento) dos escores. Elas servem como uma segunda opinião: se chegam à mesma conclusão das análises principais, a confiança no resultado aumenta; se divergem, é um sinal de que os dados são sensíveis às suposições e merecem cautela.</w:t>
      </w:r>
    </w:p>
    <w:p>
      <w:pPr>
        <w:spacing w:after="140" w:line="300"/>
        <w:jc w:val="both"/>
      </w:pPr>
      <w:r>
        <w:rPr>
          <w:sz w:val="22"/>
          <w:szCs w:val="22"/>
        </w:rPr>
        <w:t xml:space="preserve">O </w:t>
      </w:r>
      <w:r>
        <w:rPr>
          <w:b/>
          <w:bCs/>
          <w:sz w:val="22"/>
          <w:szCs w:val="22"/>
        </w:rPr>
        <w:t xml:space="preserve">teste de Friedman</w:t>
      </w:r>
      <w:r>
        <w:rPr>
          <w:sz w:val="22"/>
          <w:szCs w:val="22"/>
        </w:rPr>
        <w:t xml:space="preserve"> é a versão não-paramétrica da ANOVA em blocos. Dentro de cada experimento, os tratamentos são ordenados do menor ao maior escore, e o teste avalia se algum tratamento se destaca de forma consistente entre os experimentos. O </w:t>
      </w:r>
      <w:r>
        <w:rPr>
          <w:b/>
          <w:bCs/>
          <w:sz w:val="22"/>
          <w:szCs w:val="22"/>
        </w:rPr>
        <w:t xml:space="preserve">teste de Page</w:t>
      </w:r>
      <w:r>
        <w:rPr>
          <w:sz w:val="22"/>
          <w:szCs w:val="22"/>
        </w:rPr>
        <w:t xml:space="preserve"> verifica algo mais específico: se existe uma tendência crescente ao longo de uma ordem definida de antemão — no caso do ensaio de genotoxicidade, a ordem das concentrações, com a expectativa de que mais dose signifique mais dano. A direção testada é fixada pelo tipo de ensaio, e não escolhida depois de olhar os dados, o que preserva a validade do resultado. Ambos os testes usam cálculo exato quando o número de experimentos permite; quando a quantidade de combinações possíveis fica grande demais para o cálculo exato, o relatório informa isso de forma explícita em vez de recorrer a uma aproximação menos confiável.</w:t>
      </w:r>
    </w:p>
    <w:p>
      <w:pPr>
        <w:pStyle w:val="Heading2"/>
        <w:spacing w:after="100" w:before="240"/>
      </w:pPr>
      <w:r>
        <w:rPr>
          <w:b/>
          <w:bCs/>
          <w:color w:val="155b8f"/>
          <w:sz w:val="26"/>
          <w:szCs w:val="26"/>
        </w:rPr>
        <w:t xml:space="preserve">Sensibilidade transformada (arcsine-raiz quadrada)</w:t>
      </w:r>
    </w:p>
    <w:p>
      <w:pPr>
        <w:spacing w:after="140" w:line="300"/>
        <w:jc w:val="both"/>
      </w:pPr>
      <w:r>
        <w:rPr>
          <w:sz w:val="22"/>
          <w:szCs w:val="22"/>
        </w:rPr>
        <w:t xml:space="preserve">Esta é a segunda checagem de robustez. O escore é uma medida limitada, presa entre 0 e 100, e medidas assim às vezes se comportam de maneira que distorce análises que pressupõem uma escala aberta. A transformação arcsine-raiz quadrada é um recálculo do escore em outra escala, desenhada para atenuar esse efeito. O CometQuant refaz as comparações e a tendência sobre os dados transformados e apresenta os resultados lado a lado com os originais.</w:t>
      </w:r>
    </w:p>
    <w:p>
      <w:pPr>
        <w:spacing w:after="140" w:line="300"/>
        <w:jc w:val="both"/>
      </w:pPr>
      <w:r>
        <w:rPr>
          <w:sz w:val="22"/>
          <w:szCs w:val="22"/>
        </w:rPr>
        <w:t xml:space="preserve">A leitura é direta: se as conclusões se mantêm depois da transformação — as mesmas concentrações significativas, a mesma tendência —, o resultado não depende da escala escolhida e é mais confiável. Divergências apontam onde a conclusão é frágil. Esta análise não substitui a principal; ela a testa.</w:t>
      </w:r>
    </w:p>
    <w:p>
      <w:pPr>
        <w:pStyle w:val="Heading1"/>
        <w:spacing w:after="140" w:before="320"/>
      </w:pPr>
      <w:r>
        <w:rPr>
          <w:b/>
          <w:bCs/>
          <w:color w:val="155b8f"/>
          <w:sz w:val="30"/>
          <w:szCs w:val="30"/>
        </w:rPr>
        <w:t xml:space="preserve">Como o relatório junta tudo</w:t>
      </w:r>
    </w:p>
    <w:p>
      <w:pPr>
        <w:spacing w:after="140" w:line="300"/>
        <w:jc w:val="both"/>
      </w:pPr>
      <w:r>
        <w:rPr>
          <w:sz w:val="22"/>
          <w:szCs w:val="22"/>
        </w:rPr>
        <w:t xml:space="preserve">O painel de conclusão no topo do relatório sintetiza três perguntas, cada uma apoiada nas análises acima. A </w:t>
      </w:r>
      <w:r>
        <w:rPr>
          <w:b/>
          <w:bCs/>
          <w:sz w:val="22"/>
          <w:szCs w:val="22"/>
        </w:rPr>
        <w:t xml:space="preserve">validade do ensaio</w:t>
      </w:r>
      <w:r>
        <w:rPr>
          <w:sz w:val="22"/>
          <w:szCs w:val="22"/>
        </w:rPr>
        <w:t xml:space="preserve"> vem da resposta do controle positivo: o sistema respondeu ao dano conhecido? O </w:t>
      </w:r>
      <w:r>
        <w:rPr>
          <w:b/>
          <w:bCs/>
          <w:sz w:val="22"/>
          <w:szCs w:val="22"/>
        </w:rPr>
        <w:t xml:space="preserve">sinal de genotoxicidade</w:t>
      </w:r>
      <w:r>
        <w:rPr>
          <w:sz w:val="22"/>
          <w:szCs w:val="22"/>
        </w:rPr>
        <w:t xml:space="preserve"> vem do conjunto das comparações planejadas: as concentrações do composto produziram mais dano que o controle? A </w:t>
      </w:r>
      <w:r>
        <w:rPr>
          <w:b/>
          <w:bCs/>
          <w:sz w:val="22"/>
          <w:szCs w:val="22"/>
        </w:rPr>
        <w:t xml:space="preserve">qualidade da relação dose-resposta</w:t>
      </w:r>
      <w:r>
        <w:rPr>
          <w:sz w:val="22"/>
          <w:szCs w:val="22"/>
        </w:rPr>
        <w:t xml:space="preserve"> combina a tendência de dose com a regularidade dos escores médios: a resposta cresce de forma organizada com a concentração, ou é significativa porém irregular?</w:t>
      </w:r>
    </w:p>
    <w:p>
      <w:pPr>
        <w:spacing w:after="140" w:line="300"/>
        <w:jc w:val="both"/>
      </w:pPr>
      <w:r>
        <w:rPr>
          <w:sz w:val="22"/>
          <w:szCs w:val="22"/>
        </w:rPr>
        <w:t xml:space="preserve">Nenhum desses indicadores é um carimbo automático. Eles resumem a evidência para que a leitura seja rápida, mas a conclusão científica final permanece com quem conduz o estudo.</w:t>
      </w:r>
    </w:p>
    <w:p>
      <w:r>
        <w:br w:type="page"/>
      </w:r>
    </w:p>
    <w:p>
      <w:pPr>
        <w:pStyle w:val="Heading1"/>
        <w:spacing w:after="140" w:before="320"/>
      </w:pPr>
      <w:r>
        <w:rPr>
          <w:b/>
          <w:bCs/>
          <w:color w:val="155b8f"/>
          <w:sz w:val="30"/>
          <w:szCs w:val="30"/>
        </w:rPr>
        <w:t xml:space="preserve">Glossário rápido</w:t>
      </w:r>
    </w:p>
    <w:p>
      <w:pPr>
        <w:spacing w:after="120" w:line="288"/>
        <w:jc w:val="both"/>
      </w:pPr>
      <w:r>
        <w:rPr>
          <w:b/>
          <w:bCs/>
          <w:color w:val="17202a"/>
          <w:sz w:val="22"/>
          <w:szCs w:val="22"/>
        </w:rPr>
        <w:t xml:space="preserve">Bloco / repetição — </w:t>
      </w:r>
      <w:r>
        <w:rPr>
          <w:sz w:val="22"/>
          <w:szCs w:val="22"/>
        </w:rPr>
        <w:t xml:space="preserve">um experimento independente, geralmente de outro dia. As lâminas do mesmo experimento são réplicas técnicas, não blocos novos.</w:t>
      </w:r>
    </w:p>
    <w:p>
      <w:pPr>
        <w:spacing w:after="120" w:line="288"/>
        <w:jc w:val="both"/>
      </w:pPr>
      <w:r>
        <w:rPr>
          <w:b/>
          <w:bCs/>
          <w:color w:val="17202a"/>
          <w:sz w:val="22"/>
          <w:szCs w:val="22"/>
        </w:rPr>
        <w:t xml:space="preserve">Unidade experimental — </w:t>
      </w:r>
      <w:r>
        <w:rPr>
          <w:sz w:val="22"/>
          <w:szCs w:val="22"/>
        </w:rPr>
        <w:t xml:space="preserve">a menor entidade que conta como observação independente. No CometQuant, é o experimento, não a lâmina nem o nucleoide.</w:t>
      </w:r>
    </w:p>
    <w:p>
      <w:pPr>
        <w:spacing w:after="120" w:line="288"/>
        <w:jc w:val="both"/>
      </w:pPr>
      <w:r>
        <w:rPr>
          <w:b/>
          <w:bCs/>
          <w:color w:val="17202a"/>
          <w:sz w:val="22"/>
          <w:szCs w:val="22"/>
        </w:rPr>
        <w:t xml:space="preserve">Escore visual — </w:t>
      </w:r>
      <w:r>
        <w:rPr>
          <w:sz w:val="22"/>
          <w:szCs w:val="22"/>
        </w:rPr>
        <w:t xml:space="preserve">nota de dano de 0 a 100 por lâmina, calculada a partir da classificação dos nucleoides em classes de 0 a 4, sobre o número efetivamente contado.</w:t>
      </w:r>
    </w:p>
    <w:p>
      <w:pPr>
        <w:spacing w:after="120" w:line="288"/>
        <w:jc w:val="both"/>
      </w:pPr>
      <w:r>
        <w:rPr>
          <w:b/>
          <w:bCs/>
          <w:color w:val="17202a"/>
          <w:sz w:val="22"/>
          <w:szCs w:val="22"/>
        </w:rPr>
        <w:t xml:space="preserve">Valor-p — </w:t>
      </w:r>
      <w:r>
        <w:rPr>
          <w:sz w:val="22"/>
          <w:szCs w:val="22"/>
        </w:rPr>
        <w:t xml:space="preserve">probabilidade de um resultado tão extremo quanto o observado surgir por acaso, se não houvesse diferença real. Pequeno indica evidência; não mede tamanho de efeito.</w:t>
      </w:r>
    </w:p>
    <w:p>
      <w:pPr>
        <w:spacing w:after="120" w:line="288"/>
        <w:jc w:val="both"/>
      </w:pPr>
      <w:r>
        <w:rPr>
          <w:b/>
          <w:bCs/>
          <w:color w:val="17202a"/>
          <w:sz w:val="22"/>
          <w:szCs w:val="22"/>
        </w:rPr>
        <w:t xml:space="preserve">Intervalo de confiança (95%) — </w:t>
      </w:r>
      <w:r>
        <w:rPr>
          <w:sz w:val="22"/>
          <w:szCs w:val="22"/>
        </w:rPr>
        <w:t xml:space="preserve">faixa de valores compatíveis com a diferença estimada. Quanto mais estreita, mais precisa a estimativa.</w:t>
      </w:r>
    </w:p>
    <w:p>
      <w:pPr>
        <w:spacing w:after="120" w:line="288"/>
        <w:jc w:val="both"/>
      </w:pPr>
      <w:r>
        <w:rPr>
          <w:b/>
          <w:bCs/>
          <w:color w:val="17202a"/>
          <w:sz w:val="22"/>
          <w:szCs w:val="22"/>
        </w:rPr>
        <w:t xml:space="preserve">ANOVA em blocos — </w:t>
      </w:r>
      <w:r>
        <w:rPr>
          <w:sz w:val="22"/>
          <w:szCs w:val="22"/>
        </w:rPr>
        <w:t xml:space="preserve">análise que verifica se há diferença entre tratamentos, separando o efeito do tratamento da variação entre experimentos.</w:t>
      </w:r>
    </w:p>
    <w:p>
      <w:pPr>
        <w:spacing w:after="120" w:line="288"/>
        <w:jc w:val="both"/>
      </w:pPr>
      <w:r>
        <w:rPr>
          <w:b/>
          <w:bCs/>
          <w:color w:val="17202a"/>
          <w:sz w:val="22"/>
          <w:szCs w:val="22"/>
        </w:rPr>
        <w:t xml:space="preserve">Correção de Holm — </w:t>
      </w:r>
      <w:r>
        <w:rPr>
          <w:sz w:val="22"/>
          <w:szCs w:val="22"/>
        </w:rPr>
        <w:t xml:space="preserve">ajuste que controla falsos positivos quando várias concentrações são comparadas com o mesmo controle.</w:t>
      </w:r>
    </w:p>
    <w:p>
      <w:pPr>
        <w:spacing w:after="120" w:line="288"/>
        <w:jc w:val="both"/>
      </w:pPr>
      <w:r>
        <w:rPr>
          <w:b/>
          <w:bCs/>
          <w:color w:val="17202a"/>
          <w:sz w:val="22"/>
          <w:szCs w:val="22"/>
        </w:rPr>
        <w:t xml:space="preserve">Controle negativo — </w:t>
      </w:r>
      <w:r>
        <w:rPr>
          <w:sz w:val="22"/>
          <w:szCs w:val="22"/>
        </w:rPr>
        <w:t xml:space="preserve">condição basal usada como referência (por exemplo, o meio de cultura ou o veículo).</w:t>
      </w:r>
    </w:p>
    <w:p>
      <w:pPr>
        <w:spacing w:after="120" w:line="288"/>
        <w:jc w:val="both"/>
      </w:pPr>
      <w:r>
        <w:rPr>
          <w:b/>
          <w:bCs/>
          <w:color w:val="17202a"/>
          <w:sz w:val="22"/>
          <w:szCs w:val="22"/>
        </w:rPr>
        <w:t xml:space="preserve">Controle positivo — </w:t>
      </w:r>
      <w:r>
        <w:rPr>
          <w:sz w:val="22"/>
          <w:szCs w:val="22"/>
        </w:rPr>
        <w:t xml:space="preserve">agente de dano conhecido, usado para confirmar que o ensaio respondeu.</w:t>
      </w:r>
    </w:p>
    <w:p>
      <w:pPr>
        <w:spacing w:after="120" w:line="288"/>
        <w:jc w:val="both"/>
      </w:pPr>
      <w:r>
        <w:rPr>
          <w:b/>
          <w:bCs/>
          <w:color w:val="17202a"/>
          <w:sz w:val="22"/>
          <w:szCs w:val="22"/>
        </w:rPr>
        <w:t xml:space="preserve">Tendência de dose (slope) — </w:t>
      </w:r>
      <w:r>
        <w:rPr>
          <w:sz w:val="22"/>
          <w:szCs w:val="22"/>
        </w:rPr>
        <w:t xml:space="preserve">mede se o escore muda de forma sistemática com a concentração, descontadas as diferenças entre experimentos.</w:t>
      </w:r>
    </w:p>
    <w:p>
      <w:pPr>
        <w:spacing w:after="120" w:line="288"/>
        <w:jc w:val="both"/>
      </w:pPr>
      <w:r>
        <w:rPr>
          <w:b/>
          <w:bCs/>
          <w:color w:val="17202a"/>
          <w:sz w:val="22"/>
          <w:szCs w:val="22"/>
        </w:rPr>
        <w:t xml:space="preserve">R² — </w:t>
      </w:r>
      <w:r>
        <w:rPr>
          <w:sz w:val="22"/>
          <w:szCs w:val="22"/>
        </w:rPr>
        <w:t xml:space="preserve">proporção da variação explicada pela concentração. Perto de 1, relação forte; baixo, muita dispersão em torno da tendência.</w:t>
      </w:r>
    </w:p>
    <w:p>
      <w:pPr>
        <w:spacing w:after="120" w:line="288"/>
        <w:jc w:val="both"/>
      </w:pPr>
      <w:r>
        <w:rPr>
          <w:b/>
          <w:bCs/>
          <w:color w:val="17202a"/>
          <w:sz w:val="22"/>
          <w:szCs w:val="22"/>
        </w:rPr>
        <w:t xml:space="preserve">Coeficiente de variação (CV) — </w:t>
      </w:r>
      <w:r>
        <w:rPr>
          <w:sz w:val="22"/>
          <w:szCs w:val="22"/>
        </w:rPr>
        <w:t xml:space="preserve">desvio-padrão como porcentagem da média; indica a consistência de um tratamento entre experimentos.</w:t>
      </w:r>
    </w:p>
    <w:p>
      <w:pPr>
        <w:spacing w:after="120" w:line="288"/>
        <w:jc w:val="both"/>
      </w:pPr>
      <w:r>
        <w:rPr>
          <w:b/>
          <w:bCs/>
          <w:color w:val="17202a"/>
          <w:sz w:val="22"/>
          <w:szCs w:val="22"/>
        </w:rPr>
        <w:t xml:space="preserve">Monotônico / não-monotônico — </w:t>
      </w:r>
      <w:r>
        <w:rPr>
          <w:sz w:val="22"/>
          <w:szCs w:val="22"/>
        </w:rPr>
        <w:t xml:space="preserve">uma resposta é monotônica quando o dano só cresce (ou só decresce) com a dose. Reversões no meio da curva a tornam não-monotônica e pedem cautela.</w:t>
      </w:r>
    </w:p>
    <w:p>
      <w:pPr>
        <w:spacing w:after="120" w:line="288"/>
        <w:jc w:val="both"/>
      </w:pPr>
      <w:r>
        <w:rPr>
          <w:b/>
          <w:bCs/>
          <w:color w:val="17202a"/>
          <w:sz w:val="22"/>
          <w:szCs w:val="22"/>
        </w:rPr>
        <w:t xml:space="preserve">Teste de Friedman — </w:t>
      </w:r>
      <w:r>
        <w:rPr>
          <w:sz w:val="22"/>
          <w:szCs w:val="22"/>
        </w:rPr>
        <w:t xml:space="preserve">versão não-paramétrica da ANOVA em blocos; checa diferenças sem depender da escala dos escores.</w:t>
      </w:r>
    </w:p>
    <w:p>
      <w:pPr>
        <w:spacing w:after="120" w:line="288"/>
        <w:jc w:val="both"/>
      </w:pPr>
      <w:r>
        <w:rPr>
          <w:b/>
          <w:bCs/>
          <w:color w:val="17202a"/>
          <w:sz w:val="22"/>
          <w:szCs w:val="22"/>
        </w:rPr>
        <w:t xml:space="preserve">Teste de Page — </w:t>
      </w:r>
      <w:r>
        <w:rPr>
          <w:sz w:val="22"/>
          <w:szCs w:val="22"/>
        </w:rPr>
        <w:t xml:space="preserve">verifica uma tendência crescente ao longo da ordem de concentrações definida pelo tipo de ensaio.</w:t>
      </w:r>
    </w:p>
    <w:p>
      <w:pPr>
        <w:spacing w:after="120" w:line="288"/>
        <w:jc w:val="both"/>
      </w:pPr>
      <w:r>
        <w:rPr>
          <w:b/>
          <w:bCs/>
          <w:color w:val="17202a"/>
          <w:sz w:val="22"/>
          <w:szCs w:val="22"/>
        </w:rPr>
        <w:t xml:space="preserve">Transformação arcsine-raiz quadrada — </w:t>
      </w:r>
      <w:r>
        <w:rPr>
          <w:sz w:val="22"/>
          <w:szCs w:val="22"/>
        </w:rPr>
        <w:t xml:space="preserve">recálculo dos escores em outra escala, usado para testar se as conclusões dependem da escala original.</w:t>
      </w:r>
    </w:p>
    <w:p>
      <w:pPr>
        <w:pBdr>
          <w:top w:val="single" w:color="cbd5e1" w:sz="6" w:space="12"/>
        </w:pBdr>
        <w:spacing w:before="400"/>
      </w:pPr>
      <w:r>
        <w:rPr>
          <w:i/>
          <w:iCs/>
          <w:color w:val="56657a"/>
          <w:sz w:val="18"/>
          <w:szCs w:val="18"/>
        </w:rPr>
        <w:t xml:space="preserve">CometQuant Lab — Manual de Interpretação dos Resultados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7202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155b8f"/>
      <w:sz w:val="30"/>
      <w:szCs w:val="30"/>
    </w:rPr>
  </w:style>
  <w:style w:type="paragraph" w:styleId="Heading2">
    <w:name w:val="Heading 2"/>
    <w:basedOn w:val="Normal"/>
    <w:next w:val="Normal"/>
    <w:qFormat/>
    <w:rPr>
      <w:b/>
      <w:bCs/>
      <w:color w:val="155b8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Interpretação dos Resultados — CometQuant</dc:title>
  <dc:creator>CometQuant Lab</dc:creator>
  <cp:lastModifiedBy>Un-named</cp:lastModifiedBy>
  <cp:revision>1</cp:revision>
  <dcterms:created xsi:type="dcterms:W3CDTF">2026-08-21T18:52:00.586Z</dcterms:created>
  <dcterms:modified xsi:type="dcterms:W3CDTF">2026-08-21T18:52:00.586Z</dcterms:modified>
</cp:coreProperties>
</file>

<file path=docProps/custom.xml><?xml version="1.0" encoding="utf-8"?>
<Properties xmlns="http://schemas.openxmlformats.org/officeDocument/2006/custom-properties" xmlns:vt="http://schemas.openxmlformats.org/officeDocument/2006/docPropsVTypes"/>
</file>