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Interfaz Gráfica del Sistema Brasa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Documento de mockups funcionales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Este documento presenta los mockups propuestos para las principales interfaces del sistema Brasa. Los bocetos representan la planificación visual previa al desarrollo: estructura, jerarquía de información, navegación y componentes funcionales esperados.</w:t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>
            <w:shd w:fill="e9500a" w:val="clea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9500a" w:val="clea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Módulos representados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Cliente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Inicio, autenticación, categorías, prestadores, servicios y evento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Prestador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Dashboard, servicios, disponibilidad, perfil multicategoría y solicitudes</w:t>
            </w:r>
          </w:p>
        </w:tc>
      </w:tr>
    </w:tbl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1. Página inicial y categorías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Pantalla inicial de exploración del marketplace Brasa. Presenta la navegación principal y el catálogo de categorías para comenzar a organizar un evento.</w:t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262563" cy="3762869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2563" cy="37628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Figura 1. Mockup de la página inicial y catálogo de categorías.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d9410f"/>
          <w:sz w:val="36"/>
          <w:szCs w:val="36"/>
          <w:rtl w:val="0"/>
        </w:rPr>
        <w:t xml:space="preserve">2. Autenticación de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Formulario de inicio de sesión compartido por clientes y prestadores. Solicita correo electrónico y contraseña, y ofrece acceso al registro de una cuenta nueva.</w:t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760720" cy="5530291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302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Figura 2. Mockup de autenticación de usuarios.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3. Dashboard del cliente</w:t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Panel privado para visualizar eventos activos, reservas, favoritos, montos y accesos rápidos a la planificación y mensajería.</w:t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760720" cy="4182573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825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Figura 3. Mockup del dashboard del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4. Módulo de prestadores y servicios</w:t>
      </w:r>
    </w:p>
    <w:p w:rsidR="00000000" w:rsidDel="00000000" w:rsidP="00000000" w:rsidRDefault="00000000" w:rsidRPr="00000000" w14:paraId="00000016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Permite consultar el perfil público de un prestador, revisar su información, cobertura y servicios publicados, y agregar un servicio al evento del cliente.</w:t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586413" cy="3875515"/>
            <wp:effectExtent b="0" l="0" r="0" t="0"/>
            <wp:docPr id="1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6413" cy="38755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Figura 4. Mockup del listado de prestadores por categoría.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488526" cy="2850395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8526" cy="28503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Figura 5. Mockup del perfil público y selección de servicios.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Fonts w:ascii="Play" w:cs="Play" w:eastAsia="Play" w:hAnsi="Play"/>
          <w:b w:val="1"/>
          <w:bCs w:val="1"/>
          <w:color w:val="d9410f"/>
          <w:sz w:val="36"/>
          <w:szCs w:val="36"/>
          <w:rtl w:val="0"/>
        </w:rPr>
        <w:t xml:space="preserve">5. Módulo de planificación del evento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Resume los servicios agregados al evento y sus valores. Desde este flujo el cliente puede revisar su selección antes de continuar con la reserva.</w:t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760720" cy="4654083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540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Figura 6. Mockup del módulo de eventos y reservas.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6. Módulo de gestión del prestador</w:t>
      </w:r>
    </w:p>
    <w:p w:rsidR="00000000" w:rsidDel="00000000" w:rsidP="00000000" w:rsidRDefault="00000000" w:rsidRPr="00000000" w14:paraId="0000001E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Panel privado para administrar la operación del negocio. Incluye indicadores generales y acceso a solicitudes, servicios, disponibilidad y perfil.</w:t>
      </w:r>
    </w:p>
    <w:p w:rsidR="00000000" w:rsidDel="00000000" w:rsidP="00000000" w:rsidRDefault="00000000" w:rsidRPr="00000000" w14:paraId="0000001F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760720" cy="4629150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2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Figura 7. Mockup del dashboard y solicitudes del prestador.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760720" cy="4629150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29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Figura 8. Mockup del formulario de servicios.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tl w:val="0"/>
        </w:rPr>
        <w:t xml:space="preserve">7. Módulo de disponibilidad</w:t>
      </w:r>
    </w:p>
    <w:p w:rsidR="00000000" w:rsidDel="00000000" w:rsidP="00000000" w:rsidRDefault="00000000" w:rsidRPr="00000000" w14:paraId="00000024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Permite configurar la agenda del prestador y definir los bloques horarios disponibles para recibir reservas.</w:t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760720" cy="4480560"/>
            <wp:effectExtent b="0" l="0" r="0" t="0"/>
            <wp:docPr id="1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805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Figura 9. Mockup del calendario de disponibilidad.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r w:rsidDel="00000000" w:rsidR="00000000" w:rsidRPr="00000000">
        <w:rPr>
          <w:rtl w:val="0"/>
        </w:rPr>
        <w:t xml:space="preserve">8. Perfil multicategoría y solicitudes</w:t>
      </w:r>
    </w:p>
    <w:p w:rsidR="00000000" w:rsidDel="00000000" w:rsidP="00000000" w:rsidRDefault="00000000" w:rsidRPr="00000000" w14:paraId="00000028">
      <w:pPr>
        <w:spacing w:line="240" w:lineRule="auto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El prestador puede configurar las categorías que ofrece, su información visual y las comunas de cobertura. También puede revisar y gestionar las solicitudes recibidas.</w:t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5760720" cy="3912131"/>
            <wp:effectExtent b="0" l="0" r="0" t="0"/>
            <wp:docPr id="2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121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Figura 10. Mockup del perfil multicategoría y cobertura.</w:t>
      </w:r>
      <w:r w:rsidDel="00000000" w:rsidR="00000000" w:rsidRPr="00000000">
        <w:rPr>
          <w:rtl w:val="0"/>
        </w:rPr>
      </w:r>
    </w:p>
    <w:sectPr>
      <w:headerReference r:id="rId17" w:type="default"/>
      <w:footerReference r:id="rId18" w:type="default"/>
      <w:pgSz w:h="15840" w:w="12240" w:orient="portrait"/>
      <w:pgMar w:bottom="1440" w:top="1440" w:left="1800" w:right="1800" w:header="283.46456692913387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e6e6e"/>
        <w:sz w:val="16"/>
        <w:szCs w:val="16"/>
        <w:u w:val="none"/>
        <w:shd w:fill="auto" w:val="clear"/>
        <w:vertAlign w:val="baseline"/>
        <w:rtl w:val="0"/>
      </w:rPr>
      <w:t xml:space="preserve">Brasa · Documento de mockups ·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tabs>
        <w:tab w:val="center" w:leader="none" w:pos="4419"/>
        <w:tab w:val="right" w:leader="none" w:pos="8838"/>
      </w:tabs>
      <w:spacing w:after="0" w:line="240" w:lineRule="auto"/>
      <w:rPr/>
    </w:pPr>
    <w:r w:rsidDel="00000000" w:rsidR="00000000" w:rsidRPr="00000000">
      <w:rPr>
        <w:rFonts w:ascii="Calibri" w:cs="Calibri" w:eastAsia="Calibri" w:hAnsi="Calibri"/>
        <w:sz w:val="22"/>
        <w:szCs w:val="22"/>
      </w:rPr>
      <w:drawing>
        <wp:inline distB="0" distT="0" distL="0" distR="0">
          <wp:extent cx="1928813" cy="426728"/>
          <wp:effectExtent b="0" l="0" r="0" t="0"/>
          <wp:docPr id="1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28813" cy="42672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Play" w:cs="Play" w:eastAsia="Play" w:hAnsi="Play"/>
      <w:b w:val="1"/>
      <w:bCs w:val="1"/>
      <w:color w:val="d9410f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Play" w:cs="Play" w:eastAsia="Play" w:hAnsi="Play"/>
      <w:b w:val="1"/>
      <w:bCs w:val="1"/>
      <w:color w:val="17365d"/>
      <w:sz w:val="50"/>
      <w:szCs w:val="50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5.png"/><Relationship Id="rId13" Type="http://schemas.openxmlformats.org/officeDocument/2006/relationships/image" Target="media/image6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7" Type="http://schemas.openxmlformats.org/officeDocument/2006/relationships/header" Target="header1.xml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footer" Target="footer1.xm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iOuxe4BJkrvIho3hDYjdpSDbMA==">CgMxLjA4AHIhMWk0cTFUdVRvYl9FaVNta09KRk5ic1R3VzlhOHByNmRt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