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APT - 04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Duración dinámica, agenda y trabajo colaborativo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Felipe Molina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24-08-2026</w:t>
            </w:r>
          </w:p>
        </w:tc>
        <w:tc>
          <w:tcPr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Brasa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97.0" w:type="dxa"/>
        <w:tblLayout w:type="fixed"/>
        <w:tblLook w:val="0000"/>
      </w:tblPr>
      <w:tblGrid>
        <w:gridCol w:w="3945"/>
        <w:gridCol w:w="1560"/>
        <w:gridCol w:w="1560"/>
        <w:gridCol w:w="3255"/>
        <w:tblGridChange w:id="0">
          <w:tblGrid>
            <w:gridCol w:w="3945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7"/>
              </w:num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ber.rivas@duocuc.cl</w:t>
            </w:r>
          </w:p>
        </w:tc>
      </w:tr>
      <w:tr>
        <w:trPr>
          <w:cantSplit w:val="0"/>
          <w:trHeight w:val="61.406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ad.lecaros@duocuc.cl</w:t>
            </w:r>
          </w:p>
        </w:tc>
      </w:tr>
      <w:tr>
        <w:trPr>
          <w:cantSplit w:val="0"/>
          <w:trHeight w:val="316.40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StudenTech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991067458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fe.molinae@duocuc.cl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>
            <w:r/>
            <w:r>
              <w:rPr>
                <w:rFonts w:ascii="Arial" w:hAnsi="Arial"/>
                <w:sz w:val="17"/>
              </w:rPr>
              <w:t>Temas tratados en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Lógica de duración y bloqueo de agenda del prestador.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Configuración de tiempos operativos antes y después del evento.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7"/>
              </w:rPr>
              <w:t>•  Sincronización del repositorio, ramas y mejoras del catálogo.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sz w:val="16"/>
              </w:rPr>
              <w:t>Detalle de la reunión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define que la duración de un servicio puede aumentar según la cantidad de invitados; por ejemplo, una duración base puede cubrir un tramo de personas y sumar horas por bloques adicionales.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incorporan márgenes de preparación/traslado antes del evento y tiempo posterior para limpieza o logística, los cuales bloquean agenda pero no necesariamente se cobran al cliente.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prueba el bloqueo temporal de solicitudes pendientes y la liberación del horario cuando una solicitud expira, evitando mantener agenda ocupada indefinidamente.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El equipo organiza el trabajo con Git mediante ramas individuales, sincronización local, commits, push, Pull Request y merge para integrar cambios sin sobrescribir el trabajo de otros integrantes.</w:t>
            </w:r>
          </w:p>
          <w:p>
            <w:pPr>
              <w:ind w:left="240" w:hanging="160"/>
            </w:pPr>
            <w:r>
              <w:rPr>
                <w:rFonts w:ascii="Arial" w:hAnsi="Arial"/>
                <w:sz w:val="16"/>
              </w:rPr>
              <w:t>•  Se avanza en la ampliación del catálogo, incluyendo la categoría Parrilleros Veganos y la normalización de rutas con guiones para evitar errores de navegación.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Agenda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Usar duración dinámica y buffers operativos para calcular el intervalo real que debe bloquearse.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Control de versiones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Cada integrante trabajará en su rama y los cambios se integrarán mediante revisión y merge.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Catálogo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>
            <w:r/>
            <w:r>
              <w:rPr>
                <w:rFonts w:ascii="Arial" w:hAnsi="Arial"/>
                <w:b w:val="0"/>
                <w:sz w:val="16"/>
              </w:rPr>
              <w:t>Mantener slugs de categorías estandarizados con guiones y validar su navegación antes de integrarlos.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7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Completar pruebas de duración, expiración y cruces horarios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Adriano Lecaros Duque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Probar flujo completo como cliente y prestador y registrar 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Bernardita Rivas Salinas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r/>
            <w:r>
              <w:rPr>
                <w:rFonts w:ascii="Arial" w:hAnsi="Arial"/>
                <w:b w:val="0"/>
                <w:sz w:val="16"/>
              </w:rPr>
              <w:t>Apoyar sincronización de ramas e integración de cambios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26-08-2026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Felipe Molina Escobar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>
            <w:r/>
            <w:r>
              <w:rPr>
                <w:rFonts w:ascii="Arial" w:hAnsi="Arial"/>
                <w:b w:val="0"/>
                <w:sz w:val="16"/>
              </w:rPr>
              <w:t>Se prioriza que la agenda represente el tiempo operativo real del prestador y que los cambios del equipo queden trazables en Git.</w:t>
            </w:r>
          </w:p>
        </w:tc>
      </w:tr>
    </w:tbl>
    <w:p w:rsidR="00000000" w:rsidDel="00000000" w:rsidP="00000000" w:rsidRDefault="00000000" w:rsidRPr="00000000" w14:paraId="00000068">
      <w:pPr>
        <w:numPr>
          <w:ilvl w:val="5"/>
          <w:numId w:val="7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-25399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B">
          <w:pPr>
            <w:numPr>
              <w:ilvl w:val="5"/>
              <w:numId w:val="7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C">
          <w:pPr>
            <w:numPr>
              <w:ilvl w:val="5"/>
              <w:numId w:val="7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numPr>
        <w:ilvl w:val="5"/>
        <w:numId w:val="7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 w:val="1"/>
    <w:pPr>
      <w:keepNext w:val="1"/>
      <w:numPr>
        <w:ilvl w:val="0"/>
        <w:numId w:val="1"/>
      </w:numPr>
      <w:spacing w:after="60" w:before="120"/>
      <w:outlineLvl w:val="0"/>
    </w:pPr>
    <w:rPr>
      <w:rFonts w:ascii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 w:val="1"/>
    <w:pPr>
      <w:spacing w:line="240" w:lineRule="auto"/>
      <w:jc w:val="center"/>
    </w:pPr>
    <w:rPr>
      <w:rFonts w:ascii="Arial" w:hAnsi="Arial"/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rFonts w:ascii="Arial" w:hAnsi="Arial"/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vlP2tInnEdn28kCCb8nH9Fatlw==">CgMxLjA4AHIhMTY5X3B4UC1sY2gwVnpGdENsX0NSeEZBekQ1ZWExUFNR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