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APT - 05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Multicategoría, IA, pagos y reglas de reserva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Adriano Lecaros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26-08-2026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Brasa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ber.rivas@duocuc.cl</w:t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ad.lecaros@duocuc.cl</w:t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fe.molinae@duocuc.cl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>
            <w:r/>
            <w:r>
              <w:rPr>
                <w:rFonts w:ascii="Arial" w:hAnsi="Arial"/>
                <w:sz w:val="17"/>
              </w:rPr>
              <w:t>Temas tratados en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Evolución del prestador hacia múltiples categorías y servicios.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Revisión de reservas, expiración, IA y paquetes de servicios.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Definición preliminar de integración de pagos con Transbank.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sz w:val="16"/>
              </w:rPr>
              <w:t>Detalle de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valida que un mismo negocio pueda ofrecer varias categorías, por ejemplo Parrilleros y Mobiliario, sin crear cuentas separadas. Cada servicio mantiene su propia categoría.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acuerda evolucionar el perfil para que cada categoría tenga descripción, portada, galería, servicios y disponibilidad propios, evitando mostrar contenido de parrilla al ingresar desde Mobiliario.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revisa la lógica de duración dinámica por invitados, tiempos de preparación y limpieza, y expiración de solicitudes para liberar nuevamente la agenda.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revisa la integración de IA para recomendar prestadores utilizando disponibilidad y precios, además de apoyar el desarrollo y documentación del proyecto.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analiza Transbank Developer como pasarela de pago. Quedan pendientes de definición final el momento exacto del cobro y las reglas de cancelación.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acuerda centralizar la documentación del proyecto y mantener minutas periódicas del avance.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Multicategoría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Un prestador podrá ofrecer múltiples categorías bajo una sola cuenta, manteniendo servicios diferenciados por category_slug.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Perfil por categoría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Cada categoría del prestador deberá manejar contenido visual y disponibilidad propios.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Solicitudes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Mantener expiración automática de solicitudes pendientes para liberar la agenda si no son respondidas.</w:t>
            </w:r>
          </w:p>
        </w:tc>
      </w:tr>
      <w:tr>
        <w:tc>
          <w:tcPr>
            <w:tcW w:type="dxa" w:w="2977"/>
          </w:tcPr>
          <w:p>
            <w:r/>
            <w:r>
              <w:rPr>
                <w:rFonts w:ascii="Arial" w:hAnsi="Arial"/>
                <w:b w:val="0"/>
                <w:sz w:val="16"/>
              </w:rPr>
              <w:t>Pagos</w:t>
            </w:r>
          </w:p>
        </w:tc>
        <w:tc>
          <w:tcPr>
            <w:tcW w:type="dxa" w:w="7371"/>
          </w:tcPr>
          <w:p>
            <w:r/>
            <w:r>
              <w:rPr>
                <w:rFonts w:ascii="Arial" w:hAnsi="Arial"/>
                <w:b w:val="0"/>
                <w:sz w:val="16"/>
              </w:rPr>
              <w:t>Preparar integración con Transbank Developer; la política final de pago/cancelación se validará antes de cerrar el flujo.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Completar configuración multicategoría y disponibilidad por 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Crear/probar un perfil realista y reportar errores de experiencia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Revisar documentación y apoyar integración del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b w:val="0"/>
                <w:sz w:val="16"/>
              </w:rPr>
              <w:t>La reunión confirma que Brasa debe soportar negocios reales con más de un tipo de servicio. Las reglas definitivas de pago y cancelación quedan como punto abierto.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7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7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7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 w:val="1"/>
    <w:pPr>
      <w:keepNext w:val="1"/>
      <w:numPr>
        <w:ilvl w:val="0"/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lP2tInnEdn28kCCb8nH9Fatlw==">CgMxLjA4AHIhMTY5X3B4UC1sY2gwVnpGdENsX0NSeEZBekQ1ZWExUFNR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