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APT - 07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Pruebas funcionales del modelo multicategoría</w:t>
            </w:r>
          </w:p>
        </w:tc>
        <w:tc>
          <w:tcPr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Bernardita Rivas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31-08-2026</w:t>
            </w:r>
          </w:p>
        </w:tc>
        <w:tc>
          <w:tcPr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r>
              <w:rPr>
                <w:rFonts w:ascii="Arial" w:hAnsi="Arial"/>
              </w:rPr>
              <w:t>Brasa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Bernardita Rivas Salinas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ber.rivas@duocuc.cl</w:t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Adriano Lecaros Duque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ad.lecaros@duocuc.cl</w:t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Felipe Molina Escobar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fe.molinae@duocuc.cl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>
            <w:r>
              <w:rPr>
                <w:rFonts w:ascii="Arial" w:hAnsi="Arial"/>
              </w:rPr>
              <w:t>Temas tratados en la reunión</w:t>
              <w:br/>
              <w:t>•  Pruebas integrales de perfiles y servicios por categoría.</w:t>
              <w:br/>
              <w:t>•  Validación de reservas simultáneas y reglas de disponibilidad.</w:t>
              <w:br/>
              <w:t>•  Registro de incidencias y ajustes de experiencia de usuario.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>
              <w:rPr>
                <w:rFonts w:ascii="Arial" w:hAnsi="Arial"/>
              </w:rPr>
              <w:t>Detalle de la reunión</w:t>
              <w:br/>
              <w:t>•  Se realizan pruebas sobre el perfil de Parrilla Premium utilizando las categorías Parrilleros y Mobiliario, verificando que cada categoría muestre únicamente sus servicios, descripción, portada y galería asociada.</w:t>
              <w:br/>
              <w:t>•  Se valida el criterio de agenda independiente por categoría: una reserva de Parrilleros no debe bloquear Mobiliario, mientras que dos servicios de la misma categoría sí deben detectar cruces de horario.</w:t>
              <w:br/>
              <w:t>•  Se revisa el cálculo de duración dinámica según cantidad de invitados y los márgenes de preparación y tiempo posterior, confirmando que estos tiempos se utilicen para bloquear la agenda sin cobrarse como horas contratadas.</w:t>
              <w:br/>
              <w:t>•  Se comprueban los distintos modelos de cobro del catálogo: por evento, por persona, por hora, por unidad y por pack, manteniendo quantity en los servicios que requieren cantidad.</w:t>
              <w:br/>
              <w:t>•  El equipo registra observaciones de interfaz y prioriza correcciones que afecten directamente el flujo cliente-prestador antes de ampliar nuevas funcionalidades.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Perfil multicategoría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Validar que portada, galería, servicios y disponibilidad se presenten de forma independiente para cada categoría.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Reservas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Mantener bloqueo por categoría y conservar duración dinámica, buffers y expiración de solicitudes.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Pruebas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>
              <w:rPr>
                <w:rFonts w:ascii="Arial" w:hAnsi="Arial"/>
              </w:rPr>
              <w:t>Priorizar errores funcionales del flujo principal antes de incorporar mejoras secundarias.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Ejecutar casos de prueba como cliente y prestador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02-09-2026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Registrar problemas de interfaz y flujo encontrados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02-09-2026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Bernardita Rivas Salinas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Revisar lógica de disponibilidad y reservas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02-09-2026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>
              <w:rPr>
                <w:rFonts w:ascii="Arial" w:hAnsi="Arial"/>
              </w:rPr>
              <w:t>Adriano Lecaros Duque</w:t>
            </w:r>
          </w:p>
        </w:tc>
      </w:tr>
      <w:tr>
        <w:tc>
          <w:tcPr>
            <w:tcW w:type="dxa" w:w="2977"/>
          </w:tcPr>
          <w:p>
            <w:r>
              <w:rPr>
                <w:rFonts w:ascii="Arial" w:hAnsi="Arial"/>
              </w:rPr>
              <w:t>Verificar cambios integrados en repositorio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</w:rPr>
              <w:t>02-09-2026</w:t>
            </w:r>
          </w:p>
        </w:tc>
        <w:tc>
          <w:tcPr>
            <w:tcW w:type="dxa" w:w="5103"/>
          </w:tcPr>
          <w:p>
            <w:r>
              <w:rPr>
                <w:rFonts w:ascii="Arial" w:hAnsi="Arial"/>
              </w:rPr>
              <w:t>Felipe Molina Escobar</w:t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>
              <w:rPr>
                <w:rFonts w:ascii="Arial" w:hAnsi="Arial"/>
              </w:rPr>
              <w:t>Las pruebas se concentran en demostrar que el modelo multicategoría funciona sin duplicar prestadores y que la agenda mantiene coherencia con el tipo de servicio contratado.</w:t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7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7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7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 w:val="1"/>
    <w:pPr>
      <w:keepNext w:val="1"/>
      <w:numPr>
        <w:ilvl w:val="0"/>
        <w:numId w:val="1"/>
      </w:numPr>
      <w:spacing w:after="60" w:before="120"/>
      <w:outlineLvl w:val="0"/>
    </w:pPr>
    <w:rPr>
      <w:rFonts w:ascii="Arial" w:hAnsi="Arial"/>
      <w:b w:val="1"/>
      <w:sz w:val="24"/>
    </w:rPr>
  </w:style>
  <w:style w:type="paragraph" w:styleId="Ttulo2">
    <w:name w:val="heading 2"/>
    <w:basedOn w:val="Ttulo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Ttulo4">
    <w:name w:val="heading 4"/>
    <w:basedOn w:val="Ttulo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 w:val="1"/>
    <w:pPr>
      <w:numPr>
        <w:numId w:val="1"/>
      </w:numPr>
      <w:spacing w:after="60" w:before="240"/>
      <w:outlineLvl w:val="5"/>
    </w:pPr>
    <w:rPr>
      <w:i w:val="1"/>
      <w:sz w:val="2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tulo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lP2tInnEdn28kCCb8nH9Fatlw==">CgMxLjA4AHIhMTY5X3B4UC1sY2gwVnpGdENsX0NSeEZBekQ1ZWExUFNR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