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APT - 08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Definición e integración del flujo de pagos</w:t>
            </w:r>
          </w:p>
        </w:tc>
        <w:tc>
          <w:tcPr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Bernardita Rivas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02-09-2026</w:t>
            </w:r>
          </w:p>
        </w:tc>
        <w:tc>
          <w:tcPr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Brasa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Bernardita Rivas Salinas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ber.rivas@duocuc.cl</w:t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Adriano Lecaros Duque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ad.lecaros@duocuc.cl</w:t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Felipe Molina Escobar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fe.molinae@duocuc.cl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>
            <w:r>
              <w:rPr>
                <w:rFonts w:ascii="Arial" w:hAnsi="Arial"/>
              </w:rPr>
              <w:t>Temas tratados en la reunión</w:t>
              <w:br/>
              <w:t>•  Diseño del flujo de pago asociado a la reserva.</w:t>
              <w:br/>
              <w:t>•  Integración de Transbank Developer en ambiente de pruebas.</w:t>
              <w:br/>
              <w:t>•  Revisión de estados de reserva, pago y expiración.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>
              <w:rPr>
                <w:rFonts w:ascii="Arial" w:hAnsi="Arial"/>
              </w:rPr>
              <w:t>Detalle de la reunión</w:t>
              <w:br/>
              <w:t>•  Se define que el pago debe integrarse al flujo de reserva de manera comprensible para el cliente, mostrando previamente el resumen del evento, servicios seleccionados y total calculado.</w:t>
              <w:br/>
              <w:t>•  Se trabaja con Transbank Developer en ambiente de pruebas, evitando transacciones reales durante esta etapa del proyecto y considerando los casos de aprobación, rechazo y retorno desde la pasarela.</w:t>
              <w:br/>
              <w:t>•  Se revisa la relación entre pago y bloqueo de agenda para evitar que una transacción incompleta deje un horario ocupado de forma indefinida.</w:t>
              <w:br/>
              <w:t>•  El equipo acuerda mantener separados los conceptos de subtotal, comisión de plataforma y total, de modo que el cálculo sea trazable y pueda validarse desde backend.</w:t>
              <w:br/>
              <w:t>•  Las reglas definitivas de cancelación y devolución se mantienen como decisión de negocio pendiente para una etapa posterior, evitando incorporarlas sin validación suficiente.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Pago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Utilizar Transbank Developer para validar técnicamente el flujo antes de considerar producción.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Reserva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El cliente debe visualizar el detalle y total antes de iniciar el pago; el sistema debe controlar estados fallidos o abandonados.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Cancelaciones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Documentar la necesidad, pero postergar porcentajes y plazos definitivos hasta contar con una regla de negocio acordada.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Implementar y probar flujo de Transbank en ambiente Developer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04-09-2026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Bernardita Rivas Salinas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Revisar consistencia entre reserva, pago y bloqueo de agenda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04-09-2026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Adriano Lecaros Duque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Preparar casos de prueba de pago aprobado y rechazado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04-09-2026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Felipe Molina Escobar</w:t>
            </w:r>
          </w:p>
        </w:tc>
      </w:tr>
      <w:tr>
        <w:tc>
          <w:tcPr>
            <w:tcW w:type="dxa" w:w="2977"/>
          </w:tcPr>
          <w:p>
            <w:r>
              <w:rPr>
                <w:rFonts w:ascii="Arial" w:hAnsi="Arial"/>
              </w:rPr>
              <w:t>Documentar resultados de integración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</w:rPr>
              <w:t>04-09-2026</w:t>
            </w:r>
          </w:p>
        </w:tc>
        <w:tc>
          <w:tcPr>
            <w:tcW w:type="dxa" w:w="5103"/>
          </w:tcPr>
          <w:p>
            <w:r>
              <w:rPr>
                <w:rFonts w:ascii="Arial" w:hAnsi="Arial"/>
              </w:rPr>
              <w:t>Todo el equipo</w:t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>
              <w:rPr>
                <w:rFonts w:ascii="Arial" w:hAnsi="Arial"/>
              </w:rPr>
              <w:t>La integración se realizará inicialmente con credenciales y tarjetas de prueba. No se habilitarán pagos reales en esta fase del proyecto.</w:t>
            </w:r>
          </w:p>
        </w:tc>
      </w:tr>
    </w:tbl>
    <w:p w:rsidR="00000000" w:rsidDel="00000000" w:rsidP="00000000" w:rsidRDefault="00000000" w:rsidRPr="00000000" w14:paraId="00000068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7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7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7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 w:val="1"/>
    <w:pPr>
      <w:keepNext w:val="1"/>
      <w:numPr>
        <w:ilvl w:val="0"/>
        <w:numId w:val="1"/>
      </w:numPr>
      <w:spacing w:after="60" w:before="120"/>
      <w:outlineLvl w:val="0"/>
    </w:pPr>
    <w:rPr>
      <w:rFonts w:ascii="Arial" w:hAnsi="Arial"/>
      <w:b w:val="1"/>
      <w:sz w:val="24"/>
    </w:rPr>
  </w:style>
  <w:style w:type="paragraph" w:styleId="Ttulo2">
    <w:name w:val="heading 2"/>
    <w:basedOn w:val="Ttulo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Ttulo4">
    <w:name w:val="heading 4"/>
    <w:basedOn w:val="Ttulo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 w:val="1"/>
    <w:pPr>
      <w:numPr>
        <w:numId w:val="1"/>
      </w:numPr>
      <w:spacing w:after="60" w:before="240"/>
      <w:outlineLvl w:val="5"/>
    </w:pPr>
    <w:rPr>
      <w:i w:val="1"/>
      <w:sz w:val="2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tulo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vlP2tInnEdn28kCCb8nH9Fatlw==">CgMxLjA4AHIhMTY5X3B4UC1sY2gwVnpGdENsX0NSeEZBekQ1ZWExUFNR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