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Inclusion / Exclusion Criteria — v3 (FINAL)</w:t>
      </w:r>
    </w:p>
    <w:p>
      <w:r>
        <w:rPr>
          <w:i/>
          <w:iCs/>
        </w:rPr>
        <w:t xml:space="preserve">Systematic Literature Review: The Effects of Vibe Coding and AI-Assisted Software Development</w:t>
      </w:r>
    </w:p>
    <w:p>
      <w:r>
        <w:rPr>
          <w:color w:val="555555"/>
          <w:sz w:val="20"/>
          <w:szCs w:val="20"/>
        </w:rPr>
        <w:t xml:space="preserve">Joint review and sign-off — Dania &amp; Faiqa | Week 1, Day 1-2 deliverable (FINAL) — supersedes v2</w:t>
      </w:r>
    </w:p>
    <w:p>
      <w:r>
        <w:rPr>
          <w:i/>
          <w:iCs/>
          <w:color w:val="808080"/>
          <w:sz w:val="18"/>
          <w:szCs w:val="18"/>
        </w:rPr>
        <w:t xml:space="preserve">Change from v2: added EC5 ("focuses solely on model-internal performance with no developer-facing outcome measured"), present in the 7-Week Plan's Appendix B master list but missing from v2. Relevant because benchmark-only vibe-coding papers (e.g. HumanEval/SWE-bench-style scores) are common in this literature and would otherwise pass screening undetected.</w:t>
      </w:r>
    </w:p>
    <w:p/>
    <w:p>
      <w:pPr>
        <w:pStyle w:val="Heading2"/>
      </w:pPr>
      <w:r>
        <w:t xml:space="preserve">1. Inclusion Criteria (IC)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shd w:fill="1F4E78" w:val="clear"/>
          </w:tcPr>
          <w:p>
            <w:r>
              <w:rPr>
                <w:b/>
                <w:bCs/>
                <w:color w:val="FFFFFF"/>
              </w:rPr>
              <w:t xml:space="preserve">ID</w:t>
            </w:r>
          </w:p>
        </w:tc>
        <w:tc>
          <w:tcPr>
            <w:tcW w:type="dxa" w:w="6960"/>
            <w:shd w:fill="1F4E78" w:val="clear"/>
          </w:tcPr>
          <w:p>
            <w:r>
              <w:rPr>
                <w:b/>
                <w:bCs/>
                <w:color w:val="FFFFFF"/>
              </w:rPr>
              <w:t xml:space="preserve">Criterion</w:t>
            </w:r>
          </w:p>
        </w:tc>
        <w:tc>
          <w:tcPr>
            <w:tcW w:type="dxa" w:w="1500"/>
            <w:shd w:fill="1F4E78" w:val="clear"/>
          </w:tcPr>
          <w:p>
            <w:r>
              <w:rPr>
                <w:b/>
                <w:bCs/>
                <w:color w:val="FFFFFF"/>
              </w:rPr>
              <w:t xml:space="preserve">Owner</w:t>
            </w:r>
          </w:p>
        </w:tc>
      </w:tr>
      <w:tr>
        <w:tc>
          <w:tcPr>
            <w:tcW w:type="dxa" w:w="900"/>
          </w:tcPr>
          <w:p>
            <w:r>
              <w:rPr>
                <w:b/>
                <w:bCs/>
              </w:rPr>
              <w:t xml:space="preserve">IC1</w:t>
            </w:r>
          </w:p>
        </w:tc>
        <w:tc>
          <w:tcPr>
            <w:tcW w:type="dxa" w:w="6960"/>
          </w:tcPr>
          <w:p>
            <w:r>
              <w:rPr>
                <w:b w:val="false"/>
                <w:bCs w:val="false"/>
              </w:rPr>
              <w:t xml:space="preserve">Study is a peer-reviewed empirical study: experiment, case study, survey, or mixed-methods design</w:t>
            </w:r>
          </w:p>
        </w:tc>
        <w:tc>
          <w:tcPr>
            <w:tcW w:type="dxa" w:w="1500"/>
          </w:tcPr>
          <w:p>
            <w:r>
              <w:rPr>
                <w:b w:val="false"/>
                <w:bCs w:val="false"/>
              </w:rPr>
              <w:t xml:space="preserve">Dania</w:t>
            </w:r>
          </w:p>
        </w:tc>
      </w:tr>
      <w:tr>
        <w:tc>
          <w:tcPr>
            <w:tcW w:type="dxa" w:w="900"/>
          </w:tcPr>
          <w:p>
            <w:r>
              <w:rPr>
                <w:b/>
                <w:bCs/>
              </w:rPr>
              <w:t xml:space="preserve">IC2</w:t>
            </w:r>
          </w:p>
        </w:tc>
        <w:tc>
          <w:tcPr>
            <w:tcW w:type="dxa" w:w="6960"/>
          </w:tcPr>
          <w:p>
            <w:r>
              <w:rPr>
                <w:b w:val="false"/>
                <w:bCs w:val="false"/>
              </w:rPr>
              <w:t xml:space="preserve">Study is explicitly about LLM-based coding tools (AI-assisted coding, AI pair-programming, or "vibe coding")</w:t>
            </w:r>
          </w:p>
        </w:tc>
        <w:tc>
          <w:tcPr>
            <w:tcW w:type="dxa" w:w="1500"/>
          </w:tcPr>
          <w:p>
            <w:r>
              <w:rPr>
                <w:b w:val="false"/>
                <w:bCs w:val="false"/>
              </w:rPr>
              <w:t xml:space="preserve">Dania</w:t>
            </w:r>
          </w:p>
        </w:tc>
      </w:tr>
      <w:tr>
        <w:tc>
          <w:tcPr>
            <w:tcW w:type="dxa" w:w="900"/>
          </w:tcPr>
          <w:p>
            <w:r>
              <w:rPr>
                <w:b/>
                <w:bCs/>
              </w:rPr>
              <w:t xml:space="preserve">IC3</w:t>
            </w:r>
          </w:p>
        </w:tc>
        <w:tc>
          <w:tcPr>
            <w:tcW w:type="dxa" w:w="6960"/>
          </w:tcPr>
          <w:p>
            <w:r>
              <w:rPr>
                <w:b w:val="false"/>
                <w:bCs w:val="false"/>
              </w:rPr>
              <w:t xml:space="preserve">Study reports on at least 1 of the 4 outcome areas: productivity, code quality, learning, or SE-practice change (RQ1-RQ4)</w:t>
            </w:r>
          </w:p>
        </w:tc>
        <w:tc>
          <w:tcPr>
            <w:tcW w:type="dxa" w:w="1500"/>
          </w:tcPr>
          <w:p>
            <w:r>
              <w:rPr>
                <w:b w:val="false"/>
                <w:bCs w:val="false"/>
              </w:rPr>
              <w:t xml:space="preserve">Dania</w:t>
            </w:r>
          </w:p>
        </w:tc>
      </w:tr>
      <w:tr>
        <w:tc>
          <w:tcPr>
            <w:tcW w:type="dxa" w:w="900"/>
          </w:tcPr>
          <w:p>
            <w:r>
              <w:rPr>
                <w:b/>
                <w:bCs/>
              </w:rPr>
              <w:t xml:space="preserve">IC4</w:t>
            </w:r>
          </w:p>
        </w:tc>
        <w:tc>
          <w:tcPr>
            <w:tcW w:type="dxa" w:w="6960"/>
          </w:tcPr>
          <w:p>
            <w:r>
              <w:rPr>
                <w:b w:val="false"/>
                <w:bCs w:val="false"/>
              </w:rPr>
              <w:t xml:space="preserve">Published in English</w:t>
            </w:r>
          </w:p>
        </w:tc>
        <w:tc>
          <w:tcPr>
            <w:tcW w:type="dxa" w:w="1500"/>
          </w:tcPr>
          <w:p>
            <w:r>
              <w:rPr>
                <w:b w:val="false"/>
                <w:bCs w:val="false"/>
              </w:rPr>
              <w:t xml:space="preserve">Dania</w:t>
            </w:r>
          </w:p>
        </w:tc>
      </w:tr>
      <w:tr>
        <w:tc>
          <w:tcPr>
            <w:tcW w:type="dxa" w:w="900"/>
          </w:tcPr>
          <w:p>
            <w:r>
              <w:rPr>
                <w:b/>
                <w:bCs/>
              </w:rPr>
              <w:t xml:space="preserve">IC5</w:t>
            </w:r>
          </w:p>
        </w:tc>
        <w:tc>
          <w:tcPr>
            <w:tcW w:type="dxa" w:w="6960"/>
          </w:tcPr>
          <w:p>
            <w:r>
              <w:rPr>
                <w:b w:val="false"/>
                <w:bCs w:val="false"/>
              </w:rPr>
              <w:t xml:space="preserve">Published between 2021 and 2026</w:t>
            </w:r>
          </w:p>
        </w:tc>
        <w:tc>
          <w:tcPr>
            <w:tcW w:type="dxa" w:w="1500"/>
          </w:tcPr>
          <w:p>
            <w:r>
              <w:rPr>
                <w:b w:val="false"/>
                <w:bCs w:val="false"/>
              </w:rPr>
              <w:t xml:space="preserve">Dania</w:t>
            </w:r>
          </w:p>
        </w:tc>
      </w:tr>
    </w:tbl>
    <w:p/>
    <w:p>
      <w:pPr>
        <w:pStyle w:val="Heading2"/>
      </w:pPr>
      <w:r>
        <w:t xml:space="preserve">2. Exclusion Criteria (EC)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shd w:fill="1F4E78" w:val="clear"/>
          </w:tcPr>
          <w:p>
            <w:r>
              <w:rPr>
                <w:b/>
                <w:bCs/>
                <w:color w:val="FFFFFF"/>
              </w:rPr>
              <w:t xml:space="preserve">ID</w:t>
            </w:r>
          </w:p>
        </w:tc>
        <w:tc>
          <w:tcPr>
            <w:tcW w:type="dxa" w:w="6960"/>
            <w:shd w:fill="1F4E78" w:val="clear"/>
          </w:tcPr>
          <w:p>
            <w:r>
              <w:rPr>
                <w:b/>
                <w:bCs/>
                <w:color w:val="FFFFFF"/>
              </w:rPr>
              <w:t xml:space="preserve">Criterion</w:t>
            </w:r>
          </w:p>
        </w:tc>
        <w:tc>
          <w:tcPr>
            <w:tcW w:type="dxa" w:w="1500"/>
            <w:shd w:fill="1F4E78" w:val="clear"/>
          </w:tcPr>
          <w:p>
            <w:r>
              <w:rPr>
                <w:b/>
                <w:bCs/>
                <w:color w:val="FFFFFF"/>
              </w:rPr>
              <w:t xml:space="preserve">Owner</w:t>
            </w:r>
          </w:p>
        </w:tc>
      </w:tr>
      <w:tr>
        <w:tc>
          <w:tcPr>
            <w:tcW w:type="dxa" w:w="900"/>
          </w:tcPr>
          <w:p>
            <w:r>
              <w:rPr>
                <w:b/>
                <w:bCs/>
              </w:rPr>
              <w:t xml:space="preserve">EC1</w:t>
            </w:r>
          </w:p>
        </w:tc>
        <w:tc>
          <w:tcPr>
            <w:tcW w:type="dxa" w:w="6960"/>
          </w:tcPr>
          <w:p>
            <w:r>
              <w:rPr>
                <w:b w:val="false"/>
                <w:bCs w:val="false"/>
              </w:rPr>
              <w:t xml:space="preserve">Opinion/vision papers with no data</w:t>
            </w:r>
          </w:p>
        </w:tc>
        <w:tc>
          <w:tcPr>
            <w:tcW w:type="dxa" w:w="1500"/>
          </w:tcPr>
          <w:p>
            <w:r>
              <w:rPr>
                <w:b w:val="false"/>
                <w:bCs w:val="false"/>
              </w:rPr>
              <w:t xml:space="preserve">Faiqa</w:t>
            </w:r>
          </w:p>
        </w:tc>
      </w:tr>
      <w:tr>
        <w:tc>
          <w:tcPr>
            <w:tcW w:type="dxa" w:w="900"/>
          </w:tcPr>
          <w:p>
            <w:r>
              <w:rPr>
                <w:b/>
                <w:bCs/>
              </w:rPr>
              <w:t xml:space="preserve">EC2</w:t>
            </w:r>
          </w:p>
        </w:tc>
        <w:tc>
          <w:tcPr>
            <w:tcW w:type="dxa" w:w="6960"/>
          </w:tcPr>
          <w:p>
            <w:r>
              <w:rPr>
                <w:b w:val="false"/>
                <w:bCs w:val="false"/>
              </w:rPr>
              <w:t xml:space="preserve">Pure tool papers with no evaluation</w:t>
            </w:r>
          </w:p>
        </w:tc>
        <w:tc>
          <w:tcPr>
            <w:tcW w:type="dxa" w:w="1500"/>
          </w:tcPr>
          <w:p>
            <w:r>
              <w:rPr>
                <w:b w:val="false"/>
                <w:bCs w:val="false"/>
              </w:rPr>
              <w:t xml:space="preserve">Faiqa</w:t>
            </w:r>
          </w:p>
        </w:tc>
      </w:tr>
      <w:tr>
        <w:tc>
          <w:tcPr>
            <w:tcW w:type="dxa" w:w="900"/>
          </w:tcPr>
          <w:p>
            <w:r>
              <w:rPr>
                <w:b/>
                <w:bCs/>
              </w:rPr>
              <w:t xml:space="preserve">EC3</w:t>
            </w:r>
          </w:p>
        </w:tc>
        <w:tc>
          <w:tcPr>
            <w:tcW w:type="dxa" w:w="6960"/>
          </w:tcPr>
          <w:p>
            <w:r>
              <w:rPr>
                <w:b w:val="false"/>
                <w:bCs w:val="false"/>
              </w:rPr>
              <w:t xml:space="preserve">Duplicate publications or extended-abstract versions (keep the most complete version)</w:t>
            </w:r>
          </w:p>
        </w:tc>
        <w:tc>
          <w:tcPr>
            <w:tcW w:type="dxa" w:w="1500"/>
          </w:tcPr>
          <w:p>
            <w:r>
              <w:rPr>
                <w:b w:val="false"/>
                <w:bCs w:val="false"/>
              </w:rPr>
              <w:t xml:space="preserve">Faiqa</w:t>
            </w:r>
          </w:p>
        </w:tc>
      </w:tr>
      <w:tr>
        <w:tc>
          <w:tcPr>
            <w:tcW w:type="dxa" w:w="900"/>
          </w:tcPr>
          <w:p>
            <w:r>
              <w:rPr>
                <w:b/>
                <w:bCs/>
              </w:rPr>
              <w:t xml:space="preserve">EC4</w:t>
            </w:r>
          </w:p>
        </w:tc>
        <w:tc>
          <w:tcPr>
            <w:tcW w:type="dxa" w:w="6960"/>
          </w:tcPr>
          <w:p>
            <w:r>
              <w:rPr>
                <w:b w:val="false"/>
                <w:bCs w:val="false"/>
              </w:rPr>
              <w:t xml:space="preserve">Non-English publications</w:t>
            </w:r>
          </w:p>
        </w:tc>
        <w:tc>
          <w:tcPr>
            <w:tcW w:type="dxa" w:w="1500"/>
          </w:tcPr>
          <w:p>
            <w:r>
              <w:rPr>
                <w:b w:val="false"/>
                <w:bCs w:val="false"/>
              </w:rPr>
              <w:t xml:space="preserve">Faiqa</w:t>
            </w:r>
          </w:p>
        </w:tc>
      </w:tr>
      <w:tr>
        <w:tc>
          <w:tcPr>
            <w:tcW w:type="dxa" w:w="900"/>
          </w:tcPr>
          <w:p>
            <w:r>
              <w:rPr>
                <w:b/>
                <w:bCs/>
              </w:rPr>
              <w:t xml:space="preserve">EC5</w:t>
            </w:r>
          </w:p>
        </w:tc>
        <w:tc>
          <w:tcPr>
            <w:tcW w:type="dxa" w:w="6960"/>
          </w:tcPr>
          <w:p>
            <w:r>
              <w:rPr>
                <w:b w:val="false"/>
                <w:bCs w:val="false"/>
              </w:rPr>
              <w:t xml:space="preserve">Focuses solely on model-internal performance (e.g. benchmark accuracy of a code-gen model) with no developer-facing outcome measured</w:t>
            </w:r>
          </w:p>
        </w:tc>
        <w:tc>
          <w:tcPr>
            <w:tcW w:type="dxa" w:w="1500"/>
          </w:tcPr>
          <w:p>
            <w:r>
              <w:rPr>
                <w:b w:val="false"/>
                <w:bCs w:val="false"/>
              </w:rPr>
              <w:t xml:space="preserve">Faiqa</w:t>
            </w:r>
          </w:p>
        </w:tc>
      </w:tr>
    </w:tbl>
    <w:p/>
    <w:p>
      <w:pPr>
        <w:pStyle w:val="Heading2"/>
      </w:pPr>
      <w:r>
        <w:t xml:space="preserve">3. Scope note</w:t>
      </w:r>
    </w:p>
    <w:p>
      <w:r>
        <w:t xml:space="preserve">This version scopes the review to peer-reviewed empirical literature only (IC1). This is narrower than the grey-literature / multivocal approach discussed earlier in planning — worth a quick explicit confirmation with your supervisor that grey lit (blogs, industry reports, vendor research) is intentionally out of scope for the primary study set, since "vibe coding" literature is recent enough that peer-reviewed coverage may be thin.</w:t>
      </w:r>
    </w:p>
    <w:p/>
    <w:p>
      <w:pPr>
        <w:pStyle w:val="Heading2"/>
      </w:pPr>
      <w:r>
        <w:t xml:space="preserve">4.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shd w:fill="1F4E78" w:val="clear"/>
          </w:tcPr>
          <w:p>
            <w:r>
              <w:rPr>
                <w:b/>
                <w:bCs/>
                <w:color w:val="FFFFFF"/>
              </w:rPr>
              <w:t xml:space="preserve">Reviewer</w:t>
            </w:r>
          </w:p>
        </w:tc>
        <w:tc>
          <w:tcPr>
            <w:tcW w:type="dxa" w:w="4000"/>
            <w:shd w:fill="1F4E78" w:val="clear"/>
          </w:tcPr>
          <w:p>
            <w:r>
              <w:rPr>
                <w:b/>
                <w:bCs/>
                <w:color w:val="FFFFFF"/>
              </w:rPr>
              <w:t xml:space="preserve">Role</w:t>
            </w:r>
          </w:p>
        </w:tc>
        <w:tc>
          <w:tcPr>
            <w:tcW w:type="dxa" w:w="3360"/>
            <w:shd w:fill="1F4E78" w:val="clear"/>
          </w:tcPr>
          <w:p>
            <w:r>
              <w:rPr>
                <w:b/>
                <w:bCs/>
                <w:color w:val="FFFFFF"/>
              </w:rPr>
              <w:t xml:space="preserve">Signature / Date</w:t>
            </w:r>
          </w:p>
        </w:tc>
      </w:tr>
      <w:tr>
        <w:tc>
          <w:tcPr>
            <w:tcW w:type="dxa" w:w="2000"/>
          </w:tcPr>
          <w:p>
            <w:r>
              <w:rPr>
                <w:b/>
                <w:bCs/>
              </w:rPr>
              <w:t xml:space="preserve">Dania</w:t>
            </w:r>
          </w:p>
        </w:tc>
        <w:tc>
          <w:tcPr>
            <w:tcW w:type="dxa" w:w="4000"/>
          </w:tcPr>
          <w:p>
            <w:r>
              <w:rPr>
                <w:b w:val="false"/>
                <w:bCs w:val="false"/>
              </w:rPr>
              <w:t xml:space="preserve">Inclusion criteria author</w:t>
            </w:r>
          </w:p>
        </w:tc>
        <w:tc>
          <w:tcPr>
            <w:tcW w:type="dxa" w:w="3360"/>
          </w:tcPr>
          <w:p>
            <w:r>
              <w:rPr>
                <w:b w:val="false"/>
                <w:bCs w:val="false"/>
              </w:rPr>
              <w:t xml:space="preserve">____________________</w:t>
            </w:r>
          </w:p>
        </w:tc>
      </w:tr>
      <w:tr>
        <w:tc>
          <w:tcPr>
            <w:tcW w:type="dxa" w:w="2000"/>
          </w:tcPr>
          <w:p>
            <w:r>
              <w:rPr>
                <w:b/>
                <w:bCs/>
              </w:rPr>
              <w:t xml:space="preserve">Faiqa</w:t>
            </w:r>
          </w:p>
        </w:tc>
        <w:tc>
          <w:tcPr>
            <w:tcW w:type="dxa" w:w="4000"/>
          </w:tcPr>
          <w:p>
            <w:r>
              <w:rPr>
                <w:b w:val="false"/>
                <w:bCs w:val="false"/>
              </w:rPr>
              <w:t xml:space="preserve">Exclusion criteria author</w:t>
            </w:r>
          </w:p>
        </w:tc>
        <w:tc>
          <w:tcPr>
            <w:tcW w:type="dxa" w:w="3360"/>
          </w:tcPr>
          <w:p>
            <w:r>
              <w:rPr>
                <w:b w:val="false"/>
                <w:bCs w:val="false"/>
              </w:rPr>
              <w:t xml:space="preserve">____________________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2026-07-08T18:23:05.275Z</dcterms:created>
  <dcterms:modified xsi:type="dcterms:W3CDTF">2026-07-08T18:23:05.275Z</dcterms:modified>
</cp:coreProperties>
</file>

<file path=docProps/custom.xml><?xml version="1.0" encoding="utf-8"?>
<Properties xmlns="http://schemas.openxmlformats.org/officeDocument/2006/custom-properties" xmlns:vt="http://schemas.openxmlformats.org/officeDocument/2006/docPropsVTypes"/>
</file>