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6E"/>
          <w:sz w:val="40"/>
        </w:rPr>
        <w:t>Segmentação e Classificação de Clientes Ford</w:t>
      </w:r>
    </w:p>
    <w:p>
      <w:pPr>
        <w:jc w:val="center"/>
      </w:pPr>
      <w:r>
        <w:rPr>
          <w:color w:val="1A3A6E"/>
          <w:sz w:val="28"/>
        </w:rPr>
        <w:t>Retenção na Rede Oficial de Serviços — Relatório de Resultados</w:t>
      </w:r>
    </w:p>
    <w:p/>
    <w:p>
      <w:pPr>
        <w:pStyle w:val="Heading2"/>
      </w:pPr>
      <w:r>
        <w:rPr>
          <w:color w:val="1A3A6E"/>
        </w:rPr>
        <w:t>Grupo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Nome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RM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Lucca Borges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554608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Ruan Melo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557599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Rodrigo Jimenez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558148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João Victor Franco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556790</w:t>
            </w:r>
          </w:p>
        </w:tc>
      </w:tr>
    </w:tbl>
    <w:p/>
    <w:p>
      <w:pPr>
        <w:spacing w:after="120"/>
      </w:pPr>
      <w:r>
        <w:rPr>
          <w:b/>
          <w:i w:val="0"/>
        </w:rPr>
        <w:t xml:space="preserve">Disciplina: </w:t>
      </w:r>
      <w:r>
        <w:rPr>
          <w:b w:val="0"/>
          <w:i w:val="0"/>
        </w:rPr>
        <w:t>Machine Learning — FIAP × Ford Brasil</w:t>
      </w:r>
    </w:p>
    <w:p/>
    <w:p>
      <w:pPr>
        <w:spacing w:after="120"/>
      </w:pPr>
      <w:r>
        <w:rPr>
          <w:i w:val="0"/>
          <w:sz w:val="22"/>
        </w:rPr>
        <w:t>Este relatório consolida a solução analítica em duas etapas: segmentação K-means + classificação multiclasse. Inclui simulação ROI por estratégia e plano de KPIs operacionais.</w:t>
      </w:r>
    </w:p>
    <w:p>
      <w:r>
        <w:br w:type="page"/>
      </w:r>
    </w:p>
    <w:p>
      <w:pPr>
        <w:pStyle w:val="Heading1"/>
      </w:pPr>
      <w:r>
        <w:rPr>
          <w:color w:val="1A3A6E"/>
        </w:rPr>
        <w:t>Sumário Executivo</w:t>
      </w:r>
    </w:p>
    <w:p>
      <w:pPr>
        <w:spacing w:after="120"/>
      </w:pPr>
      <w:r>
        <w:rPr>
          <w:b/>
          <w:i w:val="0"/>
        </w:rPr>
        <w:t xml:space="preserve">Etapa 1 — Segmentação: </w:t>
      </w:r>
      <w:r>
        <w:rPr>
          <w:b w:val="0"/>
          <w:i w:val="0"/>
        </w:rPr>
        <w:t>K-means k=4. ARI 0.5959 — concordância forte com perfil real.</w:t>
      </w:r>
    </w:p>
    <w:p>
      <w:pPr>
        <w:spacing w:after="120"/>
      </w:pPr>
      <w:r>
        <w:rPr>
          <w:b/>
          <w:i w:val="0"/>
        </w:rPr>
        <w:t xml:space="preserve">Etapa 2 — Classificação: </w:t>
      </w:r>
      <w:r>
        <w:rPr>
          <w:b w:val="0"/>
          <w:i w:val="0"/>
        </w:rPr>
        <w:t xml:space="preserve">XGBoost multiclasse com 23 features de Base 2, </w:t>
      </w:r>
      <w:r>
        <w:rPr>
          <w:b/>
          <w:i w:val="0"/>
        </w:rPr>
        <w:t>sem qualquer variável pós-compra</w:t>
      </w:r>
      <w:r>
        <w:rPr>
          <w:b w:val="0"/>
          <w:i w:val="0"/>
        </w:rPr>
        <w:t>. Accuracy 72,66%, F1 macro 0,7012.</w:t>
      </w:r>
    </w:p>
    <w:p>
      <w:pPr>
        <w:spacing w:after="120"/>
      </w:pPr>
      <w:r>
        <w:rPr>
          <w:b/>
          <w:i w:val="0"/>
        </w:rPr>
        <w:t xml:space="preserve">Achado financeiro: </w:t>
      </w:r>
      <w:r>
        <w:rPr>
          <w:b w:val="0"/>
          <w:i w:val="0"/>
        </w:rPr>
        <w:t>apenas o segmento esquecido tem ROI positivo (+184% em 5 anos) considerando receita de revisão isolada.</w:t>
      </w:r>
    </w:p>
    <w:p/>
    <w:p>
      <w:pPr>
        <w:pStyle w:val="Heading2"/>
      </w:pPr>
      <w:r>
        <w:rPr>
          <w:color w:val="1A3A6E"/>
        </w:rPr>
        <w:t>Métricas-chave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</w:tcPr>
          <w:p>
            <w:r>
              <w:rPr>
                <w:b/>
                <w:sz w:val="18"/>
              </w:rPr>
              <w:t>Métrica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Valor</w:t>
            </w:r>
          </w:p>
        </w:tc>
        <w:tc>
          <w:tcPr>
            <w:tcW w:type="dxa" w:w="4819"/>
          </w:tcPr>
          <w:p>
            <w:r>
              <w:rPr>
                <w:b/>
                <w:sz w:val="18"/>
              </w:rPr>
              <w:t>Interpretação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ARI (segmentação)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0.5959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Concordância forte com perfil real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NMI (segmentação)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0.5798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Idem, informação mútua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Silhouette score K-means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~0.45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Clusters bem separados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Accuracy XGBoost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72.66%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Acerta o perfil de 72,7% dos novos clientes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F1 macro XGBoost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0.7012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Performance consistente entre 4 classes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F1 weighted XGBoost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0.7233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Pondera pela frequência de cada classe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Precisão macro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0.7017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Qualidade das predições positivas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Recall macro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0.7043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Cobertura por classe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A6E"/>
        </w:rPr>
        <w:t>1. Entendimento do negócio e preparação dos dados</w:t>
      </w:r>
    </w:p>
    <w:p>
      <w:pPr>
        <w:spacing w:after="120"/>
      </w:pPr>
      <w:r>
        <w:rPr>
          <w:i w:val="0"/>
          <w:sz w:val="22"/>
        </w:rPr>
        <w:t>A Ford busca aumentar a retenção de clientes na rede oficial. Dataset 500k × 37 separado rigorosamente em Base 1 (histórico, para segmentação) e Base 2 (momento da compra, para classificação).</w:t>
      </w:r>
    </w:p>
    <w:p>
      <w:pPr>
        <w:pStyle w:val="ListBullet"/>
        <w:spacing w:after="40"/>
      </w:pPr>
      <w:r>
        <w:t>Base 1: 11 variáveis comportamentais pós-compra.</w:t>
      </w:r>
    </w:p>
    <w:p>
      <w:pPr>
        <w:pStyle w:val="ListBullet"/>
        <w:spacing w:after="40"/>
      </w:pPr>
      <w:r>
        <w:t>Base 2: 23 variáveis do ato da venda.</w:t>
      </w:r>
    </w:p>
    <w:p>
      <w:pPr>
        <w:spacing w:after="120"/>
      </w:pPr>
      <w:r>
        <w:rPr>
          <w:i w:val="0"/>
          <w:sz w:val="22"/>
        </w:rPr>
        <w:t>Limpeza: imputação mediana/moda; clipping no p99; encoding categórico após o split treino/teste.</w:t>
      </w:r>
    </w:p>
    <w:p>
      <w:pPr>
        <w:pStyle w:val="Heading2"/>
      </w:pPr>
      <w:r>
        <w:rPr>
          <w:color w:val="1A3A6E"/>
        </w:rPr>
        <w:t>Distribuições principais da Base 2: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9785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da_bas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78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1 — EDA das 6 variáveis numéricas centrais da Base 2</w:t>
      </w:r>
    </w:p>
    <w:p>
      <w:r>
        <w:br w:type="page"/>
      </w:r>
    </w:p>
    <w:p>
      <w:pPr>
        <w:pStyle w:val="Heading1"/>
      </w:pPr>
      <w:r>
        <w:rPr>
          <w:color w:val="1A3A6E"/>
        </w:rPr>
        <w:t>2. Segmentação de clientes (K-means)</w:t>
      </w:r>
    </w:p>
    <w:p>
      <w:pPr>
        <w:spacing w:after="120"/>
      </w:pPr>
      <w:r>
        <w:rPr>
          <w:i w:val="0"/>
          <w:sz w:val="22"/>
        </w:rPr>
        <w:t>K-means k=4 sobre 7 variáveis comportamentais. Justificativa via elbow + silhouette + aderência conceitual.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6177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lbow_silhouet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17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2 — Elbow method e silhouette score</w:t>
      </w:r>
    </w:p>
    <w:p>
      <w:pPr>
        <w:pStyle w:val="Heading2"/>
      </w:pPr>
      <w:r>
        <w:rPr>
          <w:color w:val="1A3A6E"/>
        </w:rPr>
        <w:t>Perfis dos 4 clusters: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3413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eatmap_clust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41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3 — Heatmap dos centroids normalizados</w:t>
      </w:r>
    </w:p>
    <w:p>
      <w:r>
        <w:br w:type="page"/>
      </w:r>
    </w:p>
    <w:p>
      <w:pPr>
        <w:pStyle w:val="Heading1"/>
      </w:pPr>
      <w:r>
        <w:rPr>
          <w:color w:val="1A3A6E"/>
        </w:rPr>
        <w:t>3. Interpretação semântica dos clusters</w:t>
      </w:r>
    </w:p>
    <w:p>
      <w:pPr>
        <w:spacing w:after="120"/>
      </w:pPr>
      <w:r>
        <w:rPr>
          <w:i w:val="0"/>
          <w:sz w:val="22"/>
        </w:rPr>
        <w:t>Atribuímos os 4 nomes via heurística de ranking. Validamos contra ground truth perfil_latente: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Cluster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Volume (n)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% do total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Churn cluster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Churn perfil real</w:t>
            </w:r>
          </w:p>
        </w:tc>
        <w:tc>
          <w:tcPr>
            <w:tcW w:type="dxa" w:w="2551"/>
          </w:tcPr>
          <w:p>
            <w:r>
              <w:rPr>
                <w:b/>
                <w:sz w:val="18"/>
              </w:rPr>
              <w:t>Aderência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fiel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153.359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30.7%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2.4%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&lt; 1%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94.1% bate fiel real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esquecido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128.256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25.7%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17.5%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~14%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69.3% bate esquecido real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econômico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112.956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22.6%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8.1%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~6%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81.2% bate econômico real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abandono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105.429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21.1%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33.8%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~50%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69.7% bate abandono real</w:t>
            </w:r>
          </w:p>
        </w:tc>
      </w:tr>
    </w:tbl>
    <w:p>
      <w:pPr>
        <w:spacing w:after="120"/>
      </w:pPr>
      <w:r>
        <w:rPr>
          <w:b/>
          <w:i w:val="0"/>
        </w:rPr>
        <w:t>ARI = 0.5959, NMI = 0.5798</w:t>
      </w:r>
      <w:r>
        <w:rPr>
          <w:b w:val="0"/>
          <w:i w:val="0"/>
        </w:rPr>
        <w:t xml:space="preserve"> — concordância forte. Os clusters não são puros (cluster 'abandono' contém ~70% de abandonos reais).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7651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alidacao_clus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65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4 — Validação cross-tab: % de cada cluster vs perfil real</w:t>
      </w:r>
    </w:p>
    <w:p>
      <w:r>
        <w:br w:type="page"/>
      </w:r>
    </w:p>
    <w:p>
      <w:pPr>
        <w:pStyle w:val="Heading1"/>
      </w:pPr>
      <w:r>
        <w:rPr>
          <w:color w:val="1A3A6E"/>
        </w:rPr>
        <w:t>4. Estratégia de retenção por segmento</w:t>
      </w:r>
    </w:p>
    <w:p>
      <w:pPr>
        <w:spacing w:after="120"/>
      </w:pPr>
      <w:r>
        <w:rPr>
          <w:i w:val="0"/>
          <w:sz w:val="22"/>
        </w:rPr>
        <w:t>Para cada segmento, propomos uma ação coerente: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Segmento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Estratégia recomendada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Custo/cliente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ROI esperado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fiel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Tratamento PREMIUM (sem ação ofensiva). Programa fidelidade, antecipação de slots, atendimento humanizado.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Baixo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Alto (preserva LTV)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econômico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INCENTIVO PROMOCIONAL. Voucher 15% revisão + óleo combo, pacote pré-pago de 3 revisões, frete grátis.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Médio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Médio-alto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esquecido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COMUNICAÇÃO ANTECIPADA + conveniência. SMS lembrete 30/15/3 dias, agendamento 1-clique, leva-e-traz, garantia estendida grátis.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Baixo (automação)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Alto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abandono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ABORDAGEM CONSULTIVA. Contato proativo do gerente, oferta primeira revisão grátis, diagnóstico técnico no carro independente, comparativo de preço transparente.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Médio (alguns recuperáveis)</w:t>
            </w:r>
          </w:p>
        </w:tc>
      </w:tr>
    </w:tbl>
    <w:p>
      <w:pPr>
        <w:pStyle w:val="Heading2"/>
      </w:pPr>
      <w:r>
        <w:rPr>
          <w:color w:val="1A3A6E"/>
        </w:rPr>
        <w:t>Simulação financeira do ROI (horizonte de 5 anos)</w:t>
      </w:r>
    </w:p>
    <w:p>
      <w:pPr>
        <w:spacing w:after="120"/>
      </w:pPr>
      <w:r>
        <w:rPr>
          <w:i w:val="0"/>
          <w:sz w:val="22"/>
        </w:rPr>
        <w:t>Premissas: ticket médio R$ 1.000 por revisão; margem 35%; horizonte 5 anos.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Segmento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n VINs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Receita anual (R$ M)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Custo 5a (R$ M)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Receita preservada (R$ M)</w:t>
            </w:r>
          </w:p>
        </w:tc>
        <w:tc>
          <w:tcPr>
            <w:tcW w:type="dxa" w:w="2041"/>
          </w:tcPr>
          <w:p>
            <w:r>
              <w:rPr>
                <w:b/>
                <w:sz w:val="18"/>
              </w:rPr>
              <w:t>ROI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esquecido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128.256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115,4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6,4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51,9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2.83x (+184%)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fiel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153.359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306,7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38,3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23,0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0.21x (-79%)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econômico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112.956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135,5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112,9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20,3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0.06x (-94%)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abandono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105.429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42,2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158,1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8,4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0.02x (-98%)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8910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oi_simulaca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91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5 — ROI por segmento + receita preservada vs custo</w:t>
      </w:r>
    </w:p>
    <w:p>
      <w:pPr>
        <w:pStyle w:val="Heading2"/>
      </w:pPr>
      <w:r>
        <w:rPr>
          <w:color w:val="1A3A6E"/>
        </w:rPr>
        <w:t>Conclusão financeira:</w:t>
      </w:r>
    </w:p>
    <w:p>
      <w:pPr>
        <w:pStyle w:val="ListBullet"/>
        <w:spacing w:after="40"/>
      </w:pPr>
      <w:r>
        <w:t>esquecido: único quick-win puro (ROI 2.83x, +184%). Implementar imediatamente.</w:t>
      </w:r>
    </w:p>
    <w:p>
      <w:pPr>
        <w:pStyle w:val="ListBullet"/>
        <w:spacing w:after="40"/>
      </w:pPr>
      <w:r>
        <w:t>fiel: ROI 0.21x — justifica-se pelo LTV de recompra (R$ 5-15k a cada ~5 anos).</w:t>
      </w:r>
    </w:p>
    <w:p>
      <w:pPr>
        <w:pStyle w:val="ListBullet"/>
        <w:spacing w:after="40"/>
      </w:pPr>
      <w:r>
        <w:t>econômico: ROI 0.06x — aplicar SOMENTE em top 20% LTV individual.</w:t>
      </w:r>
    </w:p>
    <w:p>
      <w:pPr>
        <w:pStyle w:val="ListBullet"/>
        <w:spacing w:after="40"/>
      </w:pPr>
      <w:r>
        <w:t>abandono: ROI 0.02x — não fazer campanha de massa, triagem manual.</w:t>
      </w:r>
    </w:p>
    <w:p>
      <w:r>
        <w:br w:type="page"/>
      </w:r>
    </w:p>
    <w:p>
      <w:pPr>
        <w:pStyle w:val="Heading1"/>
      </w:pPr>
      <w:r>
        <w:rPr>
          <w:color w:val="1A3A6E"/>
        </w:rPr>
        <w:t>5–6. Modelagem preditiva (Base 2 sem leak)</w:t>
      </w:r>
    </w:p>
    <w:p>
      <w:pPr>
        <w:spacing w:after="120"/>
      </w:pPr>
      <w:r>
        <w:rPr>
          <w:b/>
          <w:i w:val="0"/>
        </w:rPr>
        <w:t xml:space="preserve">Target: </w:t>
      </w:r>
      <w:r>
        <w:rPr>
          <w:b w:val="0"/>
          <w:i w:val="0"/>
        </w:rPr>
        <w:t xml:space="preserve">cluster_name do K-means. </w:t>
      </w:r>
      <w:r>
        <w:rPr>
          <w:b/>
          <w:i w:val="0"/>
        </w:rPr>
        <w:t xml:space="preserve">Features: </w:t>
      </w:r>
      <w:r>
        <w:rPr>
          <w:b w:val="0"/>
          <w:i w:val="0"/>
        </w:rPr>
        <w:t>23 variáveis exclusivas da Base 2 (momento da compra).</w:t>
      </w:r>
    </w:p>
    <w:p>
      <w:pPr>
        <w:spacing w:after="120"/>
      </w:pPr>
      <w:r>
        <w:rPr>
          <w:b/>
          <w:i w:val="0"/>
        </w:rPr>
        <w:t xml:space="preserve">Variáveis banidas: </w:t>
      </w:r>
      <w:r>
        <w:rPr>
          <w:b w:val="0"/>
          <w:i w:val="0"/>
        </w:rPr>
        <w:t>primeira revisão, qtde revisões 24m, share na rede, gasto, satisfação 24m, churn observado — toda variável pós-compra.</w:t>
      </w:r>
    </w:p>
    <w:p>
      <w:pPr>
        <w:pStyle w:val="Heading2"/>
      </w:pPr>
      <w:r>
        <w:rPr>
          <w:color w:val="1A3A6E"/>
        </w:rPr>
        <w:t>Comparação de algoritmos: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154"/>
          </w:tcPr>
          <w:p>
            <w:r>
              <w:rPr>
                <w:b/>
                <w:sz w:val="18"/>
              </w:rPr>
              <w:t>Modelo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F1 macro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F1 weighted</w:t>
            </w:r>
          </w:p>
        </w:tc>
        <w:tc>
          <w:tcPr>
            <w:tcW w:type="dxa" w:w="1531"/>
          </w:tcPr>
          <w:p>
            <w:r>
              <w:rPr>
                <w:b/>
                <w:sz w:val="18"/>
              </w:rPr>
              <w:t>Precision macro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Recall macro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Logistic Regression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0.7180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0.6870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0.7106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0.6887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0.6923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0.7194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0.6872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0.7106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0.6910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0.6942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XGBoost (vencedor)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0.7266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0.7012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0.7233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0.7017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0.7043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105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mparacao_model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10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6 — Comparação dos 3 modelos</w:t>
      </w:r>
    </w:p>
    <w:p>
      <w:pPr>
        <w:pStyle w:val="Heading2"/>
      </w:pPr>
      <w:r>
        <w:rPr>
          <w:color w:val="1A3A6E"/>
        </w:rPr>
        <w:t>Performance do XGBoost por classe: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Classe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Recall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F1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Suporte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abandono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0.5291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0.4435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0.4825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21.086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econômico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0.6401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0.7349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0.6842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22.591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esquecido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0.7040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0.7100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0.7070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25.651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fiel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0.9335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0.9289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0.9312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30.672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3097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atriz_confus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09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7 — Matriz de confusão do XGBoost</w:t>
      </w:r>
    </w:p>
    <w:p>
      <w:r>
        <w:br w:type="page"/>
      </w:r>
    </w:p>
    <w:p>
      <w:pPr>
        <w:pStyle w:val="Heading1"/>
      </w:pPr>
      <w:r>
        <w:rPr>
          <w:color w:val="1A3A6E"/>
        </w:rPr>
        <w:t>7. Leitura executiva</w:t>
      </w:r>
    </w:p>
    <w:p>
      <w:pPr>
        <w:spacing w:after="120"/>
      </w:pPr>
      <w:r>
        <w:rPr>
          <w:b/>
          <w:i w:val="0"/>
        </w:rPr>
        <w:t xml:space="preserve">1) Segmentos encontrados: </w:t>
      </w:r>
      <w:r>
        <w:rPr>
          <w:b w:val="0"/>
          <w:i w:val="0"/>
        </w:rPr>
        <w:t>fiel (30.7%), esquecido (25.7%), econômico (22.6%), abandono (21.1%).</w:t>
      </w:r>
    </w:p>
    <w:p>
      <w:pPr>
        <w:spacing w:after="120"/>
      </w:pPr>
      <w:r>
        <w:rPr>
          <w:b/>
          <w:i w:val="0"/>
        </w:rPr>
        <w:t xml:space="preserve">2) Maior risco: </w:t>
      </w:r>
      <w:r>
        <w:rPr>
          <w:b w:val="0"/>
          <w:i w:val="0"/>
        </w:rPr>
        <w:t>abandono (33.8%) → esquecido (17.5%) → econômico (8.1%) → fiel (2.4%).</w:t>
      </w:r>
    </w:p>
    <w:p>
      <w:pPr>
        <w:spacing w:after="120"/>
      </w:pPr>
      <w:r>
        <w:rPr>
          <w:b/>
          <w:i w:val="0"/>
        </w:rPr>
        <w:t xml:space="preserve">3) Sensibilidade comercial: </w:t>
      </w:r>
      <w:r>
        <w:rPr>
          <w:b w:val="0"/>
          <w:i w:val="0"/>
        </w:rPr>
        <w:t>econômico (preço) e esquecido (conveniência) respondem bem; abandono exige consultivo.</w:t>
      </w:r>
    </w:p>
    <w:p>
      <w:pPr>
        <w:spacing w:after="120"/>
      </w:pPr>
      <w:r>
        <w:rPr>
          <w:b/>
          <w:i w:val="0"/>
        </w:rPr>
        <w:t xml:space="preserve">4) Performance: </w:t>
      </w:r>
      <w:r>
        <w:rPr>
          <w:b w:val="0"/>
          <w:i w:val="0"/>
        </w:rPr>
        <w:t>XGBoost 72.66% accuracy, F1 macro 0.7012 usando exclusivamente Base 2.</w:t>
      </w:r>
    </w:p>
    <w:p>
      <w:pPr>
        <w:spacing w:after="120"/>
      </w:pPr>
      <w:r>
        <w:rPr>
          <w:b/>
          <w:i w:val="0"/>
        </w:rPr>
        <w:t xml:space="preserve">5) Aplicação operacional: </w:t>
      </w:r>
      <w:r>
        <w:rPr>
          <w:b w:val="0"/>
          <w:i w:val="0"/>
        </w:rPr>
        <w:t>CRM captura 23 variáveis → XGBoost prediz segmento → playbook automatizado.</w:t>
      </w:r>
    </w:p>
    <w:p>
      <w:pPr>
        <w:pStyle w:val="Heading2"/>
      </w:pPr>
      <w:r>
        <w:rPr>
          <w:color w:val="1A3A6E"/>
        </w:rPr>
        <w:t>KPIs técnicos (saúde do modelo)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</w:tcPr>
          <w:p>
            <w:r>
              <w:rPr>
                <w:b/>
                <w:sz w:val="18"/>
              </w:rPr>
              <w:t>KPI técnico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Threshold de alerta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Frequência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Ação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F1 macro do modelo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&lt; 0.65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Mensal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Re-treinar com 6m de Base 1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Accuracy global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&lt; 70%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Mensal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Auditoria de drift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ROC-AUC por classe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&lt; 0.75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Mensal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Investigar viés por modelo/região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Drift KS-statistic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&gt; 0.10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Semanal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Recalibrar + retreino preventivo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% predições "abandono"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&gt; 30% ou &lt; 10%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Semanal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Investigar outlier de mercado</w:t>
            </w:r>
          </w:p>
        </w:tc>
      </w:tr>
    </w:tbl>
    <w:p>
      <w:pPr>
        <w:pStyle w:val="Heading2"/>
      </w:pPr>
      <w:r>
        <w:rPr>
          <w:color w:val="1A3A6E"/>
        </w:rPr>
        <w:t>KPIs de negócio (impacto operacional)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</w:tcPr>
          <w:p>
            <w:r>
              <w:rPr>
                <w:b/>
                <w:sz w:val="18"/>
              </w:rPr>
              <w:t>KPI de negócio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Meta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Alerta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Ação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Retenção 24m por segmento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Δ +5pp em 12m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Δ &lt; +2pp em 6m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Revisar playbook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ROI da campanha (5a)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&gt; 2.0x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&lt; 1.0x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Suspender campanha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NPS pós-revisão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&gt; 50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&lt; 30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Auditoria de qualidade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Conversão abandono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&gt; 5% recuperação/ano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&lt; 2%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Repensar abordagem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Custo por cliente retido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&lt; R$ 200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&gt; R$ 500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Re-segmentar antes de expandir</w:t>
            </w:r>
          </w:p>
        </w:tc>
      </w:tr>
    </w:tbl>
    <w:p>
      <w:pPr>
        <w:pStyle w:val="Heading2"/>
      </w:pPr>
      <w:r>
        <w:rPr>
          <w:color w:val="1A3A6E"/>
        </w:rPr>
        <w:t>SLAs operacionais</w:t>
      </w:r>
    </w:p>
    <w:p>
      <w:pPr>
        <w:pStyle w:val="ListBullet"/>
        <w:spacing w:after="40"/>
      </w:pPr>
      <w:r>
        <w:t>Scoring: &lt; 200ms por VIN (real-time no fechamento da venda).</w:t>
      </w:r>
    </w:p>
    <w:p>
      <w:pPr>
        <w:pStyle w:val="ListBullet"/>
        <w:spacing w:after="40"/>
      </w:pPr>
      <w:r>
        <w:t>Deploy: quinzenal, rollback automático se accuracy cair &gt; 3pp.</w:t>
      </w:r>
    </w:p>
    <w:p>
      <w:pPr>
        <w:pStyle w:val="ListBullet"/>
        <w:spacing w:after="40"/>
      </w:pPr>
      <w:r>
        <w:t>Auditoria humana: 1% dos clientes de alto LTV (&gt;R$100k) revisados por gerente sênior.</w:t>
      </w:r>
    </w:p>
    <w:p>
      <w:pPr>
        <w:pStyle w:val="ListBullet"/>
        <w:spacing w:after="40"/>
      </w:pPr>
      <w:r>
        <w:t>Re-treino completo: trimestral, sliding window de 24 meses.</w:t>
      </w:r>
    </w:p>
    <w:p>
      <w:pPr>
        <w:pStyle w:val="Heading2"/>
      </w:pPr>
      <w:r>
        <w:rPr>
          <w:color w:val="1A3A6E"/>
        </w:rPr>
        <w:t>Conclusão</w:t>
      </w:r>
    </w:p>
    <w:p>
      <w:pPr>
        <w:spacing w:after="120"/>
      </w:pPr>
      <w:r>
        <w:rPr>
          <w:i w:val="0"/>
          <w:sz w:val="22"/>
        </w:rPr>
        <w:t>✅ Os 4 perfis hipotetizados são confirmados pelos dados (ARI 0.5959).</w:t>
        <w:br/>
        <w:t>✅ F1 macro 0.70 usando exclusivamente Base 2 — sem leakage.</w:t>
        <w:br/>
        <w:t>✅ Simulação ROI revela quick-win em esquecidos (R$ 51.9M / 5 anos).</w:t>
        <w:br/>
        <w:t>✅ KPIs e SLAs propostos transformam a POC em ferramenta operacional auditável.</w:t>
        <w:br/>
        <w:t>✅ Solução deployable: 23 variáveis → 1 classe → roteamento operacional.</w:t>
      </w:r>
    </w:p>
    <w:p/>
    <w:p>
      <w:pPr>
        <w:spacing w:after="120"/>
      </w:pPr>
      <w:r>
        <w:rPr>
          <w:i/>
          <w:sz w:val="18"/>
        </w:rPr>
        <w:t>Notebook executável: analise_completa.ipynb · Dados: dados/ford_clientes_historico_completo.csv · Figuras: figuras/ · Sementes aleatórias fixadas em 42.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