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• {name}</w:t>
      </w:r>
    </w:p>
    <w:p>
      <w:r>
        <w:t>{/namedInsureds}</w:t>
      </w:r>
    </w:p>
    <w:p>
      <w:pPr>
        <w:pStyle w:val="Heading2"/>
      </w:pPr>
      <w:r>
        <w:t>Coverage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Employee Classification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tblHeader/>
        </w:trPr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Class Code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Payroll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Rate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1440"/>
          </w:tcPr>
          <w:p>
            <w:pPr>
              <w:keepLines/>
            </w:pPr>
            <w:r>
              <w:t>{#wcEmployeeClasses}{state}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{classCode}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{classDescription}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{payroll}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{ratePerHundred}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{estimatedPremium}{/wcEmployeeClasses}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(subject to audit)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