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ind w:left="792"/>
      </w:pPr>
      <w:r>
        <w:rPr>
          <w:rFonts w:ascii="Arial" w:hAnsi="Arial"/>
          <w:b w:val="0"/>
          <w:i/>
          <w:color w:val="595959"/>
          <w:sz w:val="18"/>
        </w:rPr>
        <w:t>Nevada Builders Alliance Insurance Solutions</w:t>
      </w:r>
    </w:p>
    <w:p>
      <w:pPr>
        <w:spacing w:before="400" w:after="400"/>
        <w:jc w:val="center"/>
      </w:pPr>
      <w:r>
        <w:drawing>
          <wp:inline xmlns:a="http://schemas.openxmlformats.org/drawingml/2006/main" xmlns:pic="http://schemas.openxmlformats.org/drawingml/2006/picture">
            <wp:extent cx="2286000" cy="2177796"/>
            <wp:docPr id="1" name="Picture 1"/>
            <wp:cNvGraphicFramePr>
              <a:graphicFrameLocks noChangeAspect="1"/>
            </wp:cNvGraphicFramePr>
            <a:graphic>
              <a:graphicData uri="http://schemas.openxmlformats.org/drawingml/2006/picture">
                <pic:pic>
                  <pic:nvPicPr>
                    <pic:cNvPr id="0" name="logo_stacked.png"/>
                    <pic:cNvPicPr/>
                  </pic:nvPicPr>
                  <pic:blipFill>
                    <a:blip r:embed="rId11"/>
                    <a:stretch>
                      <a:fillRect/>
                    </a:stretch>
                  </pic:blipFill>
                  <pic:spPr>
                    <a:xfrm>
                      <a:off x="0" y="0"/>
                      <a:ext cx="2286000" cy="2177796"/>
                    </a:xfrm>
                    <a:prstGeom prst="rect"/>
                  </pic:spPr>
                </pic:pic>
              </a:graphicData>
            </a:graphic>
          </wp:inline>
        </w:drawing>
      </w:r>
    </w:p>
    <w:p>
      <w:pPr>
        <w:spacing w:before="240" w:after="160"/>
        <w:jc w:val="center"/>
      </w:pPr>
      <w:r>
        <w:rPr>
          <w:rFonts w:ascii="Arial" w:hAnsi="Arial"/>
          <w:b/>
          <w:i w:val="0"/>
          <w:color w:val="1F3864"/>
          <w:sz w:val="52"/>
        </w:rPr>
        <w:t>Workers’ Compensation</w:t>
      </w:r>
      <w:r>
        <w:br/>
      </w:r>
      <w:r>
        <w:rPr>
          <w:rFonts w:ascii="Arial" w:hAnsi="Arial"/>
          <w:b/>
          <w:i w:val="0"/>
          <w:color w:val="1F3864"/>
          <w:sz w:val="52"/>
        </w:rPr>
        <w:t>Insurance Proposal</w:t>
      </w:r>
    </w:p>
    <w:p>
      <w:pPr>
        <w:spacing w:before="0" w:after="600"/>
        <w:jc w:val="center"/>
      </w:pPr>
      <w:r>
        <w:rPr>
          <w:rFonts w:ascii="Arial" w:hAnsi="Arial"/>
          <w:b w:val="0"/>
          <w:i/>
          <w:color w:val="595959"/>
          <w:sz w:val="22"/>
        </w:rPr>
        <w:t>Prepared exclusively for Nevada Builders Alliance members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400" w:type="dxa"/>
        <w:jc w:val="center"/>
      </w:tblPr>
      <w:tblGrid>
        <w:gridCol w:w="1889"/>
        <w:gridCol w:w="3511"/>
      </w:tblGrid>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Prepared For</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{memberName}</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Policy Period</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{policyPeriod}</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Prepared By</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Dianne Slater</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Date</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{quoteDate}</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Program</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Nevada Builders Alliance — NBAIS Member Program</w:t>
            </w:r>
          </w:p>
        </w:tc>
      </w:tr>
    </w:tbl>
    <w:p>
      <w:pPr>
        <w:sectPr>
          <w:headerReference w:type="first" r:id="rId9"/>
          <w:footerReference w:type="first" r:id="rId10"/>
          <w:pgSz w:w="12240" w:h="15840"/>
          <w:pgMar w:top="0" w:right="0" w:bottom="0" w:left="0" w:header="0" w:footer="720" w:gutter="0"/>
          <w:cols w:space="720"/>
          <w:titlePg/>
          <w:docGrid w:linePitch="360"/>
        </w:sectPr>
      </w:pPr>
    </w:p>
    <w:p>
      <w:pPr>
        <w:spacing w:before="240" w:after="120"/>
        <w:pBdr>
          <w:bottom w:val="single" w:sz="8" w:space="4" w:color="CCCCCC"/>
        </w:pBdr>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Services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spacing w:before="0" w:after="120"/>
        <w:jc w:val="left"/>
      </w:pPr>
      <w:r>
        <w:rPr>
          <w:rFonts w:ascii="Arial" w:hAnsi="Arial"/>
          <w:b w:val="0"/>
          <w:i w:val="0"/>
          <w:color w:val="595959"/>
          <w:sz w:val="20"/>
        </w:rPr>
        <w:t>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spacing w:before="240" w:after="120"/>
        <w:pBdr>
          <w:bottom w:val="single" w:sz="8" w:space="4" w:color="CCCCCC"/>
        </w:pBdr>
      </w:pPr>
      <w:r>
        <w:rPr>
          <w:rFonts w:ascii="Arial" w:hAnsi="Arial"/>
          <w:b/>
          <w:i w:val="0"/>
          <w:color w:val="1F3864"/>
          <w:sz w:val="22"/>
        </w:rPr>
        <w:t>Program highlights</w:t>
      </w:r>
    </w:p>
    <w:p>
      <w:pPr>
        <w:spacing w:before="40" w:after="40"/>
        <w:ind w:left="360"/>
      </w:pPr>
      <w:r>
        <w:rPr>
          <w:rFonts w:ascii="Arial" w:hAnsi="Arial"/>
          <w:b w:val="0"/>
          <w:i w:val="0"/>
          <w:color w:val="595959"/>
          <w:sz w:val="20"/>
        </w:rPr>
        <w:t xml:space="preserve">•  </w:t>
      </w:r>
      <w:r>
        <w:rPr>
          <w:rFonts w:ascii="Arial" w:hAnsi="Arial"/>
          <w:b w:val="0"/>
          <w:i w:val="0"/>
          <w:color w:val="595959"/>
          <w:sz w:val="20"/>
        </w:rPr>
        <w:t>Exclusive NBA member pricing — competitive group rates unavailable in the open market</w:t>
      </w:r>
    </w:p>
    <w:p>
      <w:pPr>
        <w:spacing w:before="40" w:after="40"/>
        <w:ind w:left="360"/>
      </w:pPr>
      <w:r>
        <w:rPr>
          <w:rFonts w:ascii="Arial" w:hAnsi="Arial"/>
          <w:b w:val="0"/>
          <w:i w:val="0"/>
          <w:color w:val="595959"/>
          <w:sz w:val="20"/>
        </w:rPr>
        <w:t xml:space="preserve">•  </w:t>
      </w:r>
      <w:r>
        <w:rPr>
          <w:rFonts w:ascii="Arial" w:hAnsi="Arial"/>
          <w:b w:val="0"/>
          <w:i w:val="0"/>
          <w:color w:val="595959"/>
          <w:sz w:val="20"/>
        </w:rPr>
        <w:t>Construction-class expertise — underwriting specialists who understand your trade</w:t>
      </w:r>
    </w:p>
    <w:p>
      <w:pPr>
        <w:spacing w:before="40" w:after="40"/>
        <w:ind w:left="360"/>
      </w:pPr>
      <w:r>
        <w:rPr>
          <w:rFonts w:ascii="Arial" w:hAnsi="Arial"/>
          <w:b w:val="0"/>
          <w:i w:val="0"/>
          <w:color w:val="595959"/>
          <w:sz w:val="20"/>
        </w:rPr>
        <w:t xml:space="preserve">•  </w:t>
      </w:r>
      <w:r>
        <w:rPr>
          <w:rFonts w:ascii="Arial" w:hAnsi="Arial"/>
          <w:b w:val="0"/>
          <w:i w:val="0"/>
          <w:color w:val="595959"/>
          <w:sz w:val="20"/>
        </w:rPr>
        <w:t>Dividend potential — SIG participation with return of premium for favorable loss performance</w:t>
      </w:r>
    </w:p>
    <w:p>
      <w:pPr>
        <w:spacing w:before="40" w:after="40"/>
        <w:ind w:left="360"/>
      </w:pPr>
      <w:r>
        <w:rPr>
          <w:rFonts w:ascii="Arial" w:hAnsi="Arial"/>
          <w:b w:val="0"/>
          <w:i w:val="0"/>
          <w:color w:val="595959"/>
          <w:sz w:val="20"/>
        </w:rPr>
        <w:t xml:space="preserve">•  </w:t>
      </w:r>
      <w:r>
        <w:rPr>
          <w:rFonts w:ascii="Arial" w:hAnsi="Arial"/>
          <w:b w:val="0"/>
          <w:i w:val="0"/>
          <w:color w:val="595959"/>
          <w:sz w:val="20"/>
        </w:rPr>
        <w:t>Loss control resources — proactive safety and claims management support</w:t>
      </w:r>
    </w:p>
    <w:p>
      <w:pPr>
        <w:spacing w:before="40" w:after="40"/>
        <w:ind w:left="360"/>
      </w:pPr>
      <w:r>
        <w:rPr>
          <w:rFonts w:ascii="Arial" w:hAnsi="Arial"/>
          <w:b w:val="0"/>
          <w:i w:val="0"/>
          <w:color w:val="595959"/>
          <w:sz w:val="20"/>
        </w:rPr>
        <w:t xml:space="preserve">•  </w:t>
      </w:r>
      <w:r>
        <w:rPr>
          <w:rFonts w:ascii="Arial" w:hAnsi="Arial"/>
          <w:b w:val="0"/>
          <w:i w:val="0"/>
          <w:color w:val="595959"/>
          <w:sz w:val="20"/>
        </w:rPr>
        <w:t>Dedicated service team — NBAIS producers with direct carrier access</w:t>
      </w:r>
    </w:p>
    <w:p>
      <w:pPr>
        <w:spacing w:before="240" w:after="120"/>
        <w:pBdr>
          <w:bottom w:val="single" w:sz="8" w:space="4" w:color="CCCCCC"/>
        </w:pBdr>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 &amp; Coverage at a Glance</w:t>
      </w:r>
      <w:r>
        <w:rPr>
          <w:rFonts w:ascii="Arial" w:hAnsi="Arial"/>
          <w:b w:val="0"/>
          <w:i w:val="0"/>
          <w:color w:val="595959"/>
          <w:sz w:val="20"/>
        </w:rPr>
        <w:t xml:space="preserve"> — a summary of your proposed coverage terms and estimated premium.</w:t>
      </w:r>
    </w:p>
    <w:p>
      <w:pPr>
        <w:spacing w:before="40" w:after="40"/>
        <w:ind w:left="360"/>
      </w:pPr>
      <w:r>
        <w:rPr>
          <w:rFonts w:ascii="Arial" w:hAnsi="Arial"/>
          <w:b w:val="0"/>
          <w:i w:val="0"/>
          <w:color w:val="595959"/>
          <w:sz w:val="20"/>
        </w:rPr>
        <w:t xml:space="preserve">•  </w:t>
      </w:r>
      <w:r>
        <w:rPr>
          <w:rFonts w:ascii="Arial" w:hAnsi="Arial"/>
          <w:b/>
          <w:i w:val="0"/>
          <w:color w:val="595959"/>
          <w:sz w:val="20"/>
        </w:rPr>
        <w:t>Workers’ Compensation Coverage Details</w:t>
      </w:r>
      <w:r>
        <w:rPr>
          <w:rFonts w:ascii="Arial" w:hAnsi="Arial"/>
          <w:b w:val="0"/>
          <w:i w:val="0"/>
          <w:color w:val="595959"/>
          <w:sz w:val="20"/>
        </w:rPr>
        <w:t xml:space="preserve"> — a detailed outline of the proposed coverage terms, limits, and exclusions applicable to your operation.</w:t>
      </w:r>
    </w:p>
    <w:p>
      <w:pPr>
        <w:spacing w:before="40" w:after="40"/>
        <w:ind w:left="360"/>
      </w:pPr>
      <w:r>
        <w:rPr>
          <w:rFonts w:ascii="Arial" w:hAnsi="Arial"/>
          <w:b w:val="0"/>
          <w:i w:val="0"/>
          <w:color w:val="595959"/>
          <w:sz w:val="20"/>
        </w:rPr>
        <w:t xml:space="preserve">•  </w:t>
      </w:r>
      <w:r>
        <w:rPr>
          <w:rFonts w:ascii="Arial" w:hAnsi="Arial"/>
          <w:b/>
          <w:i w:val="0"/>
          <w:color w:val="595959"/>
          <w:sz w:val="20"/>
        </w:rPr>
        <w:t>Carrier Quote</w:t>
      </w:r>
      <w:r>
        <w:rPr>
          <w:rFonts w:ascii="Arial" w:hAnsi="Arial"/>
          <w:b w:val="0"/>
          <w:i w:val="0"/>
          <w:color w:val="595959"/>
          <w:sz w:val="20"/>
        </w:rPr>
        <w:t xml:space="preserve"> — the carrier quotation secured for your review, including the class code and payroll basis used to develop this quote. Please review for accuracy and notify us of any changes prior to binding.</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 comprehensive list of additional coverage lines for your consideration across commercial, personal, bond, employee benefits, and life planning categories.</w:t>
      </w:r>
    </w:p>
    <w:p>
      <w:pPr>
        <w:sectPr>
          <w:headerReference w:type="default" r:id="rId12"/>
          <w:footerReference w:type="default" r:id="rId13"/>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Premium Summary</w:t>
            </w:r>
          </w:p>
        </w:tc>
      </w:tr>
    </w:tbl>
    <w:p>
      <w:pPr>
        <w:spacing w:before="160" w:after="200"/>
      </w:pPr>
      <w:r>
        <w:rPr>
          <w:rFonts w:ascii="Arial" w:hAnsi="Arial"/>
          <w:b w:val="0"/>
          <w:i/>
          <w:color w:val="595959"/>
          <w:sz w:val="20"/>
        </w:rPr>
        <w:t>Your estimated cost for the coverage period {policyPeriod}. All figures are subject to final payroll audit.</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3276"/>
        <w:gridCol w:w="6084"/>
      </w:tblGrid>
      <w:tr>
        <w:trPr>
          <w:tblHeader w:val="1"/>
        </w:trPr>
        <w:tc>
          <w:tcPr>
            <w:tcW w:type="dxa" w:w="9360"/>
            <w:gridSpan w:val="2"/>
            <w:shd w:val="clear" w:color="auto" w:fill="1F3864"/>
            <w:tcMar>
              <w:top w:w="80" w:type="dxa"/>
              <w:bottom w:w="80" w:type="dxa"/>
              <w:left w:w="100" w:type="dxa"/>
              <w:right w:w="80" w:type="dxa"/>
            </w:tcMar>
            <w:vAlign w:val="center"/>
          </w:tcPr>
          <w:p>
            <w:pPr>
              <w:spacing w:before="0" w:after="0"/>
            </w:pPr>
            <w:r>
              <w:rPr>
                <w:rFonts w:ascii="Arial" w:hAnsi="Arial"/>
                <w:b/>
                <w:i w:val="0"/>
                <w:color w:val="FFFFFF"/>
                <w:sz w:val="22"/>
              </w:rPr>
              <w:t>Premium Summary</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Base Premium</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{basePremium}</w:t>
            </w:r>
          </w:p>
        </w:tc>
      </w:tr>
      <w:tr>
        <w:tc>
          <w:tcPr>
            <w:tcW w:w="3276" w:type="dxa"/>
            <w:tcMar>
              <w:top w:w="80" w:type="dxa"/>
              <w:bottom w:w="80" w:type="dxa"/>
              <w:left w:w="115" w:type="dxa"/>
              <w:right w:w="115" w:type="dxa"/>
            </w:tcMar>
            <w:vAlign w:val="center"/>
          </w:tcPr>
          <w:p>
            <w:pPr>
              <w:spacing w:before="0" w:after="0"/>
            </w:pPr>
            <w:r>
              <w:rPr>
                <w:rFonts w:ascii="Arial" w:hAnsi="Arial"/>
                <w:b/>
                <w:i w:val="0"/>
                <w:color w:val="1F3864"/>
                <w:sz w:val="20"/>
              </w:rPr>
              <w:t>Estimated Annual Premium</w:t>
            </w:r>
          </w:p>
        </w:tc>
        <w:tc>
          <w:tcPr>
            <w:tcW w:w="6084" w:type="dxa"/>
            <w:tcMar>
              <w:top w:w="80" w:type="dxa"/>
              <w:bottom w:w="80" w:type="dxa"/>
              <w:left w:w="115" w:type="dxa"/>
              <w:right w:w="115" w:type="dxa"/>
            </w:tcMar>
            <w:vAlign w:val="center"/>
          </w:tcPr>
          <w:p>
            <w:pPr>
              <w:spacing w:before="0" w:after="0"/>
            </w:pPr>
            <w:r>
              <w:rPr>
                <w:rFonts w:ascii="Arial" w:hAnsi="Arial"/>
                <w:b w:val="0"/>
                <w:i w:val="0"/>
                <w:color w:val="595959"/>
                <w:sz w:val="20"/>
              </w:rPr>
              <w:t>{estPremium}</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Surplus Contribution (8%)</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{surplusContribution}</w:t>
            </w:r>
          </w:p>
        </w:tc>
      </w:tr>
      <w:tr>
        <w:tc>
          <w:tcPr>
            <w:tcW w:w="3276" w:type="dxa"/>
            <w:tcMar>
              <w:top w:w="80" w:type="dxa"/>
              <w:bottom w:w="80" w:type="dxa"/>
              <w:left w:w="115" w:type="dxa"/>
              <w:right w:w="115" w:type="dxa"/>
            </w:tcMar>
            <w:vAlign w:val="center"/>
          </w:tcPr>
          <w:p>
            <w:pPr>
              <w:spacing w:before="0" w:after="0"/>
            </w:pPr>
            <w:r>
              <w:rPr>
                <w:rFonts w:ascii="Arial" w:hAnsi="Arial"/>
                <w:b/>
                <w:i w:val="0"/>
                <w:color w:val="1F3864"/>
                <w:sz w:val="20"/>
              </w:rPr>
              <w:t>Employers’ Liability Fee</w:t>
            </w:r>
          </w:p>
        </w:tc>
        <w:tc>
          <w:tcPr>
            <w:tcW w:w="6084" w:type="dxa"/>
            <w:tcMar>
              <w:top w:w="80" w:type="dxa"/>
              <w:bottom w:w="80" w:type="dxa"/>
              <w:left w:w="115" w:type="dxa"/>
              <w:right w:w="115" w:type="dxa"/>
            </w:tcMar>
            <w:vAlign w:val="center"/>
          </w:tcPr>
          <w:p>
            <w:pPr>
              <w:spacing w:before="0" w:after="0"/>
            </w:pPr>
            <w:r>
              <w:rPr>
                <w:rFonts w:ascii="Arial" w:hAnsi="Arial"/>
                <w:b w:val="0"/>
                <w:i w:val="0"/>
                <w:color w:val="595959"/>
                <w:sz w:val="20"/>
              </w:rPr>
              <w:t>{employersLiabilityFee}</w:t>
            </w:r>
          </w:p>
        </w:tc>
      </w:tr>
      <w:tr>
        <w:tc>
          <w:tcPr>
            <w:tcW w:type="dxa" w:w="4680"/>
            <w:shd w:val="clear" w:color="auto" w:fill="EBF3FB"/>
            <w:tcMar>
              <w:top w:w="80" w:type="dxa"/>
              <w:bottom w:w="80" w:type="dxa"/>
              <w:left w:w="115" w:type="dxa"/>
              <w:right w:w="115" w:type="dxa"/>
            </w:tcMar>
            <w:vAlign w:val="center"/>
          </w:tcPr>
          <w:p>
            <w:pPr>
              <w:spacing w:before="0" w:after="0"/>
            </w:pPr>
            <w:r>
              <w:rPr>
                <w:rFonts w:ascii="Arial" w:hAnsi="Arial"/>
                <w:b/>
                <w:i w:val="0"/>
                <w:color w:val="1F3864"/>
                <w:sz w:val="22"/>
              </w:rPr>
              <w:t>Total Estimated Cost</w:t>
            </w:r>
          </w:p>
        </w:tc>
        <w:tc>
          <w:tcPr>
            <w:tcW w:type="dxa" w:w="4680"/>
            <w:shd w:val="clear" w:color="auto" w:fill="EBF3FB"/>
            <w:tcMar>
              <w:top w:w="80" w:type="dxa"/>
              <w:bottom w:w="80" w:type="dxa"/>
              <w:left w:w="115" w:type="dxa"/>
              <w:right w:w="115" w:type="dxa"/>
            </w:tcMar>
            <w:vAlign w:val="center"/>
          </w:tcPr>
          <w:p>
            <w:pPr>
              <w:spacing w:before="0" w:after="0"/>
            </w:pPr>
            <w:r>
              <w:rPr>
                <w:rFonts w:ascii="Arial" w:hAnsi="Arial"/>
                <w:b/>
                <w:i w:val="0"/>
                <w:color w:val="1F3864"/>
                <w:sz w:val="22"/>
              </w:rPr>
              <w:t>{totalEstimatedPremium}</w:t>
            </w:r>
          </w:p>
        </w:tc>
      </w:tr>
      <w:tr>
        <w:tc>
          <w:tcPr>
            <w:tcW w:type="dxa" w:w="4680"/>
            <w:tcMar>
              <w:top w:w="80" w:type="dxa"/>
              <w:bottom w:w="80" w:type="dxa"/>
              <w:left w:w="115" w:type="dxa"/>
              <w:right w:w="115" w:type="dxa"/>
            </w:tcMar>
            <w:vAlign w:val="center"/>
          </w:tcPr>
          <w:p>
            <w:pPr>
              <w:spacing w:before="0" w:after="0"/>
            </w:pPr>
            <w:r>
              <w:rPr>
                <w:rFonts w:ascii="Arial" w:hAnsi="Arial"/>
                <w:b/>
                <w:i w:val="0"/>
                <w:color w:val="1F3864"/>
                <w:sz w:val="20"/>
              </w:rPr>
              <w:t xml:space="preserve">Down Payment Due at Binding (25%): </w:t>
            </w:r>
            <w:r>
              <w:rPr>
                <w:rFonts w:ascii="Arial" w:hAnsi="Arial"/>
                <w:b/>
                <w:i w:val="0"/>
                <w:color w:val="1F3864"/>
                <w:sz w:val="20"/>
              </w:rPr>
              <w:t>{downPayment}</w:t>
            </w:r>
            <w:r>
              <w:rPr>
                <w:rFonts w:ascii="Arial" w:hAnsi="Arial"/>
                <w:b w:val="0"/>
                <w:i w:val="0"/>
                <w:color w:val="1F3864"/>
                <w:sz w:val="20"/>
              </w:rPr>
              <w:t>.</w:t>
            </w:r>
          </w:p>
        </w:tc>
        <w:tc>
          <w:tcPr>
            <w:tcW w:type="dxa" w:w="4680"/>
            <w:tcMar>
              <w:top w:w="80" w:type="dxa"/>
              <w:bottom w:w="80" w:type="dxa"/>
              <w:left w:w="115" w:type="dxa"/>
              <w:right w:w="115" w:type="dxa"/>
            </w:tcMar>
            <w:vAlign w:val="center"/>
          </w:tcPr>
          <w:p>
            <w:pPr>
              <w:spacing w:before="0" w:after="0"/>
            </w:pPr>
            <w:r>
              <w:rPr>
                <w:rFonts w:ascii="Arial" w:hAnsi="Arial"/>
                <w:b w:val="0"/>
                <w:i/>
                <w:color w:val="595959"/>
                <w:sz w:val="20"/>
              </w:rPr>
              <w:t>Balance payable online via secure payment link provided upon binding.</w:t>
            </w:r>
          </w:p>
        </w:tc>
      </w:tr>
    </w:tbl>
    <w:p>
      <w:pPr>
        <w:spacing w:before="240" w:after="120"/>
        <w:pBdr>
          <w:bottom w:val="single" w:sz="8" w:space="4" w:color="CCCCCC"/>
        </w:pBdr>
      </w:pPr>
      <w:r>
        <w:rPr>
          <w:rFonts w:ascii="Arial" w:hAnsi="Arial"/>
          <w:b/>
          <w:i w:val="0"/>
          <w:color w:val="1F3864"/>
          <w:sz w:val="22"/>
        </w:rPr>
        <w:t>What’s next</w:t>
      </w:r>
    </w:p>
    <w:p>
      <w:pPr>
        <w:spacing w:before="0" w:after="160"/>
        <w:jc w:val="left"/>
      </w:pPr>
      <w:r>
        <w:rPr>
          <w:rFonts w:ascii="Arial" w:hAnsi="Arial"/>
          <w:b w:val="0"/>
          <w:i w:val="0"/>
          <w:color w:val="595959"/>
          <w:sz w:val="20"/>
        </w:rPr>
        <w:t>Review the Coverage Details on the following page, confirm payroll and class code accuracy, and contact your NBAIS producer to bind. Final premium will be reconciled at audit.</w:t>
      </w:r>
    </w:p>
    <w:p>
      <w:pPr>
        <w:spacing w:before="0" w:after="0"/>
      </w:pPr>
      <w:r>
        <w:br w:type="page"/>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Policy Summary</w:t>
            </w:r>
          </w:p>
        </w:tc>
      </w:tr>
    </w:tbl>
    <w:p>
      <w:pPr>
        <w:spacing w:before="240" w:after="120"/>
        <w:pBdr>
          <w:bottom w:val="single" w:sz="8" w:space="4" w:color="CCCCCC"/>
        </w:pBdr>
      </w:pPr>
      <w:r>
        <w:rPr>
          <w:rFonts w:ascii="Arial" w:hAnsi="Arial"/>
          <w:b/>
          <w:i w:val="0"/>
          <w:color w:val="1F3864"/>
          <w:sz w:val="22"/>
        </w:rPr>
        <w:t>Policy Information</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Carrier</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Builders Association of Western Nevada Self-Insured Group (BAWNSIG)</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Program Manager</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Lusense</w:t>
            </w:r>
          </w:p>
        </w:tc>
      </w:tr>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Delivered By</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Nevada Builders Alliance Insurance Services (NBAIS) via Higginbotham</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Policy Period</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{policyPeriod}</w:t>
            </w:r>
          </w:p>
        </w:tc>
      </w:tr>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Coverage</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Workers’ Compensation</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States Covered</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Nevada</w:t>
            </w:r>
          </w:p>
        </w:tc>
      </w:tr>
    </w:tbl>
    <w:p>
      <w:pPr>
        <w:spacing w:before="240" w:after="120"/>
        <w:pBdr>
          <w:bottom w:val="single" w:sz="8" w:space="4" w:color="CCCCCC"/>
        </w:pBdr>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pPr>
      <w:r>
        <w:rPr>
          <w:rFonts w:ascii="Arial" w:hAnsi="Arial"/>
          <w:b/>
          <w:i w:val="0"/>
          <w:color w:val="1F3864"/>
          <w:sz w:val="22"/>
        </w:rPr>
        <w:t>Coverage &amp; Limits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084"/>
        <w:gridCol w:w="3276"/>
      </w:tblGrid>
      <w:tr>
        <w:trPr>
          <w:tblHeader w:val="1"/>
        </w:trPr>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Coverage</w:t>
            </w:r>
          </w:p>
        </w:tc>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Limit</w:t>
            </w:r>
          </w:p>
        </w:tc>
      </w:tr>
      <w:tr>
        <w:tc>
          <w:tcPr>
            <w:tcW w:w="6084"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Part I — Workers’ Compensation</w:t>
            </w:r>
          </w:p>
        </w:tc>
        <w:tc>
          <w:tcPr>
            <w:tcW w:w="3276"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Statutory per State of Nevada</w:t>
            </w:r>
          </w:p>
        </w:tc>
      </w:tr>
      <w:tr>
        <w:tc>
          <w:tcPr>
            <w:tcW w:w="6084" w:type="dxa"/>
            <w:tcMar>
              <w:top w:w="60" w:type="dxa"/>
              <w:bottom w:w="60" w:type="dxa"/>
              <w:left w:w="80" w:type="dxa"/>
              <w:right w:w="60" w:type="dxa"/>
            </w:tcMar>
            <w:vAlign w:val="center"/>
          </w:tcPr>
          <w:p>
            <w:pPr>
              <w:spacing w:before="0" w:after="0"/>
            </w:pPr>
            <w:r>
              <w:rPr>
                <w:rFonts w:ascii="Arial" w:hAnsi="Arial"/>
                <w:b w:val="0"/>
                <w:i w:val="0"/>
                <w:color w:val="595959"/>
                <w:sz w:val="20"/>
              </w:rPr>
              <w:t>Part II — Employers’ Liability: Each Accident</w:t>
            </w:r>
          </w:p>
        </w:tc>
        <w:tc>
          <w:tcPr>
            <w:tcW w:w="3276" w:type="dxa"/>
            <w:tcMar>
              <w:top w:w="60" w:type="dxa"/>
              <w:bottom w:w="60" w:type="dxa"/>
              <w:left w:w="80" w:type="dxa"/>
              <w:right w:w="60" w:type="dxa"/>
            </w:tcMar>
            <w:vAlign w:val="center"/>
          </w:tcPr>
          <w:p>
            <w:pPr>
              <w:spacing w:before="0" w:after="0"/>
            </w:pPr>
            <w:r>
              <w:rPr>
                <w:rFonts w:ascii="Arial" w:hAnsi="Arial"/>
                <w:b w:val="0"/>
                <w:i w:val="0"/>
                <w:color w:val="595959"/>
                <w:sz w:val="20"/>
              </w:rPr>
              <w:t>$1,000,000</w:t>
            </w:r>
          </w:p>
        </w:tc>
      </w:tr>
      <w:tr>
        <w:tc>
          <w:tcPr>
            <w:tcW w:w="6084"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Part II — Employers’ Liability: Disease – Each Employee</w:t>
            </w:r>
          </w:p>
        </w:tc>
        <w:tc>
          <w:tcPr>
            <w:tcW w:w="3276"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$1,000,000</w:t>
            </w:r>
          </w:p>
        </w:tc>
      </w:tr>
      <w:tr>
        <w:tc>
          <w:tcPr>
            <w:tcW w:w="6084" w:type="dxa"/>
            <w:tcMar>
              <w:top w:w="60" w:type="dxa"/>
              <w:bottom w:w="60" w:type="dxa"/>
              <w:left w:w="80" w:type="dxa"/>
              <w:right w:w="60" w:type="dxa"/>
            </w:tcMar>
            <w:vAlign w:val="center"/>
          </w:tcPr>
          <w:p>
            <w:pPr>
              <w:spacing w:before="0" w:after="0"/>
            </w:pPr>
            <w:r>
              <w:rPr>
                <w:rFonts w:ascii="Arial" w:hAnsi="Arial"/>
                <w:b w:val="0"/>
                <w:i w:val="0"/>
                <w:color w:val="595959"/>
                <w:sz w:val="20"/>
              </w:rPr>
              <w:t>Part II — Employers’ Liability: Disease – Policy Limit</w:t>
            </w:r>
          </w:p>
        </w:tc>
        <w:tc>
          <w:tcPr>
            <w:tcW w:w="3276" w:type="dxa"/>
            <w:tcMar>
              <w:top w:w="60" w:type="dxa"/>
              <w:bottom w:w="60" w:type="dxa"/>
              <w:left w:w="80" w:type="dxa"/>
              <w:right w:w="60" w:type="dxa"/>
            </w:tcMar>
            <w:vAlign w:val="center"/>
          </w:tcPr>
          <w:p>
            <w:pPr>
              <w:spacing w:before="0" w:after="0"/>
            </w:pPr>
            <w:r>
              <w:rPr>
                <w:rFonts w:ascii="Arial" w:hAnsi="Arial"/>
                <w:b w:val="0"/>
                <w:i w:val="0"/>
                <w:color w:val="595959"/>
                <w:sz w:val="20"/>
              </w:rPr>
              <w:t>$1,000,000</w:t>
            </w:r>
          </w:p>
        </w:tc>
      </w:tr>
    </w:tbl>
    <w:p>
      <w:pPr>
        <w:spacing w:before="240" w:after="120"/>
        <w:pBdr>
          <w:bottom w:val="single" w:sz="8" w:space="4" w:color="CCCCCC"/>
        </w:pBdr>
      </w:pPr>
      <w:r>
        <w:rPr>
          <w:rFonts w:ascii="Arial" w:hAnsi="Arial"/>
          <w:b/>
          <w:i w:val="0"/>
          <w:color w:val="1F3864"/>
          <w:sz w:val="22"/>
        </w:rPr>
        <w:t>Surplus Contribution</w:t>
      </w:r>
    </w:p>
    <w:p>
      <w:pPr>
        <w:spacing w:before="80" w:after="80"/>
      </w:pPr>
      <w:r>
        <w:rPr>
          <w:rFonts w:ascii="Arial" w:hAnsi="Arial"/>
          <w:b w:val="0"/>
          <w:i w:val="0"/>
          <w:color w:val="595959"/>
          <w:sz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w:t>
      </w:r>
      <w:r>
        <w:rPr>
          <w:rFonts w:ascii="Arial" w:hAnsi="Arial"/>
          <w:b/>
          <w:i w:val="0"/>
          <w:color w:val="595959"/>
          <w:sz w:val="20"/>
        </w:rPr>
        <w:t>It is not a fee retained by NBAIS or your producer.</w:t>
      </w:r>
    </w:p>
    <w:p>
      <w:pPr>
        <w:sectPr>
          <w:footerReference w:type="default" r:id="rId14"/>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Policy Details</w:t>
            </w:r>
          </w:p>
        </w:tc>
      </w:tr>
    </w:tbl>
    <w:p>
      <w:pPr>
        <w:spacing w:before="240" w:after="120"/>
        <w:pBdr>
          <w:bottom w:val="single" w:sz="8" w:space="4" w:color="CCCCCC"/>
        </w:pBdr>
      </w:pPr>
      <w:r>
        <w:rPr>
          <w:rFonts w:ascii="Arial" w:hAnsi="Arial"/>
          <w:b/>
          <w:i w:val="0"/>
          <w:color w:val="1F3864"/>
          <w:sz w:val="22"/>
        </w:rPr>
        <w:t>Employee Classification Schedule</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55"/>
        <w:gridCol w:w="1123"/>
        <w:gridCol w:w="2620"/>
        <w:gridCol w:w="1965"/>
        <w:gridCol w:w="1123"/>
        <w:gridCol w:w="1874"/>
      </w:tblGrid>
      <w:tr>
        <w:trPr>
          <w:tblHeader w:val="1"/>
        </w:trPr>
        <w:tc>
          <w:tcPr>
            <w:tcW w:w="655"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State</w:t>
            </w:r>
          </w:p>
        </w:tc>
        <w:tc>
          <w:tcPr>
            <w:tcW w:w="1123"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Class Code</w:t>
            </w:r>
          </w:p>
        </w:tc>
        <w:tc>
          <w:tcPr>
            <w:tcW w:w="2620"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Description</w:t>
            </w:r>
          </w:p>
        </w:tc>
        <w:tc>
          <w:tcPr>
            <w:tcW w:w="1965"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Est. Annual Payroll</w:t>
            </w:r>
          </w:p>
        </w:tc>
        <w:tc>
          <w:tcPr>
            <w:tcW w:w="1123"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Rate</w:t>
            </w:r>
          </w:p>
        </w:tc>
        <w:tc>
          <w:tcPr>
            <w:tcW w:w="1874"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Est. Premium</w:t>
            </w:r>
          </w:p>
        </w:tc>
      </w:tr>
      <w:tr>
        <w:tc>
          <w:tcPr>
            <w:tcW w:w="655" w:type="dxa"/>
            <w:tcMar>
              <w:top w:w="80" w:type="dxa"/>
              <w:bottom w:w="80" w:type="dxa"/>
              <w:left w:w="80" w:type="dxa"/>
              <w:right w:w="80" w:type="dxa"/>
            </w:tcMar>
            <w:vAlign w:val="center"/>
          </w:tcPr>
          <w:p>
            <w:pPr>
              <w:spacing w:before="0" w:after="0"/>
            </w:pPr>
            <w:r>
              <w:rPr>
                <w:rFonts w:ascii="Arial" w:hAnsi="Arial"/>
                <w:b w:val="0"/>
                <w:i w:val="0"/>
                <w:color w:val="595959"/>
                <w:sz w:val="20"/>
              </w:rPr>
              <w:t>{#classSchedule}</w:t>
            </w:r>
          </w:p>
          <w:p>
            <w:r>
              <w:rPr>
                <w:rFonts w:ascii="Arial" w:hAnsi="Arial"/>
                <w:b w:val="0"/>
                <w:i w:val="0"/>
                <w:color w:val="595959"/>
                <w:sz w:val="20"/>
              </w:rPr>
              <w:t>{state}</w:t>
            </w:r>
          </w:p>
        </w:tc>
        <w:tc>
          <w:tcPr>
            <w:tcW w:w="1123" w:type="dxa"/>
            <w:tcMar>
              <w:top w:w="80" w:type="dxa"/>
              <w:bottom w:w="80" w:type="dxa"/>
              <w:left w:w="80" w:type="dxa"/>
              <w:right w:w="80" w:type="dxa"/>
            </w:tcMar>
            <w:vAlign w:val="center"/>
          </w:tcPr>
          <w:p>
            <w:pPr>
              <w:spacing w:before="0" w:after="0"/>
            </w:pPr>
            <w:r>
              <w:rPr>
                <w:rFonts w:ascii="Arial" w:hAnsi="Arial"/>
                <w:b w:val="0"/>
                <w:i w:val="0"/>
                <w:color w:val="595959"/>
                <w:sz w:val="20"/>
              </w:rPr>
              <w:t>{classCode}</w:t>
            </w:r>
          </w:p>
        </w:tc>
        <w:tc>
          <w:tcPr>
            <w:tcW w:w="2620" w:type="dxa"/>
            <w:tcMar>
              <w:top w:w="80" w:type="dxa"/>
              <w:bottom w:w="80" w:type="dxa"/>
              <w:left w:w="80" w:type="dxa"/>
              <w:right w:w="80" w:type="dxa"/>
            </w:tcMar>
            <w:vAlign w:val="center"/>
          </w:tcPr>
          <w:p>
            <w:pPr>
              <w:spacing w:before="0" w:after="0"/>
            </w:pPr>
            <w:r>
              <w:rPr>
                <w:rFonts w:ascii="Arial" w:hAnsi="Arial"/>
                <w:b w:val="0"/>
                <w:i w:val="0"/>
                <w:color w:val="595959"/>
                <w:sz w:val="20"/>
              </w:rPr>
              <w:t>{classDescription}</w:t>
            </w:r>
          </w:p>
        </w:tc>
        <w:tc>
          <w:tcPr>
            <w:tcW w:w="1965" w:type="dxa"/>
            <w:tcMar>
              <w:top w:w="80" w:type="dxa"/>
              <w:bottom w:w="80" w:type="dxa"/>
              <w:left w:w="80" w:type="dxa"/>
              <w:right w:w="80" w:type="dxa"/>
            </w:tcMar>
            <w:vAlign w:val="center"/>
          </w:tcPr>
          <w:p>
            <w:pPr>
              <w:spacing w:before="0" w:after="0"/>
            </w:pPr>
            <w:r>
              <w:rPr>
                <w:rFonts w:ascii="Arial" w:hAnsi="Arial"/>
                <w:b w:val="0"/>
                <w:i w:val="0"/>
                <w:color w:val="595959"/>
                <w:sz w:val="20"/>
              </w:rPr>
              <w:t>{estAnnualPayroll}</w:t>
            </w:r>
          </w:p>
        </w:tc>
        <w:tc>
          <w:tcPr>
            <w:tcW w:w="1123" w:type="dxa"/>
            <w:tcMar>
              <w:top w:w="80" w:type="dxa"/>
              <w:bottom w:w="80" w:type="dxa"/>
              <w:left w:w="80" w:type="dxa"/>
              <w:right w:w="80" w:type="dxa"/>
            </w:tcMar>
            <w:vAlign w:val="center"/>
          </w:tcPr>
          <w:p>
            <w:pPr>
              <w:spacing w:before="0" w:after="0"/>
            </w:pPr>
            <w:r>
              <w:rPr>
                <w:rFonts w:ascii="Arial" w:hAnsi="Arial"/>
                <w:b w:val="0"/>
                <w:i w:val="0"/>
                <w:color w:val="595959"/>
                <w:sz w:val="20"/>
              </w:rPr>
              <w:t>{rate}</w:t>
            </w:r>
          </w:p>
        </w:tc>
        <w:tc>
          <w:tcPr>
            <w:tcW w:w="1874" w:type="dxa"/>
            <w:tcMar>
              <w:top w:w="80" w:type="dxa"/>
              <w:bottom w:w="80" w:type="dxa"/>
              <w:left w:w="80" w:type="dxa"/>
              <w:right w:w="80" w:type="dxa"/>
            </w:tcMar>
            <w:vAlign w:val="center"/>
          </w:tcPr>
          <w:p>
            <w:pPr>
              <w:spacing w:before="0" w:after="0"/>
            </w:pPr>
            <w:r>
              <w:rPr>
                <w:rFonts w:ascii="Arial" w:hAnsi="Arial"/>
                <w:b w:val="0"/>
                <w:i w:val="0"/>
                <w:color w:val="595959"/>
                <w:sz w:val="20"/>
              </w:rPr>
              <w:t>{classEstPremium}</w:t>
            </w:r>
          </w:p>
          <w:p>
            <w:r>
              <w:rPr>
                <w:rFonts w:ascii="Arial" w:hAnsi="Arial"/>
                <w:b w:val="0"/>
                <w:i w:val="0"/>
                <w:color w:val="595959"/>
                <w:sz w:val="20"/>
              </w:rPr>
              <w:t>{/classSchedule}</w:t>
            </w:r>
          </w:p>
        </w:tc>
      </w:tr>
      <w:tr>
        <w:tc>
          <w:tcPr>
            <w:tcW w:w="7486" w:type="dxa"/>
            <w:gridSpan w:val="5"/>
            <w:shd w:val="clear" w:color="auto" w:fill="F5F5F5"/>
            <w:tcMar>
              <w:top w:w="70" w:type="dxa"/>
              <w:bottom w:w="70" w:type="dxa"/>
              <w:left w:w="60" w:type="dxa"/>
              <w:right w:w="60" w:type="dxa"/>
            </w:tcMar>
            <w:vAlign w:val="center"/>
          </w:tcPr>
          <w:p>
            <w:pPr>
              <w:spacing w:before="0" w:after="0"/>
              <w:jc w:val="right"/>
            </w:pPr>
            <w:r>
              <w:rPr>
                <w:rFonts w:ascii="Arial" w:hAnsi="Arial"/>
                <w:b/>
                <w:i w:val="0"/>
                <w:color w:val="1F3864"/>
                <w:sz w:val="20"/>
              </w:rPr>
              <w:t>Total Estimated Premium</w:t>
            </w:r>
          </w:p>
        </w:tc>
        <w:tc>
          <w:tcPr>
            <w:tcW w:w="1874" w:type="dxa"/>
            <w:shd w:val="clear" w:color="auto" w:fill="F5F5F5"/>
            <w:tcMar>
              <w:top w:w="70" w:type="dxa"/>
              <w:bottom w:w="70" w:type="dxa"/>
              <w:left w:w="60" w:type="dxa"/>
              <w:right w:w="60" w:type="dxa"/>
            </w:tcMar>
            <w:vAlign w:val="center"/>
          </w:tcPr>
          <w:p>
            <w:pPr>
              <w:spacing w:before="0" w:after="0"/>
            </w:pPr>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rPr>
          <w:tblHeader w:val="1"/>
        </w:trPr>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Name</w:t>
            </w:r>
          </w:p>
        </w:tc>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Election Form</w:t>
            </w:r>
          </w:p>
        </w:tc>
      </w:tr>
      <w:tr>
        <w:tc>
          <w:tcPr>
            <w:tcW w:w="2808" w:type="dxa"/>
            <w:tcMar>
              <w:top w:w="60" w:type="dxa"/>
              <w:bottom w:w="60" w:type="dxa"/>
              <w:left w:w="80" w:type="dxa"/>
              <w:right w:w="60" w:type="dxa"/>
            </w:tcMar>
            <w:vAlign w:val="center"/>
          </w:tcPr>
          <w:p>
            <w:pPr>
              <w:spacing w:before="0" w:after="0"/>
            </w:pPr>
            <w:r>
              <w:rPr>
                <w:rFonts w:ascii="Arial" w:hAnsi="Arial"/>
                <w:b w:val="0"/>
                <w:i w:val="0"/>
                <w:color w:val="595959"/>
                <w:sz w:val="20"/>
              </w:rPr>
              <w:t>{#excludedPersons}</w:t>
            </w:r>
          </w:p>
          <w:p>
            <w:r>
              <w:rPr>
                <w:rFonts w:ascii="Arial" w:hAnsi="Arial"/>
                <w:b w:val="0"/>
                <w:i w:val="0"/>
                <w:color w:val="595959"/>
                <w:sz w:val="20"/>
              </w:rPr>
              <w:t>{name}</w:t>
            </w:r>
          </w:p>
        </w:tc>
        <w:tc>
          <w:tcPr>
            <w:tcW w:w="6552" w:type="dxa"/>
            <w:tcMar>
              <w:top w:w="60" w:type="dxa"/>
              <w:bottom w:w="60" w:type="dxa"/>
              <w:left w:w="80" w:type="dxa"/>
              <w:right w:w="60" w:type="dxa"/>
            </w:tcMar>
            <w:vAlign w:val="center"/>
          </w:tcPr>
          <w:p>
            <w:pPr>
              <w:spacing w:before="0" w:after="0"/>
            </w:pPr>
            <w:r>
              <w:rPr>
                <w:rFonts w:ascii="Arial" w:hAnsi="Arial"/>
                <w:b w:val="0"/>
                <w:i w:val="0"/>
                <w:color w:val="595959"/>
                <w:sz w:val="20"/>
              </w:rPr>
              <w:t>Form D-43 — Election to Reject Coverage</w:t>
            </w:r>
          </w:p>
          <w:p>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Self-Insured Group Disclosure</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8E8E8"/>
            <w:tcMar>
              <w:top w:w="100" w:type="dxa"/>
              <w:bottom w:w="100" w:type="dxa"/>
              <w:left w:w="130" w:type="dxa"/>
              <w:right w:w="100" w:type="dxa"/>
            </w:tcMar>
            <w:vAlign w:val="center"/>
            <w:tcBorders>
              <w:left w:val="single" w:sz="24" w:space="0" w:color="2E75B6"/>
              <w:top w:val="none" w:sz="0" w:space="0" w:color="auto"/>
              <w:bottom w:val="none" w:sz="0" w:space="0" w:color="auto"/>
              <w:right w:val="none" w:sz="0" w:space="0" w:color="auto"/>
            </w:tcBorders>
          </w:tcPr>
          <w:p>
            <w:pPr>
              <w:spacing w:before="0" w:after="0"/>
            </w:pPr>
            <w:r>
              <w:rPr>
                <w:rFonts w:ascii="Arial" w:hAnsi="Arial"/>
                <w:b w:val="0"/>
                <w:i w:val="0"/>
                <w:color w:val="595959"/>
                <w:sz w:val="19"/>
              </w:rPr>
              <w:t>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tc>
      </w:tr>
    </w:tbl>
    <w:p>
      <w:pPr>
        <w:sectPr>
          <w:footerReference w:type="default" r:id="rId15"/>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Next Steps &amp; Member Authorization</w:t>
            </w:r>
          </w:p>
        </w:tc>
      </w:tr>
    </w:tbl>
    <w:p>
      <w:pPr>
        <w:spacing w:before="160" w:after="160"/>
        <w:jc w:val="left"/>
      </w:pPr>
      <w:r>
        <w:rPr>
          <w:rFonts w:ascii="Arial" w:hAnsi="Arial"/>
          <w:b w:val="0"/>
          <w:i w:val="0"/>
          <w:color w:val="595959"/>
          <w:sz w:val="20"/>
        </w:rPr>
        <w:t>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580"/>
        <w:gridCol w:w="200"/>
        <w:gridCol w:w="4580"/>
      </w:tblGrid>
      <w:tr>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pPr>
              <w:spacing w:before="0" w:after="0"/>
            </w:pPr>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w="200" w:type="dxa"/>
            <w:tcBorders>
              <w:top w:val="none" w:sz="0" w:space="0" w:color="auto"/>
              <w:left w:val="none" w:sz="0" w:space="0" w:color="auto"/>
              <w:bottom w:val="none" w:sz="0" w:space="0" w:color="auto"/>
              <w:right w:val="none" w:sz="0" w:space="0" w:color="auto"/>
            </w:tcBorders>
            <w:vAlign w:val="center"/>
          </w:tcPr>
          <w:p>
            <w:pPr>
              <w:spacing w:before="0" w:after="0"/>
            </w:pPr>
          </w:p>
        </w:tc>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pPr>
              <w:spacing w:before="0" w:after="0"/>
            </w:pPr>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40" w:after="120"/>
        <w:pBdr>
          <w:bottom w:val="single" w:sz="8" w:space="4" w:color="CCCCCC"/>
        </w:pBdr>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acknowledges receipt of this Workers’ Compensation Insurance proposal and authorizes Nevada Builders Alliance Insurance Services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2340"/>
        <w:gridCol w:w="7020"/>
      </w:tblGrid>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By</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Print Name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Title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Date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bl>
    <w:p>
      <w:pPr>
        <w:spacing w:before="320" w:after="80"/>
        <w:jc w:val="left"/>
      </w:pPr>
      <w:r>
        <w:rPr>
          <w:rFonts w:ascii="Arial" w:hAnsi="Arial"/>
          <w:b w:val="0"/>
          <w:i/>
          <w:color w:val="595959"/>
          <w:sz w:val="17"/>
        </w:rPr>
        <w:t>This proposal is not a binder or guarantee of coverage. All coverage is subject to underwriting approval, policy terms, conditions, and exclusions. Premium estimates are subject to final payroll audit. NBAIS is an insurance program administered on behalf of Nevada Builders Alliance members.</w:t>
      </w:r>
    </w:p>
    <w:p>
      <w:pPr>
        <w:sectPr>
          <w:footerReference w:type="default" r:id="rId16"/>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Coverage Recommendations</w:t>
            </w:r>
          </w:p>
        </w:tc>
      </w:tr>
    </w:tbl>
    <w:p>
      <w:pPr>
        <w:spacing w:before="160" w:after="160"/>
      </w:pPr>
      <w:r>
        <w:rPr>
          <w:rFonts w:ascii="Arial" w:hAnsi="Arial"/>
          <w:b w:val="0"/>
          <w:i/>
          <w:color w:val="595959"/>
          <w:sz w:val="19"/>
        </w:rPr>
        <w:t>The following list identifies common coverage areas for your consideration. Please review with your NBAIS producer to determine which lines are recommended, currently insured, or not applicable to your operation.</w:t>
      </w:r>
    </w:p>
    <w:p>
      <w:pPr>
        <w:spacing w:before="280" w:after="160"/>
        <w:pBdr>
          <w:bottom w:val="single" w:sz="8" w:space="4" w:color="CCCCCC"/>
        </w:pBdr>
      </w:pPr>
      <w:r>
        <w:rPr>
          <w:rFonts w:ascii="Arial" w:hAnsi="Arial"/>
          <w:b/>
          <w:i w:val="0"/>
          <w:color w:val="1F3864"/>
          <w:sz w:val="24"/>
        </w:rPr>
        <w:t>Commercial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Installation Floater</w:t>
            </w:r>
          </w:p>
          <w:p>
            <w:pPr>
              <w:spacing w:before="40" w:after="40"/>
              <w:ind w:left="200"/>
            </w:pPr>
            <w:r>
              <w:rPr>
                <w:rFonts w:ascii="Arial" w:hAnsi="Arial"/>
                <w:b w:val="0"/>
                <w:i w:val="0"/>
                <w:color w:val="595959"/>
                <w:sz w:val="18"/>
              </w:rPr>
              <w:t>•  Builders Risk</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Personal &amp; Advertising Injury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w:t>
            </w:r>
          </w:p>
          <w:p>
            <w:pPr>
              <w:spacing w:before="40" w:after="40"/>
              <w:ind w:left="200"/>
            </w:pPr>
            <w:r>
              <w:rPr>
                <w:rFonts w:ascii="Arial" w:hAnsi="Arial"/>
                <w:b w:val="0"/>
                <w:i w:val="0"/>
                <w:color w:val="595959"/>
                <w:sz w:val="18"/>
              </w:rPr>
              <w:t>•  Data Breach / Privacy Liability</w:t>
            </w:r>
          </w:p>
          <w:p>
            <w:pPr>
              <w:spacing w:before="40" w:after="40"/>
              <w:ind w:left="200"/>
            </w:pPr>
            <w:r>
              <w:rPr>
                <w:rFonts w:ascii="Arial" w:hAnsi="Arial"/>
                <w:b w:val="0"/>
                <w:i w:val="0"/>
                <w:color w:val="595959"/>
                <w:sz w:val="18"/>
              </w:rPr>
              <w:t>•  Identity Theft Protection</w:t>
            </w:r>
          </w:p>
          <w:p>
            <w:pPr>
              <w:spacing w:before="40" w:after="40"/>
              <w:ind w:left="200"/>
            </w:pPr>
            <w:r>
              <w:rPr>
                <w:rFonts w:ascii="Arial" w:hAnsi="Arial"/>
                <w:b w:val="0"/>
                <w:i w:val="0"/>
                <w:color w:val="595959"/>
                <w:sz w:val="18"/>
              </w:rPr>
              <w:t>•  Commercial Crime / Employee Dishonesty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Liability</w:t>
            </w:r>
          </w:p>
          <w:p>
            <w:pPr>
              <w:spacing w:before="40" w:after="40"/>
              <w:ind w:left="200"/>
            </w:pPr>
            <w:r>
              <w:rPr>
                <w:rFonts w:ascii="Arial" w:hAnsi="Arial"/>
                <w:b w:val="0"/>
                <w:i w:val="0"/>
                <w:color w:val="595959"/>
                <w:sz w:val="18"/>
              </w:rPr>
              <w:t>•  Physical Damage (Comp &amp; Collision)</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Truck Cargo</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Workers’ Compensation — Statutory</w:t>
            </w:r>
          </w:p>
          <w:p>
            <w:pPr>
              <w:spacing w:before="40" w:after="40"/>
              <w:ind w:left="200"/>
            </w:pPr>
            <w:r>
              <w:rPr>
                <w:rFonts w:ascii="Arial" w:hAnsi="Arial"/>
                <w:b w:val="0"/>
                <w:i w:val="0"/>
                <w:color w:val="595959"/>
                <w:sz w:val="18"/>
              </w:rPr>
              <w:t>•  Employers’ Liability</w:t>
            </w:r>
          </w:p>
          <w:p>
            <w:pPr>
              <w:spacing w:before="40" w:after="40"/>
              <w:ind w:left="200"/>
            </w:pPr>
            <w:r>
              <w:rPr>
                <w:rFonts w:ascii="Arial" w:hAnsi="Arial"/>
                <w:b w:val="0"/>
                <w:i w:val="0"/>
                <w:color w:val="595959"/>
                <w:sz w:val="18"/>
              </w:rPr>
              <w:t>•  Stop Gap / Employers Liability (Monopolistic States)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(EPLI)</w:t>
            </w:r>
          </w:p>
          <w:p>
            <w:pPr>
              <w:spacing w:before="40" w:after="40"/>
              <w:ind w:left="200"/>
            </w:pPr>
            <w:r>
              <w:rPr>
                <w:rFonts w:ascii="Arial" w:hAnsi="Arial"/>
                <w:b w:val="0"/>
                <w:i w:val="0"/>
                <w:color w:val="595959"/>
                <w:sz w:val="18"/>
              </w:rPr>
              <w:t>•  Fiduciary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Contractors Professional Liability</w:t>
            </w:r>
          </w:p>
          <w:p>
            <w:pPr>
              <w:spacing w:before="40" w:after="40"/>
              <w:ind w:left="200"/>
            </w:pPr>
            <w:r>
              <w:rPr>
                <w:rFonts w:ascii="Arial" w:hAnsi="Arial"/>
                <w:b w:val="0"/>
                <w:i w:val="0"/>
                <w:color w:val="595959"/>
                <w:sz w:val="18"/>
              </w:rPr>
              <w:t>•  Design-Build Professional Liability</w:t>
            </w:r>
          </w:p>
        </w:tc>
      </w:tr>
    </w:tbl>
    <w:p>
      <w:pPr>
        <w:sectPr>
          <w:footerReference w:type="default" r:id="rId17"/>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Coverage Recommendations (continued)</w:t>
            </w:r>
          </w:p>
        </w:tc>
      </w:tr>
    </w:tbl>
    <w:p>
      <w:pPr>
        <w:spacing w:before="280" w:after="160"/>
        <w:pBdr>
          <w:bottom w:val="single" w:sz="8" w:space="4" w:color="CCCCCC"/>
        </w:pBdr>
      </w:pPr>
      <w:r>
        <w:rPr>
          <w:rFonts w:ascii="Arial" w:hAnsi="Arial"/>
          <w:b/>
          <w:i w:val="0"/>
          <w:color w:val="1F3864"/>
          <w:sz w:val="24"/>
        </w:rPr>
        <w:t>Commercial Lines (continued)</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Wind / Hail, Earthquake, Flood</w:t>
            </w:r>
          </w:p>
          <w:p>
            <w:pPr>
              <w:spacing w:before="40" w:after="40"/>
              <w:ind w:left="200"/>
            </w:pPr>
            <w:r>
              <w:rPr>
                <w:rFonts w:ascii="Arial" w:hAnsi="Arial"/>
                <w:b w:val="0"/>
                <w:i w:val="0"/>
                <w:color w:val="595959"/>
                <w:sz w:val="18"/>
              </w:rPr>
              <w:t>•  Wind &amp; Hail Coverage</w:t>
            </w:r>
          </w:p>
          <w:p>
            <w:pPr>
              <w:spacing w:before="40" w:after="40"/>
              <w:ind w:left="200"/>
            </w:pPr>
            <w:r>
              <w:rPr>
                <w:rFonts w:ascii="Arial" w:hAnsi="Arial"/>
                <w:b w:val="0"/>
                <w:i w:val="0"/>
                <w:color w:val="595959"/>
                <w:sz w:val="18"/>
              </w:rPr>
              <w:t>•  Earthquake Coverage</w:t>
            </w:r>
          </w:p>
          <w:p>
            <w:pPr>
              <w:spacing w:before="40" w:after="40"/>
              <w:ind w:left="200"/>
            </w:pPr>
            <w:r>
              <w:rPr>
                <w:rFonts w:ascii="Arial" w:hAnsi="Arial"/>
                <w:b w:val="0"/>
                <w:i w:val="0"/>
                <w:color w:val="595959"/>
                <w:sz w:val="18"/>
              </w:rPr>
              <w:t>•  Flood Coverage (NFIP or Private)</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Voluntary Workers’ Compensation</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Package Policy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tc>
      </w:tr>
    </w:tbl>
    <w:p>
      <w:pPr>
        <w:spacing w:before="280" w:after="160"/>
        <w:pBdr>
          <w:bottom w:val="single" w:sz="8" w:space="4" w:color="CCCCCC"/>
        </w:pBdr>
      </w:pPr>
      <w:r>
        <w:rPr>
          <w:rFonts w:ascii="Arial" w:hAnsi="Arial"/>
          <w:b/>
          <w:i w:val="0"/>
          <w:color w:val="1F3864"/>
          <w:sz w:val="24"/>
        </w:rPr>
        <w:t>Personal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Automobile</w:t>
            </w:r>
          </w:p>
          <w:p>
            <w:pPr>
              <w:spacing w:before="40" w:after="40"/>
              <w:ind w:left="200"/>
            </w:pPr>
            <w:r>
              <w:rPr>
                <w:rFonts w:ascii="Arial" w:hAnsi="Arial"/>
                <w:b w:val="0"/>
                <w:i w:val="0"/>
                <w:color w:val="595959"/>
                <w:sz w:val="18"/>
              </w:rPr>
              <w:t>•  Home / Homeowners</w:t>
            </w:r>
          </w:p>
          <w:p>
            <w:pPr>
              <w:spacing w:before="40" w:after="40"/>
              <w:ind w:left="200"/>
            </w:pPr>
            <w:r>
              <w:rPr>
                <w:rFonts w:ascii="Arial" w:hAnsi="Arial"/>
                <w:b w:val="0"/>
                <w:i w:val="0"/>
                <w:color w:val="595959"/>
                <w:sz w:val="18"/>
              </w:rPr>
              <w:t>•  Flood / Earthquake</w:t>
            </w:r>
          </w:p>
          <w:p>
            <w:pPr>
              <w:spacing w:before="40" w:after="40"/>
              <w:ind w:left="200"/>
            </w:pPr>
            <w:r>
              <w:rPr>
                <w:rFonts w:ascii="Arial" w:hAnsi="Arial"/>
                <w:b w:val="0"/>
                <w:i w:val="0"/>
                <w:color w:val="595959"/>
                <w:sz w:val="18"/>
              </w:rPr>
              <w:t>•  Personal Umbrella</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40" w:after="40"/>
              <w:ind w:left="200"/>
            </w:pPr>
            <w:r>
              <w:rPr>
                <w:rFonts w:ascii="Arial" w:hAnsi="Arial"/>
                <w:b w:val="0"/>
                <w:i w:val="0"/>
                <w:color w:val="595959"/>
                <w:sz w:val="18"/>
              </w:rPr>
              <w:t>•  Farm &amp; Ranch</w:t>
            </w:r>
          </w:p>
          <w:p>
            <w:pPr>
              <w:spacing w:before="40" w:after="40"/>
              <w:ind w:left="200"/>
            </w:pPr>
            <w:r>
              <w:rPr>
                <w:rFonts w:ascii="Arial" w:hAnsi="Arial"/>
                <w:b w:val="0"/>
                <w:i w:val="0"/>
                <w:color w:val="595959"/>
                <w:sz w:val="18"/>
              </w:rPr>
              <w:t>•  Watercraft / Recreational Vehicles</w:t>
            </w:r>
          </w:p>
          <w:p>
            <w:pPr>
              <w:spacing w:before="40" w:after="40"/>
              <w:ind w:left="200"/>
            </w:pPr>
            <w:r>
              <w:rPr>
                <w:rFonts w:ascii="Arial" w:hAnsi="Arial"/>
                <w:b w:val="0"/>
                <w:i w:val="0"/>
                <w:color w:val="595959"/>
                <w:sz w:val="18"/>
              </w:rPr>
              <w:t>•  Personal Articles Floater</w:t>
            </w:r>
          </w:p>
        </w:tc>
      </w:tr>
    </w:tbl>
    <w:p>
      <w:pPr>
        <w:spacing w:before="280" w:after="160"/>
        <w:pBdr>
          <w:bottom w:val="single" w:sz="8" w:space="4" w:color="CCCCCC"/>
        </w:pBdr>
      </w:pPr>
      <w:r>
        <w:rPr>
          <w:rFonts w:ascii="Arial" w:hAnsi="Arial"/>
          <w:b/>
          <w:i w:val="0"/>
          <w:color w:val="1F3864"/>
          <w:sz w:val="24"/>
        </w:rPr>
        <w:t>Bond Recommendations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Contract Bond</w:t>
            </w:r>
          </w:p>
          <w:p>
            <w:pPr>
              <w:spacing w:before="40" w:after="40"/>
              <w:ind w:left="200"/>
            </w:pPr>
            <w:r>
              <w:rPr>
                <w:rFonts w:ascii="Arial" w:hAnsi="Arial"/>
                <w:b w:val="0"/>
                <w:i w:val="0"/>
                <w:color w:val="595959"/>
                <w:sz w:val="18"/>
              </w:rPr>
              <w:t>•  Court Bond</w:t>
            </w:r>
          </w:p>
          <w:p>
            <w:pPr>
              <w:spacing w:before="40" w:after="40"/>
              <w:ind w:left="200"/>
            </w:pPr>
            <w:r>
              <w:rPr>
                <w:rFonts w:ascii="Arial" w:hAnsi="Arial"/>
                <w:b w:val="0"/>
                <w:i w:val="0"/>
                <w:color w:val="595959"/>
                <w:sz w:val="18"/>
              </w:rPr>
              <w:t>•  Fidelity Bond</w:t>
            </w:r>
          </w:p>
          <w:p>
            <w:pPr>
              <w:spacing w:before="40" w:after="40"/>
              <w:ind w:left="200"/>
            </w:pPr>
            <w:r>
              <w:rPr>
                <w:rFonts w:ascii="Arial" w:hAnsi="Arial"/>
                <w:b w:val="0"/>
                <w:i w:val="0"/>
                <w:color w:val="595959"/>
                <w:sz w:val="18"/>
              </w:rPr>
              <w:t>•  Financial Institution Bond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40" w:after="40"/>
              <w:ind w:left="200"/>
            </w:pPr>
            <w:r>
              <w:rPr>
                <w:rFonts w:ascii="Arial" w:hAnsi="Arial"/>
                <w:b w:val="0"/>
                <w:i w:val="0"/>
                <w:color w:val="595959"/>
                <w:sz w:val="18"/>
              </w:rPr>
              <w:t>•  License &amp; Permit Bond</w:t>
            </w:r>
          </w:p>
          <w:p>
            <w:pPr>
              <w:spacing w:before="40" w:after="40"/>
              <w:ind w:left="200"/>
            </w:pPr>
            <w:r>
              <w:rPr>
                <w:rFonts w:ascii="Arial" w:hAnsi="Arial"/>
                <w:b w:val="0"/>
                <w:i w:val="0"/>
                <w:color w:val="595959"/>
                <w:sz w:val="18"/>
              </w:rPr>
              <w:t>•  Probate Bond</w:t>
            </w:r>
          </w:p>
          <w:p>
            <w:pPr>
              <w:spacing w:before="40" w:after="40"/>
              <w:ind w:left="200"/>
            </w:pPr>
            <w:r>
              <w:rPr>
                <w:rFonts w:ascii="Arial" w:hAnsi="Arial"/>
                <w:b w:val="0"/>
                <w:i w:val="0"/>
                <w:color w:val="595959"/>
                <w:sz w:val="18"/>
              </w:rPr>
              <w:t>•  Public Official Bond</w:t>
            </w:r>
          </w:p>
          <w:p>
            <w:pPr>
              <w:spacing w:before="40" w:after="40"/>
              <w:ind w:left="200"/>
            </w:pPr>
            <w:r>
              <w:rPr>
                <w:rFonts w:ascii="Arial" w:hAnsi="Arial"/>
                <w:b w:val="0"/>
                <w:i w:val="0"/>
                <w:color w:val="595959"/>
                <w:sz w:val="18"/>
              </w:rPr>
              <w:t>•  Surety Bond</w:t>
            </w:r>
          </w:p>
        </w:tc>
      </w:tr>
    </w:tbl>
    <w:p>
      <w:pPr>
        <w:sectPr>
          <w:footerReference w:type="default" r:id="rId18"/>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Employee Benefits Recommendations</w:t>
            </w:r>
          </w:p>
        </w:tc>
      </w:tr>
    </w:tbl>
    <w:p>
      <w:pPr>
        <w:spacing w:before="160" w:after="160"/>
        <w:jc w:val="left"/>
      </w:pPr>
      <w:r>
        <w:rPr>
          <w:rFonts w:ascii="Arial" w:hAnsi="Arial"/>
          <w:b w:val="0"/>
          <w:i/>
          <w:color w:val="595959"/>
          <w:sz w:val="19"/>
        </w:rPr>
        <w:t>Group benefits, life planning, and retirement plan services available through NBAIS for member consideration.</w:t>
      </w:r>
    </w:p>
    <w:p>
      <w:pPr>
        <w:spacing w:before="280" w:after="160"/>
        <w:pBdr>
          <w:bottom w:val="single" w:sz="8" w:space="4" w:color="CCCCCC"/>
        </w:pBdr>
      </w:pPr>
      <w:r>
        <w:rPr>
          <w:rFonts w:ascii="Arial" w:hAnsi="Arial"/>
          <w:b/>
          <w:i w:val="0"/>
          <w:color w:val="1F3864"/>
          <w:sz w:val="24"/>
        </w:rPr>
        <w:t>Group Benefits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HR Services</w:t>
            </w:r>
          </w:p>
          <w:p>
            <w:pPr>
              <w:spacing w:before="40" w:after="40"/>
              <w:ind w:left="200"/>
            </w:pPr>
            <w:r>
              <w:rPr>
                <w:rFonts w:ascii="Arial" w:hAnsi="Arial"/>
                <w:b w:val="0"/>
                <w:i w:val="0"/>
                <w:color w:val="595959"/>
                <w:sz w:val="18"/>
              </w:rPr>
              <w:t>•  Group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Vision</w:t>
            </w:r>
          </w:p>
          <w:p>
            <w:pPr>
              <w:spacing w:before="40" w:after="40"/>
              <w:ind w:left="200"/>
            </w:pPr>
            <w:r>
              <w:rPr>
                <w:rFonts w:ascii="Arial" w:hAnsi="Arial"/>
                <w:b w:val="0"/>
                <w:i w:val="0"/>
                <w:color w:val="595959"/>
                <w:sz w:val="18"/>
              </w:rPr>
              <w:t>•  Group Life and Accidental Death &amp; Dismemberment (AD&amp;D)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Long Term Care</w:t>
            </w:r>
          </w:p>
          <w:p>
            <w:pPr>
              <w:spacing w:before="40" w:after="40"/>
              <w:ind w:left="200"/>
            </w:pPr>
            <w:r>
              <w:rPr>
                <w:rFonts w:ascii="Arial" w:hAnsi="Arial"/>
                <w:b w:val="0"/>
                <w:i w:val="0"/>
                <w:color w:val="595959"/>
                <w:sz w:val="18"/>
              </w:rPr>
              <w:t>•  Short Term Disability</w:t>
            </w:r>
          </w:p>
          <w:p>
            <w:pPr>
              <w:spacing w:before="40" w:after="40"/>
              <w:ind w:left="200"/>
            </w:pPr>
            <w:r>
              <w:rPr>
                <w:rFonts w:ascii="Arial" w:hAnsi="Arial"/>
                <w:b w:val="0"/>
                <w:i w:val="0"/>
                <w:color w:val="595959"/>
                <w:sz w:val="18"/>
              </w:rPr>
              <w:t>•  Section 125 Cafeteria Plans</w:t>
            </w:r>
          </w:p>
          <w:p>
            <w:pPr>
              <w:spacing w:before="40" w:after="40"/>
              <w:ind w:left="200"/>
            </w:pPr>
            <w:r>
              <w:rPr>
                <w:rFonts w:ascii="Arial" w:hAnsi="Arial"/>
                <w:b w:val="0"/>
                <w:i w:val="0"/>
                <w:color w:val="595959"/>
                <w:sz w:val="18"/>
              </w:rPr>
              <w:t>•  Individual Medical / Dental</w:t>
            </w:r>
          </w:p>
        </w:tc>
      </w:tr>
    </w:tbl>
    <w:p>
      <w:pPr>
        <w:spacing w:before="280" w:after="160"/>
        <w:pBdr>
          <w:bottom w:val="single" w:sz="8" w:space="4" w:color="CCCCCC"/>
        </w:pBdr>
      </w:pPr>
      <w:r>
        <w:rPr>
          <w:rFonts w:ascii="Arial" w:hAnsi="Arial"/>
          <w:b/>
          <w:i w:val="0"/>
          <w:color w:val="1F3864"/>
          <w:sz w:val="24"/>
        </w:rPr>
        <w:t>Life Department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40" w:after="40"/>
              <w:ind w:left="200"/>
            </w:pPr>
            <w:r>
              <w:rPr>
                <w:rFonts w:ascii="Arial" w:hAnsi="Arial"/>
                <w:b w:val="0"/>
                <w:i w:val="0"/>
                <w:color w:val="595959"/>
                <w:sz w:val="18"/>
              </w:rPr>
              <w:t>•  Business Planning</w:t>
            </w:r>
          </w:p>
          <w:p>
            <w:pPr>
              <w:spacing w:before="40" w:after="40"/>
              <w:ind w:left="200"/>
            </w:pPr>
            <w:r>
              <w:rPr>
                <w:rFonts w:ascii="Arial" w:hAnsi="Arial"/>
                <w:b w:val="0"/>
                <w:i w:val="0"/>
                <w:color w:val="595959"/>
                <w:sz w:val="18"/>
              </w:rPr>
              <w:t>•  Estate Planning</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tc>
      </w:tr>
    </w:tbl>
    <w:p>
      <w:pPr>
        <w:spacing w:before="280" w:after="160"/>
        <w:pBdr>
          <w:bottom w:val="single" w:sz="8" w:space="4" w:color="CCCCCC"/>
        </w:pBdr>
      </w:pPr>
      <w:r>
        <w:rPr>
          <w:rFonts w:ascii="Arial" w:hAnsi="Arial"/>
          <w:b/>
          <w:i w:val="0"/>
          <w:color w:val="1F3864"/>
          <w:sz w:val="24"/>
        </w:rPr>
        <w:t>Retirement Plan Services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40" w:after="40"/>
              <w:ind w:left="200"/>
            </w:pPr>
            <w:r>
              <w:rPr>
                <w:rFonts w:ascii="Arial" w:hAnsi="Arial"/>
                <w:b w:val="0"/>
                <w:i w:val="0"/>
                <w:color w:val="595959"/>
                <w:sz w:val="18"/>
              </w:rPr>
              <w:t>•  Qualified Plans</w:t>
            </w:r>
          </w:p>
          <w:p>
            <w:pPr>
              <w:spacing w:before="40" w:after="40"/>
              <w:ind w:left="200"/>
            </w:pPr>
            <w:r>
              <w:rPr>
                <w:rFonts w:ascii="Arial" w:hAnsi="Arial"/>
                <w:b w:val="0"/>
                <w:i w:val="0"/>
                <w:color w:val="595959"/>
                <w:sz w:val="18"/>
              </w:rPr>
              <w:t>•  Non-Qualified Plans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tc>
      </w:tr>
    </w:tbl>
    <w:p>
      <w:pPr>
        <w:spacing w:before="280" w:after="0"/>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BF3FF"/>
            <w:tcMar>
              <w:top w:w="120" w:type="dxa"/>
              <w:bottom w:w="120" w:type="dxa"/>
              <w:left w:w="160" w:type="dxa"/>
              <w:right w:w="120" w:type="dxa"/>
            </w:tcMar>
            <w:vAlign w:val="center"/>
            <w:tcBorders>
              <w:left w:val="single" w:sz="36" w:space="0" w:color="1F3864"/>
              <w:top w:val="none" w:sz="0" w:space="0" w:color="auto"/>
              <w:bottom w:val="none" w:sz="0" w:space="0" w:color="auto"/>
              <w:right w:val="none" w:sz="0" w:space="0" w:color="auto"/>
            </w:tcBorders>
          </w:tcPr>
          <w:p>
            <w:pPr>
              <w:spacing w:before="0" w:after="0"/>
            </w:pPr>
            <w:r>
              <w:rPr>
                <w:rFonts w:ascii="Arial" w:hAnsi="Arial"/>
                <w:b/>
                <w:i w:val="0"/>
                <w:color w:val="1F3864"/>
                <w:sz w:val="18"/>
              </w:rPr>
              <w:t xml:space="preserve">Discuss with your producer. </w:t>
            </w:r>
            <w:r>
              <w:rPr>
                <w:rFonts w:ascii="Arial" w:hAnsi="Arial"/>
                <w:b w:val="0"/>
                <w:i w:val="0"/>
                <w:color w:val="1F3864"/>
                <w:sz w:val="18"/>
              </w:rPr>
              <w:t>Your NBAIS producer can help you assess which of these coverage lines apply to your operation and identify any potential gaps in your current insurance program.</w:t>
            </w:r>
          </w:p>
        </w:tc>
      </w:tr>
    </w:tbl>
    <w:p>
      <w:pPr>
        <w:spacing w:before="80" w:after="0"/>
      </w:pPr>
    </w:p>
    <w:sectPr w:rsidR="00FC693F" w:rsidRPr="0006063C" w:rsidSect="00034616">
      <w:footerReference w:type="default" r:id="rId19"/>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80" w:after="80"/>
      <w:jc w:val="center"/>
      <w:pBdr>
        <w:top w:val="single" w:sz="12" w:space="4" w:color="1F3864"/>
      </w:pBdr>
    </w:pPr>
    <w:r>
      <w:rPr>
        <w:rFonts w:ascii="Arial" w:hAnsi="Arial"/>
        <w:b w:val="0"/>
        <w:i/>
        <w:color w:val="595959"/>
        <w:sz w:val="17"/>
      </w:rPr>
      <w:t>CONFIDENTIAL — This proposal is intended solely for the use of the named insured and their authorized representatives.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Policy Details</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12240"/>
    </w:tblGrid>
    <w:tr>
      <w:trPr>
        <w:trHeight w:val="460" w:hRule="exact"/>
      </w:trPr>
      <w:tc>
        <w:tcPr>
          <w:tcW w:type="dxa" w:w="12240"/>
          <w:shd w:val="clear" w:color="auto" w:fill="1F3864"/>
          <w:tcMar>
            <w:top w:w="0" w:type="dxa"/>
            <w:bottom w:w="0" w:type="dxa"/>
            <w:left w:w="0" w:type="dxa"/>
            <w:right w:w="0" w:type="dxa"/>
          </w:tcMar>
          <w:vAlign w:val="top"/>
        </w:tcPr>
        <w:p>
          <w:pPr>
            <w:spacing w:before="0" w:after="0"/>
            <w:jc w:val="left"/>
          </w:pP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4" w:space="4" w:color="AAAAAA"/>
      </w:pBdr>
      <w:tabs>
        <w:tab w:val="right" w:pos="9360"/>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