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240" w:type="dxa"/>
      </w:tblPr>
      <w:tblGrid>
        <w:gridCol w:w="9360"/>
      </w:tblGrid>
      <w:tr>
        <w:trPr>
          <w:trHeight w:val="460" w:hRule="exact"/>
        </w:trPr>
        <w:tc>
          <w:tcPr>
            <w:tcW w:type="dxa" w:w="9360"/>
            <w:shd w:val="clear" w:color="auto" w:fill="1F3864"/>
            <w:tcMar>
              <w:top w:w="0" w:type="dxa"/>
              <w:bottom w:w="0" w:type="dxa"/>
              <w:left w:w="0" w:type="dxa"/>
              <w:right w:w="0" w:type="dxa"/>
            </w:tcMar>
          </w:tcPr>
          <w:p>
            <w:pPr>
              <w:spacing w:before="0" w:after="0"/>
            </w:pPr>
          </w:p>
        </w:tc>
      </w:tr>
    </w:tbl>
    <w:p>
      <w:pPr>
        <w:spacing w:before="280" w:after="80"/>
        <w:ind w:left="792"/>
      </w:pPr>
      <w:r>
        <w:rPr>
          <w:rFonts w:ascii="Arial" w:hAnsi="Arial"/>
          <w:b w:val="0"/>
          <w:i/>
          <w:color w:val="595959"/>
          <w:sz w:val="18"/>
        </w:rPr>
        <w:t>Nevada Builders Alliance Insurance Solutions</w:t>
      </w:r>
    </w:p>
    <w:p>
      <w:pPr>
        <w:spacing w:before="400" w:after="400"/>
        <w:jc w:val="center"/>
      </w:pPr>
      <w:r>
        <w:rPr>
          <w:rFonts w:ascii="Arial" w:hAnsi="Arial"/>
          <w:b w:val="0"/>
          <w:i w:val="0"/>
          <w:color w:val="1F3864"/>
          <w:sz w:val="20"/>
        </w:rPr>
        <w:t>{%stackedLogoBase64}</w:t>
      </w:r>
    </w:p>
    <w:p>
      <w:pPr>
        <w:spacing w:before="240" w:after="160"/>
        <w:jc w:val="center"/>
      </w:pPr>
      <w:r>
        <w:rPr>
          <w:rFonts w:ascii="Arial" w:hAnsi="Arial"/>
          <w:b/>
          <w:i w:val="0"/>
          <w:color w:val="1F3864"/>
          <w:sz w:val="52"/>
        </w:rPr>
        <w:t>Workers’ Compensation Insurance Proposal</w:t>
      </w:r>
    </w:p>
    <w:p>
      <w:pPr>
        <w:spacing w:before="0" w:after="600"/>
        <w:jc w:val="center"/>
      </w:pPr>
      <w:r>
        <w:rPr>
          <w:rFonts w:ascii="Arial" w:hAnsi="Arial"/>
          <w:b w:val="0"/>
          <w:i/>
          <w:color w:val="595959"/>
          <w:sz w:val="22"/>
        </w:rPr>
        <w:t>Prepared exclusively for Nevada Builders Alliance members</w:t>
      </w:r>
    </w:p>
    <w:tbl>
      <w:tblPr>
        <w:tblW w:type="auto" w:w="0"/>
        <w:tblLook w:firstColumn="1" w:firstRow="1" w:lastColumn="0" w:lastRow="0" w:noHBand="0" w:noVBand="1" w:val="04A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3276" w:type="dxa"/>
            <w:tcMar>
              <w:top w:w="40" w:type="dxa"/>
              <w:bottom w:w="40" w:type="dxa"/>
              <w:left w:w="80" w:type="dxa"/>
              <w:right w:w="60" w:type="dxa"/>
            </w:tcMar>
          </w:tcPr>
          <w:p>
            <w:pPr>
              <w:jc w:val="right"/>
            </w:pPr>
            <w:r>
              <w:rPr>
                <w:rFonts w:ascii="Arial" w:hAnsi="Arial"/>
                <w:b/>
                <w:i w:val="0"/>
                <w:color w:val="1F3864"/>
                <w:sz w:val="20"/>
              </w:rPr>
              <w:t>Prepared For</w:t>
            </w:r>
          </w:p>
        </w:tc>
        <w:tc>
          <w:tcPr>
            <w:tcW w:type="dxa" w:w="4680"/>
            <w:tcW w:w="6084" w:type="dxa"/>
            <w:tcMar>
              <w:top w:w="40" w:type="dxa"/>
              <w:bottom w:w="40" w:type="dxa"/>
              <w:left w:w="60" w:type="dxa"/>
              <w:right w:w="80" w:type="dxa"/>
            </w:tcMar>
          </w:tcPr>
          <w:p>
            <w:r>
              <w:rPr>
                <w:rFonts w:ascii="Arial" w:hAnsi="Arial"/>
                <w:b w:val="0"/>
                <w:i w:val="0"/>
                <w:color w:val="595959"/>
                <w:sz w:val="20"/>
              </w:rPr>
              <w:t>{memberName}</w:t>
            </w:r>
          </w:p>
        </w:tc>
      </w:tr>
      <w:tr>
        <w:tc>
          <w:tcPr>
            <w:tcW w:type="dxa" w:w="4680"/>
            <w:tcW w:w="3276" w:type="dxa"/>
            <w:tcMar>
              <w:top w:w="40" w:type="dxa"/>
              <w:bottom w:w="40" w:type="dxa"/>
              <w:left w:w="80" w:type="dxa"/>
              <w:right w:w="60" w:type="dxa"/>
            </w:tcMar>
          </w:tcPr>
          <w:p>
            <w:pPr>
              <w:jc w:val="right"/>
            </w:pPr>
            <w:r>
              <w:rPr>
                <w:rFonts w:ascii="Arial" w:hAnsi="Arial"/>
                <w:b/>
                <w:i w:val="0"/>
                <w:color w:val="1F3864"/>
                <w:sz w:val="20"/>
              </w:rPr>
              <w:t>Policy Period</w:t>
            </w:r>
          </w:p>
        </w:tc>
        <w:tc>
          <w:tcPr>
            <w:tcW w:type="dxa" w:w="4680"/>
            <w:tcW w:w="6084" w:type="dxa"/>
            <w:tcMar>
              <w:top w:w="40" w:type="dxa"/>
              <w:bottom w:w="40" w:type="dxa"/>
              <w:left w:w="60" w:type="dxa"/>
              <w:right w:w="80" w:type="dxa"/>
            </w:tcMar>
          </w:tcPr>
          <w:p>
            <w:r>
              <w:rPr>
                <w:rFonts w:ascii="Arial" w:hAnsi="Arial"/>
                <w:b w:val="0"/>
                <w:i w:val="0"/>
                <w:color w:val="595959"/>
                <w:sz w:val="20"/>
              </w:rPr>
              <w:t>{policyPeriod}</w:t>
            </w:r>
          </w:p>
        </w:tc>
      </w:tr>
      <w:tr>
        <w:tc>
          <w:tcPr>
            <w:tcW w:type="dxa" w:w="4680"/>
            <w:tcW w:w="3276" w:type="dxa"/>
            <w:tcMar>
              <w:top w:w="40" w:type="dxa"/>
              <w:bottom w:w="40" w:type="dxa"/>
              <w:left w:w="80" w:type="dxa"/>
              <w:right w:w="60" w:type="dxa"/>
            </w:tcMar>
          </w:tcPr>
          <w:p>
            <w:pPr>
              <w:jc w:val="right"/>
            </w:pPr>
            <w:r>
              <w:rPr>
                <w:rFonts w:ascii="Arial" w:hAnsi="Arial"/>
                <w:b/>
                <w:i w:val="0"/>
                <w:color w:val="1F3864"/>
                <w:sz w:val="20"/>
              </w:rPr>
              <w:t>Prepared By</w:t>
            </w:r>
          </w:p>
        </w:tc>
        <w:tc>
          <w:tcPr>
            <w:tcW w:type="dxa" w:w="4680"/>
            <w:tcW w:w="6084" w:type="dxa"/>
            <w:tcMar>
              <w:top w:w="40" w:type="dxa"/>
              <w:bottom w:w="40" w:type="dxa"/>
              <w:left w:w="60" w:type="dxa"/>
              <w:right w:w="80" w:type="dxa"/>
            </w:tcMar>
          </w:tcPr>
          <w:p>
            <w:r>
              <w:rPr>
                <w:rFonts w:ascii="Arial" w:hAnsi="Arial"/>
                <w:b w:val="0"/>
                <w:i w:val="0"/>
                <w:color w:val="595959"/>
                <w:sz w:val="20"/>
              </w:rPr>
              <w:t>Dianne Slater</w:t>
            </w:r>
          </w:p>
        </w:tc>
      </w:tr>
      <w:tr>
        <w:tc>
          <w:tcPr>
            <w:tcW w:type="dxa" w:w="4680"/>
            <w:tcW w:w="3276" w:type="dxa"/>
            <w:tcMar>
              <w:top w:w="40" w:type="dxa"/>
              <w:bottom w:w="40" w:type="dxa"/>
              <w:left w:w="80" w:type="dxa"/>
              <w:right w:w="60" w:type="dxa"/>
            </w:tcMar>
          </w:tcPr>
          <w:p>
            <w:pPr>
              <w:jc w:val="right"/>
            </w:pPr>
            <w:r>
              <w:rPr>
                <w:rFonts w:ascii="Arial" w:hAnsi="Arial"/>
                <w:b/>
                <w:i w:val="0"/>
                <w:color w:val="1F3864"/>
                <w:sz w:val="20"/>
              </w:rPr>
              <w:t>Date</w:t>
            </w:r>
          </w:p>
        </w:tc>
        <w:tc>
          <w:tcPr>
            <w:tcW w:type="dxa" w:w="4680"/>
            <w:tcW w:w="6084" w:type="dxa"/>
            <w:tcMar>
              <w:top w:w="40" w:type="dxa"/>
              <w:bottom w:w="40" w:type="dxa"/>
              <w:left w:w="60" w:type="dxa"/>
              <w:right w:w="80" w:type="dxa"/>
            </w:tcMar>
          </w:tcPr>
          <w:p>
            <w:r>
              <w:rPr>
                <w:rFonts w:ascii="Arial" w:hAnsi="Arial"/>
                <w:b w:val="0"/>
                <w:i w:val="0"/>
                <w:color w:val="595959"/>
                <w:sz w:val="20"/>
              </w:rPr>
              <w:t>{quoteDate}</w:t>
            </w:r>
          </w:p>
        </w:tc>
      </w:tr>
      <w:tr>
        <w:tc>
          <w:tcPr>
            <w:tcW w:type="dxa" w:w="4680"/>
            <w:tcW w:w="3276" w:type="dxa"/>
            <w:tcMar>
              <w:top w:w="40" w:type="dxa"/>
              <w:bottom w:w="40" w:type="dxa"/>
              <w:left w:w="80" w:type="dxa"/>
              <w:right w:w="60" w:type="dxa"/>
            </w:tcMar>
          </w:tcPr>
          <w:p>
            <w:pPr>
              <w:jc w:val="right"/>
            </w:pPr>
            <w:r>
              <w:rPr>
                <w:rFonts w:ascii="Arial" w:hAnsi="Arial"/>
                <w:b/>
                <w:i w:val="0"/>
                <w:color w:val="1F3864"/>
                <w:sz w:val="20"/>
              </w:rPr>
              <w:t>Program</w:t>
            </w:r>
          </w:p>
        </w:tc>
        <w:tc>
          <w:tcPr>
            <w:tcW w:type="dxa" w:w="4680"/>
            <w:tcW w:w="6084" w:type="dxa"/>
            <w:tcMar>
              <w:top w:w="40" w:type="dxa"/>
              <w:bottom w:w="40" w:type="dxa"/>
              <w:left w:w="60" w:type="dxa"/>
              <w:right w:w="80" w:type="dxa"/>
            </w:tcMar>
          </w:tcPr>
          <w:p>
            <w:r>
              <w:rPr>
                <w:rFonts w:ascii="Arial" w:hAnsi="Arial"/>
                <w:b w:val="0"/>
                <w:i w:val="0"/>
                <w:color w:val="595959"/>
                <w:sz w:val="20"/>
              </w:rPr>
              <w:t>Nevada Builders Alliance — NBAIS Member Program</w:t>
            </w:r>
          </w:p>
        </w:tc>
      </w:tr>
    </w:tbl>
    <w:p>
      <w:pPr>
        <w:spacing w:before="0" w:after="0"/>
      </w:pPr>
    </w:p>
    <w:p>
      <w:pPr>
        <w:spacing w:before="0" w:after="0"/>
      </w:pPr>
    </w:p>
    <w:p>
      <w:pPr>
        <w:spacing w:before="0" w:after="0"/>
      </w:pPr>
    </w:p>
    <w:p>
      <w:pPr>
        <w:spacing w:before="0" w:after="0"/>
      </w:pPr>
    </w:p>
    <w:p>
      <w:pPr>
        <w:spacing w:before="400" w:after="0"/>
        <w:jc w:val="center"/>
        <w:pBdr>
          <w:top w:val="single" w:sz="12" w:space="4" w:color="1F3864"/>
        </w:pBdr>
      </w:pPr>
      <w:r>
        <w:rPr>
          <w:rFonts w:ascii="Arial" w:hAnsi="Arial"/>
          <w:b w:val="0"/>
          <w:i/>
          <w:color w:val="595959"/>
          <w:sz w:val="17"/>
        </w:rPr>
        <w:t>Confidential — Prepared for the named member’s exclusive use</w:t>
      </w:r>
    </w:p>
    <w:p>
      <w:pPr>
        <w:sectPr>
          <w:headerReference w:type="first" r:id="rId9"/>
          <w:footerReference w:type="first" r:id="rId10"/>
          <w:pgSz w:w="12240" w:h="15840"/>
          <w:pgMar w:top="0" w:right="0" w:bottom="0" w:left="0" w:header="720" w:footer="720" w:gutter="0"/>
          <w:cols w:space="720"/>
          <w:titlePg/>
          <w:docGrid w:linePitch="360"/>
        </w:sectPr>
      </w:pPr>
    </w:p>
    <w:p>
      <w:pPr>
        <w:shd w:val="clear" w:color="auto" w:fill="1F3864"/>
        <w:spacing w:before="160" w:after="160"/>
        <w:ind w:left="280"/>
      </w:pPr>
      <w:r>
        <w:rPr>
          <w:rFonts w:ascii="Arial" w:hAnsi="Arial"/>
          <w:b/>
          <w:i w:val="0"/>
          <w:color w:val="FFFFFF"/>
          <w:sz w:val="28"/>
        </w:rPr>
        <w:t>Cover Letter</w:t>
      </w:r>
    </w:p>
    <w:p>
      <w:pPr>
        <w:spacing w:before="60" w:after="60"/>
      </w:pPr>
      <w:r>
        <w:rPr>
          <w:rFonts w:ascii="Arial" w:hAnsi="Arial"/>
          <w:b w:val="0"/>
          <w:i w:val="0"/>
          <w:color w:val="595959"/>
          <w:sz w:val="20"/>
        </w:rPr>
        <w:t>{quoteDate}</w:t>
      </w:r>
    </w:p>
    <w:p>
      <w:pPr>
        <w:spacing w:before="60" w:after="60"/>
      </w:pPr>
      <w:r>
        <w:rPr>
          <w:rFonts w:ascii="Arial" w:hAnsi="Arial"/>
          <w:b w:val="0"/>
          <w:i w:val="0"/>
          <w:color w:val="595959"/>
          <w:sz w:val="20"/>
        </w:rPr>
        <w:t>{memberName}</w:t>
      </w:r>
    </w:p>
    <w:p>
      <w:pPr>
        <w:spacing w:before="60" w:after="60"/>
      </w:pPr>
      <w:r>
        <w:rPr>
          <w:rFonts w:ascii="Arial" w:hAnsi="Arial"/>
          <w:b w:val="0"/>
          <w:i w:val="0"/>
          <w:color w:val="595959"/>
          <w:sz w:val="20"/>
        </w:rPr>
        <w:t>{memberAddress}</w:t>
      </w:r>
    </w:p>
    <w:p>
      <w:pPr>
        <w:spacing w:before="200" w:after="200"/>
      </w:pPr>
      <w:r>
        <w:rPr>
          <w:rFonts w:ascii="Arial" w:hAnsi="Arial"/>
          <w:b/>
          <w:i w:val="0"/>
          <w:color w:val="595959"/>
          <w:sz w:val="20"/>
        </w:rPr>
        <w:t>RE: Workers’ Compensation Insurance Proposal — Nevada Builders Alliance Member Program</w:t>
      </w:r>
    </w:p>
    <w:p>
      <w:pPr>
        <w:spacing w:before="0" w:after="200"/>
        <w:jc w:val="left"/>
      </w:pPr>
      <w:r>
        <w:rPr>
          <w:rFonts w:ascii="Arial" w:hAnsi="Arial"/>
          <w:b w:val="0"/>
          <w:i w:val="0"/>
          <w:color w:val="595959"/>
          <w:sz w:val="20"/>
        </w:rPr>
        <w:t>Dear {memberName},</w:t>
      </w:r>
    </w:p>
    <w:p>
      <w:pPr>
        <w:spacing w:before="240" w:after="120"/>
        <w:pBdr>
          <w:bottom w:val="single" w:sz="8" w:space="4" w:color="CCCCCC"/>
        </w:pBdr>
      </w:pPr>
      <w:r>
        <w:rPr>
          <w:rFonts w:ascii="Arial" w:hAnsi="Arial"/>
          <w:b/>
          <w:i w:val="0"/>
          <w:color w:val="1F3864"/>
          <w:sz w:val="22"/>
        </w:rPr>
        <w:t>About this proposal</w:t>
      </w:r>
    </w:p>
    <w:p>
      <w:pPr>
        <w:spacing w:before="0" w:after="120"/>
        <w:jc w:val="left"/>
      </w:pPr>
      <w:r>
        <w:rPr>
          <w:rFonts w:ascii="Arial" w:hAnsi="Arial"/>
          <w:b w:val="0"/>
          <w:i w:val="0"/>
          <w:color w:val="595959"/>
          <w:sz w:val="20"/>
        </w:rPr>
        <w:t>On behalf of Nevada Builders Alliance Insurance Solutions (NBAIS), we are pleased to present this Workers’ Compensation Insurance Proposal for your review. This proposal has been prepared specifically for your business based on the information provided and the Nevada Builders Alliance Member Program administered through NBAIS.</w:t>
      </w:r>
    </w:p>
    <w:p>
      <w:pPr>
        <w:spacing w:before="0" w:after="120"/>
        <w:jc w:val="left"/>
      </w:pPr>
      <w:r>
        <w:rPr>
          <w:rFonts w:ascii="Arial" w:hAnsi="Arial"/>
          <w:b w:val="0"/>
          <w:i w:val="0"/>
          <w:color w:val="595959"/>
          <w:sz w:val="20"/>
        </w:rPr>
        <w:t>The NBAIS Workers’ Compensation program is administered through the Builders Association of Western Nevada Self-Insured Group (BAWNSIG), a Nevada state-regulated self-insured group offering competitive rates and comprehensive coverage for member businesses.</w:t>
      </w:r>
    </w:p>
    <w:p>
      <w:pPr>
        <w:spacing w:before="240" w:after="120"/>
        <w:pBdr>
          <w:bottom w:val="single" w:sz="8" w:space="4" w:color="CCCCCC"/>
        </w:pBdr>
      </w:pPr>
      <w:r>
        <w:rPr>
          <w:rFonts w:ascii="Arial" w:hAnsi="Arial"/>
          <w:b/>
          <w:i w:val="0"/>
          <w:color w:val="1F3864"/>
          <w:sz w:val="22"/>
        </w:rPr>
        <w:t>Program highlights</w:t>
      </w:r>
    </w:p>
    <w:p>
      <w:pPr>
        <w:spacing w:before="60" w:after="60"/>
        <w:ind w:left="280"/>
        <w:shd w:val="clear" w:color="auto" w:fill="EBF3FB"/>
      </w:pPr>
      <w:r>
        <w:rPr>
          <w:rFonts w:ascii="Arial" w:hAnsi="Arial"/>
          <w:b/>
          <w:i w:val="0"/>
          <w:color w:val="2E75B6"/>
          <w:sz w:val="20"/>
        </w:rPr>
        <w:t xml:space="preserve">✓  </w:t>
      </w:r>
      <w:r>
        <w:rPr>
          <w:rFonts w:ascii="Arial" w:hAnsi="Arial"/>
          <w:b w:val="0"/>
          <w:i w:val="0"/>
          <w:color w:val="595959"/>
          <w:sz w:val="20"/>
        </w:rPr>
        <w:t>Competitive rates designed for Nevada Builders Alliance members</w:t>
      </w:r>
    </w:p>
    <w:p>
      <w:pPr>
        <w:spacing w:before="60" w:after="60"/>
        <w:ind w:left="280"/>
        <w:shd w:val="clear" w:color="auto" w:fill="EBF3FB"/>
      </w:pPr>
      <w:r>
        <w:rPr>
          <w:rFonts w:ascii="Arial" w:hAnsi="Arial"/>
          <w:b/>
          <w:i w:val="0"/>
          <w:color w:val="2E75B6"/>
          <w:sz w:val="20"/>
        </w:rPr>
        <w:t xml:space="preserve">✓  </w:t>
      </w:r>
      <w:r>
        <w:rPr>
          <w:rFonts w:ascii="Arial" w:hAnsi="Arial"/>
          <w:b w:val="0"/>
          <w:i w:val="0"/>
          <w:color w:val="595959"/>
          <w:sz w:val="20"/>
        </w:rPr>
        <w:t>Nevada statutory Workers’ Compensation coverage — Part I</w:t>
      </w:r>
    </w:p>
    <w:p>
      <w:pPr>
        <w:spacing w:before="60" w:after="60"/>
        <w:ind w:left="280"/>
        <w:shd w:val="clear" w:color="auto" w:fill="EBF3FB"/>
      </w:pPr>
      <w:r>
        <w:rPr>
          <w:rFonts w:ascii="Arial" w:hAnsi="Arial"/>
          <w:b/>
          <w:i w:val="0"/>
          <w:color w:val="2E75B6"/>
          <w:sz w:val="20"/>
        </w:rPr>
        <w:t xml:space="preserve">✓  </w:t>
      </w:r>
      <w:r>
        <w:rPr>
          <w:rFonts w:ascii="Arial" w:hAnsi="Arial"/>
          <w:b w:val="0"/>
          <w:i w:val="0"/>
          <w:color w:val="595959"/>
          <w:sz w:val="20"/>
        </w:rPr>
        <w:t>Employers’ Liability coverage — Part II, up to $1,000,000 per occurrence</w:t>
      </w:r>
    </w:p>
    <w:p>
      <w:pPr>
        <w:spacing w:before="60" w:after="60"/>
        <w:ind w:left="280"/>
        <w:shd w:val="clear" w:color="auto" w:fill="EBF3FB"/>
      </w:pPr>
      <w:r>
        <w:rPr>
          <w:rFonts w:ascii="Arial" w:hAnsi="Arial"/>
          <w:b/>
          <w:i w:val="0"/>
          <w:color w:val="2E75B6"/>
          <w:sz w:val="20"/>
        </w:rPr>
        <w:t xml:space="preserve">✓  </w:t>
      </w:r>
      <w:r>
        <w:rPr>
          <w:rFonts w:ascii="Arial" w:hAnsi="Arial"/>
          <w:b w:val="0"/>
          <w:i w:val="0"/>
          <w:color w:val="595959"/>
          <w:sz w:val="20"/>
        </w:rPr>
        <w:t>Program managed by Lusense, an experienced WC program administrator</w:t>
      </w:r>
    </w:p>
    <w:p>
      <w:pPr>
        <w:spacing w:before="60" w:after="60"/>
        <w:ind w:left="280"/>
        <w:shd w:val="clear" w:color="auto" w:fill="EBF3FB"/>
      </w:pPr>
      <w:r>
        <w:rPr>
          <w:rFonts w:ascii="Arial" w:hAnsi="Arial"/>
          <w:b/>
          <w:i w:val="0"/>
          <w:color w:val="2E75B6"/>
          <w:sz w:val="20"/>
        </w:rPr>
        <w:t xml:space="preserve">✓  </w:t>
      </w:r>
      <w:r>
        <w:rPr>
          <w:rFonts w:ascii="Arial" w:hAnsi="Arial"/>
          <w:b w:val="0"/>
          <w:i w:val="0"/>
          <w:color w:val="595959"/>
          <w:sz w:val="20"/>
        </w:rPr>
        <w:t>Secure online payment portal for convenient premium payment</w:t>
      </w:r>
    </w:p>
    <w:p>
      <w:pPr>
        <w:spacing w:before="240" w:after="120"/>
        <w:pBdr>
          <w:bottom w:val="single" w:sz="8" w:space="4" w:color="CCCCCC"/>
        </w:pBdr>
      </w:pPr>
      <w:r>
        <w:rPr>
          <w:rFonts w:ascii="Arial" w:hAnsi="Arial"/>
          <w:b/>
          <w:i w:val="0"/>
          <w:color w:val="1F3864"/>
          <w:sz w:val="22"/>
        </w:rPr>
        <w:t>What is included in this proposal</w:t>
      </w:r>
    </w:p>
    <w:p>
      <w:pPr>
        <w:spacing w:before="0" w:after="120"/>
        <w:jc w:val="left"/>
      </w:pPr>
      <w:r>
        <w:rPr>
          <w:rFonts w:ascii="Arial" w:hAnsi="Arial"/>
          <w:b w:val="0"/>
          <w:i w:val="0"/>
          <w:color w:val="595959"/>
          <w:sz w:val="20"/>
        </w:rPr>
        <w:t>This proposal package contains the following for your review:</w:t>
      </w:r>
    </w:p>
    <w:p>
      <w:pPr>
        <w:spacing w:before="40" w:after="40"/>
        <w:ind w:left="360"/>
      </w:pPr>
      <w:r>
        <w:rPr>
          <w:rFonts w:ascii="Arial" w:hAnsi="Arial"/>
          <w:b w:val="0"/>
          <w:i w:val="0"/>
          <w:color w:val="595959"/>
          <w:sz w:val="20"/>
        </w:rPr>
        <w:t xml:space="preserve">•  </w:t>
      </w:r>
      <w:r>
        <w:rPr>
          <w:rFonts w:ascii="Arial" w:hAnsi="Arial"/>
          <w:b/>
          <w:i w:val="0"/>
          <w:color w:val="595959"/>
          <w:sz w:val="20"/>
        </w:rPr>
        <w:t>Premium Summary</w:t>
      </w:r>
      <w:r>
        <w:rPr>
          <w:rFonts w:ascii="Arial" w:hAnsi="Arial"/>
          <w:b w:val="0"/>
          <w:i w:val="0"/>
          <w:color w:val="595959"/>
          <w:sz w:val="20"/>
        </w:rPr>
        <w:t xml:space="preserve"> — Your estimated Workers’ Compensation premium for the policy period.</w:t>
      </w:r>
    </w:p>
    <w:p>
      <w:pPr>
        <w:spacing w:before="40" w:after="40"/>
        <w:ind w:left="360"/>
      </w:pPr>
      <w:r>
        <w:rPr>
          <w:rFonts w:ascii="Arial" w:hAnsi="Arial"/>
          <w:b w:val="0"/>
          <w:i w:val="0"/>
          <w:color w:val="595959"/>
          <w:sz w:val="20"/>
        </w:rPr>
        <w:t xml:space="preserve">•  </w:t>
      </w:r>
      <w:r>
        <w:rPr>
          <w:rFonts w:ascii="Arial" w:hAnsi="Arial"/>
          <w:b/>
          <w:i w:val="0"/>
          <w:color w:val="595959"/>
          <w:sz w:val="20"/>
        </w:rPr>
        <w:t>Coverage Details</w:t>
      </w:r>
      <w:r>
        <w:rPr>
          <w:rFonts w:ascii="Arial" w:hAnsi="Arial"/>
          <w:b w:val="0"/>
          <w:i w:val="0"/>
          <w:color w:val="595959"/>
          <w:sz w:val="20"/>
        </w:rPr>
        <w:t xml:space="preserve"> — Policy terms, carrier information, coverage limits, and class schedule.</w:t>
      </w:r>
    </w:p>
    <w:p>
      <w:pPr>
        <w:spacing w:before="40" w:after="40"/>
        <w:ind w:left="360"/>
      </w:pPr>
      <w:r>
        <w:rPr>
          <w:rFonts w:ascii="Arial" w:hAnsi="Arial"/>
          <w:b w:val="0"/>
          <w:i w:val="0"/>
          <w:color w:val="595959"/>
          <w:sz w:val="20"/>
        </w:rPr>
        <w:t xml:space="preserve">•  </w:t>
      </w:r>
      <w:r>
        <w:rPr>
          <w:rFonts w:ascii="Arial" w:hAnsi="Arial"/>
          <w:b/>
          <w:i w:val="0"/>
          <w:color w:val="595959"/>
          <w:sz w:val="20"/>
        </w:rPr>
        <w:t>Next Steps &amp; Authorization</w:t>
      </w:r>
      <w:r>
        <w:rPr>
          <w:rFonts w:ascii="Arial" w:hAnsi="Arial"/>
          <w:b w:val="0"/>
          <w:i w:val="0"/>
          <w:color w:val="595959"/>
          <w:sz w:val="20"/>
        </w:rPr>
        <w:t xml:space="preserve"> — Instructions for binding coverage and member authorization.</w:t>
      </w:r>
    </w:p>
    <w:p>
      <w:pPr>
        <w:spacing w:before="40" w:after="40"/>
        <w:ind w:left="360"/>
      </w:pPr>
      <w:r>
        <w:rPr>
          <w:rFonts w:ascii="Arial" w:hAnsi="Arial"/>
          <w:b w:val="0"/>
          <w:i w:val="0"/>
          <w:color w:val="595959"/>
          <w:sz w:val="20"/>
        </w:rPr>
        <w:t xml:space="preserve">•  </w:t>
      </w:r>
      <w:r>
        <w:rPr>
          <w:rFonts w:ascii="Arial" w:hAnsi="Arial"/>
          <w:b/>
          <w:i w:val="0"/>
          <w:color w:val="595959"/>
          <w:sz w:val="20"/>
        </w:rPr>
        <w:t>Coverage Recommendations</w:t>
      </w:r>
      <w:r>
        <w:rPr>
          <w:rFonts w:ascii="Arial" w:hAnsi="Arial"/>
          <w:b w:val="0"/>
          <w:i w:val="0"/>
          <w:color w:val="595959"/>
          <w:sz w:val="20"/>
        </w:rPr>
        <w:t xml:space="preserve"> — Additional insurance lines available through NBAIS.</w:t>
      </w:r>
    </w:p>
    <w:p>
      <w:pPr>
        <w:sectPr>
          <w:headerReference w:type="default" r:id="rId11"/>
          <w:footerReference w:type="default" r:id="rId12"/>
          <w:pgSz w:w="12240" w:h="15840"/>
          <w:pgMar w:top="1440" w:right="1440" w:bottom="1440" w:left="1440" w:header="432" w:footer="432" w:gutter="0"/>
          <w:cols w:space="720"/>
          <w:docGrid w:linePitch="360"/>
        </w:sectPr>
      </w:pPr>
    </w:p>
    <w:p>
      <w:pPr>
        <w:shd w:val="clear" w:color="auto" w:fill="1F3864"/>
        <w:spacing w:before="160" w:after="160"/>
        <w:ind w:left="280"/>
      </w:pPr>
      <w:r>
        <w:rPr>
          <w:rFonts w:ascii="Arial" w:hAnsi="Arial"/>
          <w:b/>
          <w:i w:val="0"/>
          <w:color w:val="FFFFFF"/>
          <w:sz w:val="28"/>
        </w:rPr>
        <w:t>Premium Summary</w:t>
      </w:r>
    </w:p>
    <w:p>
      <w:pPr>
        <w:spacing w:before="160" w:after="200"/>
      </w:pPr>
      <w:r>
        <w:rPr>
          <w:rFonts w:ascii="Arial" w:hAnsi="Arial"/>
          <w:b w:val="0"/>
          <w:i/>
          <w:color w:val="595959"/>
          <w:sz w:val="20"/>
        </w:rPr>
        <w:t>Your estimated cost for the coverage period {policyPeriod}. All figures are subject to final payroll audit.</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4680"/>
        <w:gridCol w:w="4680"/>
      </w:tblGrid>
      <w:tr>
        <w:tc>
          <w:tcPr>
            <w:tcW w:type="dxa" w:w="9360"/>
            <w:gridSpan w:val="2"/>
            <w:shd w:val="clear" w:color="auto" w:fill="1F3864"/>
            <w:tcMar>
              <w:top w:w="80" w:type="dxa"/>
              <w:bottom w:w="80" w:type="dxa"/>
              <w:left w:w="100" w:type="dxa"/>
              <w:right w:w="80" w:type="dxa"/>
            </w:tcMar>
          </w:tcPr>
          <w:p>
            <w:r>
              <w:rPr>
                <w:rFonts w:ascii="Arial" w:hAnsi="Arial"/>
                <w:b/>
                <w:i w:val="0"/>
                <w:color w:val="FFFFFF"/>
                <w:sz w:val="22"/>
              </w:rPr>
              <w:t>Coverage at a Glance</w:t>
            </w:r>
          </w:p>
        </w:tc>
      </w:tr>
      <w:tr>
        <w:tc>
          <w:tcPr>
            <w:tcW w:type="dxa" w:w="4680"/>
            <w:tcW w:w="3276" w:type="dxa"/>
            <w:tcMar>
              <w:top w:w="80" w:type="dxa"/>
              <w:bottom w:w="80" w:type="dxa"/>
              <w:left w:w="115" w:type="dxa"/>
              <w:right w:w="115" w:type="dxa"/>
            </w:tcMar>
            <w:shd w:val="clear" w:color="auto" w:fill="F5F5F5"/>
          </w:tcPr>
          <w:p>
            <w:r>
              <w:rPr>
                <w:rFonts w:ascii="Arial" w:hAnsi="Arial"/>
                <w:b/>
                <w:i w:val="0"/>
                <w:color w:val="1F3864"/>
                <w:sz w:val="20"/>
              </w:rPr>
              <w:t>Insured</w:t>
            </w:r>
          </w:p>
        </w:tc>
        <w:tc>
          <w:tcPr>
            <w:tcW w:type="dxa" w:w="4680"/>
            <w:tcW w:w="6084" w:type="dxa"/>
            <w:tcMar>
              <w:top w:w="80" w:type="dxa"/>
              <w:bottom w:w="80" w:type="dxa"/>
              <w:left w:w="115" w:type="dxa"/>
              <w:right w:w="115" w:type="dxa"/>
            </w:tcMar>
            <w:shd w:val="clear" w:color="auto" w:fill="F5F5F5"/>
          </w:tcPr>
          <w:p>
            <w:r>
              <w:rPr>
                <w:rFonts w:ascii="Arial" w:hAnsi="Arial"/>
                <w:b w:val="0"/>
                <w:i w:val="0"/>
                <w:color w:val="595959"/>
                <w:sz w:val="20"/>
              </w:rPr>
              <w:t>{memberName}</w:t>
            </w:r>
          </w:p>
        </w:tc>
      </w:tr>
      <w:tr>
        <w:tc>
          <w:tcPr>
            <w:tcW w:type="dxa" w:w="4680"/>
            <w:tcW w:w="3276" w:type="dxa"/>
            <w:tcMar>
              <w:top w:w="80" w:type="dxa"/>
              <w:bottom w:w="80" w:type="dxa"/>
              <w:left w:w="115" w:type="dxa"/>
              <w:right w:w="115" w:type="dxa"/>
            </w:tcMar>
          </w:tcPr>
          <w:p>
            <w:r>
              <w:rPr>
                <w:rFonts w:ascii="Arial" w:hAnsi="Arial"/>
                <w:b/>
                <w:i w:val="0"/>
                <w:color w:val="1F3864"/>
                <w:sz w:val="20"/>
              </w:rPr>
              <w:t>Policy Period</w:t>
            </w:r>
          </w:p>
        </w:tc>
        <w:tc>
          <w:tcPr>
            <w:tcW w:type="dxa" w:w="4680"/>
            <w:tcW w:w="6084" w:type="dxa"/>
            <w:tcMar>
              <w:top w:w="80" w:type="dxa"/>
              <w:bottom w:w="80" w:type="dxa"/>
              <w:left w:w="115" w:type="dxa"/>
              <w:right w:w="115" w:type="dxa"/>
            </w:tcMar>
          </w:tcPr>
          <w:p>
            <w:r>
              <w:rPr>
                <w:rFonts w:ascii="Arial" w:hAnsi="Arial"/>
                <w:b w:val="0"/>
                <w:i w:val="0"/>
                <w:color w:val="595959"/>
                <w:sz w:val="20"/>
              </w:rPr>
              <w:t>{policyPeriod}</w:t>
            </w:r>
          </w:p>
        </w:tc>
      </w:tr>
      <w:tr>
        <w:tc>
          <w:tcPr>
            <w:tcW w:type="dxa" w:w="4680"/>
            <w:tcW w:w="3276" w:type="dxa"/>
            <w:tcMar>
              <w:top w:w="80" w:type="dxa"/>
              <w:bottom w:w="80" w:type="dxa"/>
              <w:left w:w="115" w:type="dxa"/>
              <w:right w:w="115" w:type="dxa"/>
            </w:tcMar>
            <w:shd w:val="clear" w:color="auto" w:fill="F5F5F5"/>
          </w:tcPr>
          <w:p>
            <w:r>
              <w:rPr>
                <w:rFonts w:ascii="Arial" w:hAnsi="Arial"/>
                <w:b/>
                <w:i w:val="0"/>
                <w:color w:val="1F3864"/>
                <w:sz w:val="20"/>
              </w:rPr>
              <w:t>Coverage</w:t>
            </w:r>
          </w:p>
        </w:tc>
        <w:tc>
          <w:tcPr>
            <w:tcW w:type="dxa" w:w="4680"/>
            <w:tcW w:w="6084" w:type="dxa"/>
            <w:tcMar>
              <w:top w:w="80" w:type="dxa"/>
              <w:bottom w:w="80" w:type="dxa"/>
              <w:left w:w="115" w:type="dxa"/>
              <w:right w:w="115" w:type="dxa"/>
            </w:tcMar>
            <w:shd w:val="clear" w:color="auto" w:fill="F5F5F5"/>
          </w:tcPr>
          <w:p>
            <w:r>
              <w:rPr>
                <w:rFonts w:ascii="Arial" w:hAnsi="Arial"/>
                <w:b w:val="0"/>
                <w:i w:val="0"/>
                <w:color w:val="595959"/>
                <w:sz w:val="20"/>
              </w:rPr>
              <w:t>Workers’ Compensation — Statutory (Nevada) / Employers’ Liability</w:t>
            </w:r>
          </w:p>
        </w:tc>
      </w:tr>
      <w:tr>
        <w:tc>
          <w:tcPr>
            <w:tcW w:type="dxa" w:w="4680"/>
            <w:tcW w:w="3276" w:type="dxa"/>
            <w:tcMar>
              <w:top w:w="80" w:type="dxa"/>
              <w:bottom w:w="80" w:type="dxa"/>
              <w:left w:w="115" w:type="dxa"/>
              <w:right w:w="115" w:type="dxa"/>
            </w:tcMar>
          </w:tcPr>
          <w:p>
            <w:r>
              <w:rPr>
                <w:rFonts w:ascii="Arial" w:hAnsi="Arial"/>
                <w:b/>
                <w:i w:val="0"/>
                <w:color w:val="1F3864"/>
                <w:sz w:val="20"/>
              </w:rPr>
              <w:t>Employers’ Liability Limits</w:t>
            </w:r>
          </w:p>
        </w:tc>
        <w:tc>
          <w:tcPr>
            <w:tcW w:type="dxa" w:w="4680"/>
            <w:tcW w:w="6084" w:type="dxa"/>
            <w:tcMar>
              <w:top w:w="80" w:type="dxa"/>
              <w:bottom w:w="80" w:type="dxa"/>
              <w:left w:w="115" w:type="dxa"/>
              <w:right w:w="115" w:type="dxa"/>
            </w:tcMar>
          </w:tcPr>
          <w:p>
            <w:r>
              <w:rPr>
                <w:rFonts w:ascii="Arial" w:hAnsi="Arial"/>
                <w:b w:val="0"/>
                <w:i w:val="0"/>
                <w:color w:val="595959"/>
                <w:sz w:val="20"/>
              </w:rPr>
              <w:t>$1,000,000 Each Accident / $1,000,000 Disease – Each Employee / $1,000,000 Disease – Policy Limit</w:t>
            </w:r>
          </w:p>
        </w:tc>
      </w:tr>
      <w:tr>
        <w:tc>
          <w:tcPr>
            <w:tcW w:type="dxa" w:w="4680"/>
            <w:tcW w:w="3276" w:type="dxa"/>
            <w:tcMar>
              <w:top w:w="80" w:type="dxa"/>
              <w:bottom w:w="80" w:type="dxa"/>
              <w:left w:w="115" w:type="dxa"/>
              <w:right w:w="115" w:type="dxa"/>
            </w:tcMar>
            <w:shd w:val="clear" w:color="auto" w:fill="F5F5F5"/>
          </w:tcPr>
          <w:p>
            <w:r>
              <w:rPr>
                <w:rFonts w:ascii="Arial" w:hAnsi="Arial"/>
                <w:b/>
                <w:i w:val="0"/>
                <w:color w:val="1F3864"/>
                <w:sz w:val="20"/>
              </w:rPr>
              <w:t>Program</w:t>
            </w:r>
          </w:p>
        </w:tc>
        <w:tc>
          <w:tcPr>
            <w:tcW w:type="dxa" w:w="4680"/>
            <w:tcW w:w="6084" w:type="dxa"/>
            <w:tcMar>
              <w:top w:w="80" w:type="dxa"/>
              <w:bottom w:w="80" w:type="dxa"/>
              <w:left w:w="115" w:type="dxa"/>
              <w:right w:w="115" w:type="dxa"/>
            </w:tcMar>
            <w:shd w:val="clear" w:color="auto" w:fill="F5F5F5"/>
          </w:tcPr>
          <w:p>
            <w:r>
              <w:rPr>
                <w:rFonts w:ascii="Arial" w:hAnsi="Arial"/>
                <w:b w:val="0"/>
                <w:i w:val="0"/>
                <w:color w:val="595959"/>
                <w:sz w:val="20"/>
              </w:rPr>
              <w:t>Nevada Builders Alliance — NBAIS Member Program</w:t>
            </w:r>
          </w:p>
        </w:tc>
      </w:tr>
      <w:tr>
        <w:tc>
          <w:tcPr>
            <w:tcW w:type="dxa" w:w="4680"/>
            <w:tcW w:w="3276" w:type="dxa"/>
            <w:tcMar>
              <w:top w:w="80" w:type="dxa"/>
              <w:bottom w:w="80" w:type="dxa"/>
              <w:left w:w="115" w:type="dxa"/>
              <w:right w:w="115" w:type="dxa"/>
            </w:tcMar>
          </w:tcPr>
          <w:p>
            <w:r>
              <w:rPr>
                <w:rFonts w:ascii="Arial" w:hAnsi="Arial"/>
                <w:b/>
                <w:i w:val="0"/>
                <w:color w:val="1F3864"/>
                <w:sz w:val="20"/>
              </w:rPr>
              <w:t>Carrier</w:t>
            </w:r>
          </w:p>
        </w:tc>
        <w:tc>
          <w:tcPr>
            <w:tcW w:type="dxa" w:w="4680"/>
            <w:tcW w:w="6084" w:type="dxa"/>
            <w:tcMar>
              <w:top w:w="80" w:type="dxa"/>
              <w:bottom w:w="80" w:type="dxa"/>
              <w:left w:w="115" w:type="dxa"/>
              <w:right w:w="115" w:type="dxa"/>
            </w:tcMar>
          </w:tcPr>
          <w:p>
            <w:r>
              <w:rPr>
                <w:rFonts w:ascii="Arial" w:hAnsi="Arial"/>
                <w:b w:val="0"/>
                <w:i w:val="0"/>
                <w:color w:val="595959"/>
                <w:sz w:val="20"/>
              </w:rPr>
              <w:t>Builders Association of Western Nevada Self-Insured Group (BAWNSIG)</w:t>
            </w:r>
          </w:p>
        </w:tc>
      </w:tr>
      <w:tr>
        <w:tc>
          <w:tcPr>
            <w:tcW w:type="dxa" w:w="4680"/>
            <w:tcW w:w="3276" w:type="dxa"/>
            <w:tcMar>
              <w:top w:w="80" w:type="dxa"/>
              <w:bottom w:w="80" w:type="dxa"/>
              <w:left w:w="115" w:type="dxa"/>
              <w:right w:w="115" w:type="dxa"/>
            </w:tcMar>
            <w:shd w:val="clear" w:color="auto" w:fill="F5F5F5"/>
          </w:tcPr>
          <w:p>
            <w:r>
              <w:rPr>
                <w:rFonts w:ascii="Arial" w:hAnsi="Arial"/>
                <w:b/>
                <w:i w:val="0"/>
                <w:color w:val="1F3864"/>
                <w:sz w:val="20"/>
              </w:rPr>
              <w:t>Est. Premium</w:t>
            </w:r>
          </w:p>
        </w:tc>
        <w:tc>
          <w:tcPr>
            <w:tcW w:type="dxa" w:w="4680"/>
            <w:tcW w:w="6084" w:type="dxa"/>
            <w:tcMar>
              <w:top w:w="80" w:type="dxa"/>
              <w:bottom w:w="80" w:type="dxa"/>
              <w:left w:w="115" w:type="dxa"/>
              <w:right w:w="115" w:type="dxa"/>
            </w:tcMar>
            <w:shd w:val="clear" w:color="auto" w:fill="F5F5F5"/>
          </w:tcPr>
          <w:p>
            <w:r>
              <w:rPr>
                <w:rFonts w:ascii="Arial" w:hAnsi="Arial"/>
                <w:b w:val="0"/>
                <w:i w:val="0"/>
                <w:color w:val="595959"/>
                <w:sz w:val="20"/>
              </w:rPr>
              <w:t>{estPremium} (subject to final audit)</w:t>
            </w:r>
          </w:p>
        </w:tc>
      </w:tr>
      <w:tr>
        <w:tc>
          <w:tcPr>
            <w:tcW w:type="dxa" w:w="4680"/>
            <w:tcW w:w="3276" w:type="dxa"/>
            <w:tcMar>
              <w:top w:w="80" w:type="dxa"/>
              <w:bottom w:w="80" w:type="dxa"/>
              <w:left w:w="115" w:type="dxa"/>
              <w:right w:w="115" w:type="dxa"/>
            </w:tcMar>
          </w:tcPr>
          <w:p>
            <w:r>
              <w:rPr>
                <w:rFonts w:ascii="Arial" w:hAnsi="Arial"/>
                <w:b/>
                <w:i w:val="0"/>
                <w:color w:val="1F3864"/>
                <w:sz w:val="20"/>
              </w:rPr>
              <w:t>Surplus Contribution (8%)</w:t>
            </w:r>
          </w:p>
        </w:tc>
        <w:tc>
          <w:tcPr>
            <w:tcW w:type="dxa" w:w="4680"/>
            <w:tcW w:w="6084" w:type="dxa"/>
            <w:tcMar>
              <w:top w:w="80" w:type="dxa"/>
              <w:bottom w:w="80" w:type="dxa"/>
              <w:left w:w="115" w:type="dxa"/>
              <w:right w:w="115" w:type="dxa"/>
            </w:tcMar>
          </w:tcPr>
          <w:p>
            <w:r>
              <w:rPr>
                <w:rFonts w:ascii="Arial" w:hAnsi="Arial"/>
                <w:b w:val="0"/>
                <w:i w:val="0"/>
                <w:color w:val="595959"/>
                <w:sz w:val="20"/>
              </w:rPr>
              <w:t>{surplusContribution}</w:t>
            </w:r>
          </w:p>
        </w:tc>
      </w:tr>
      <w:tr>
        <w:tc>
          <w:tcPr>
            <w:tcW w:type="dxa" w:w="4680"/>
            <w:tcW w:w="3276" w:type="dxa"/>
            <w:tcMar>
              <w:top w:w="80" w:type="dxa"/>
              <w:bottom w:w="80" w:type="dxa"/>
              <w:left w:w="115" w:type="dxa"/>
              <w:right w:w="115" w:type="dxa"/>
            </w:tcMar>
            <w:shd w:val="clear" w:color="auto" w:fill="F5F5F5"/>
          </w:tcPr>
          <w:p>
            <w:r>
              <w:rPr>
                <w:rFonts w:ascii="Arial" w:hAnsi="Arial"/>
                <w:b/>
                <w:i w:val="0"/>
                <w:color w:val="1F3864"/>
                <w:sz w:val="20"/>
              </w:rPr>
              <w:t>Employers’ Liability Fee</w:t>
            </w:r>
          </w:p>
        </w:tc>
        <w:tc>
          <w:tcPr>
            <w:tcW w:type="dxa" w:w="4680"/>
            <w:tcW w:w="6084" w:type="dxa"/>
            <w:tcMar>
              <w:top w:w="80" w:type="dxa"/>
              <w:bottom w:w="80" w:type="dxa"/>
              <w:left w:w="115" w:type="dxa"/>
              <w:right w:w="115" w:type="dxa"/>
            </w:tcMar>
            <w:shd w:val="clear" w:color="auto" w:fill="F5F5F5"/>
          </w:tcPr>
          <w:p>
            <w:r>
              <w:rPr>
                <w:rFonts w:ascii="Arial" w:hAnsi="Arial"/>
                <w:b w:val="0"/>
                <w:i w:val="0"/>
                <w:color w:val="595959"/>
                <w:sz w:val="20"/>
              </w:rPr>
              <w:t>{employersLiabilityFee}</w:t>
            </w:r>
          </w:p>
        </w:tc>
      </w:tr>
      <w:tr>
        <w:tc>
          <w:tcPr>
            <w:tcW w:type="dxa" w:w="4680"/>
            <w:shd w:val="clear" w:color="auto" w:fill="EBF3FB"/>
            <w:tcMar>
              <w:top w:w="80" w:type="dxa"/>
              <w:bottom w:w="80" w:type="dxa"/>
              <w:left w:w="80" w:type="dxa"/>
              <w:right w:w="60" w:type="dxa"/>
            </w:tcMar>
          </w:tcPr>
          <w:p>
            <w:r>
              <w:rPr>
                <w:rFonts w:ascii="Arial" w:hAnsi="Arial"/>
                <w:b/>
                <w:i w:val="0"/>
                <w:color w:val="1F3864"/>
                <w:sz w:val="22"/>
              </w:rPr>
              <w:t>Total Estimated Cost</w:t>
            </w:r>
          </w:p>
        </w:tc>
        <w:tc>
          <w:tcPr>
            <w:tcW w:type="dxa" w:w="4680"/>
            <w:shd w:val="clear" w:color="auto" w:fill="EBF3FB"/>
            <w:tcMar>
              <w:top w:w="80" w:type="dxa"/>
              <w:bottom w:w="80" w:type="dxa"/>
              <w:left w:w="80" w:type="dxa"/>
              <w:right w:w="60" w:type="dxa"/>
            </w:tcMar>
          </w:tcPr>
          <w:p>
            <w:r>
              <w:rPr>
                <w:rFonts w:ascii="Arial" w:hAnsi="Arial"/>
                <w:b/>
                <w:i w:val="0"/>
                <w:color w:val="1F3864"/>
                <w:sz w:val="22"/>
              </w:rPr>
              <w:t>{totalEstimatedPremium}</w:t>
            </w:r>
          </w:p>
        </w:tc>
      </w:tr>
      <w:tr>
        <w:tc>
          <w:tcPr>
            <w:tcW w:type="dxa" w:w="4680"/>
            <w:tcMar>
              <w:top w:w="60" w:type="dxa"/>
              <w:bottom w:w="60" w:type="dxa"/>
              <w:left w:w="80" w:type="dxa"/>
              <w:right w:w="60" w:type="dxa"/>
            </w:tcMar>
          </w:tcPr>
          <w:p>
            <w:r>
              <w:rPr>
                <w:rFonts w:ascii="Arial" w:hAnsi="Arial"/>
                <w:b/>
                <w:i w:val="0"/>
                <w:color w:val="1F3864"/>
                <w:sz w:val="20"/>
              </w:rPr>
              <w:t>Initial Down Payment</w:t>
            </w:r>
          </w:p>
        </w:tc>
        <w:tc>
          <w:tcPr>
            <w:tcW w:type="dxa" w:w="4680"/>
            <w:tcMar>
              <w:top w:w="60" w:type="dxa"/>
              <w:bottom w:w="60" w:type="dxa"/>
              <w:left w:w="80" w:type="dxa"/>
              <w:right w:w="60" w:type="dxa"/>
            </w:tcMar>
          </w:tcPr>
          <w:p>
            <w:r>
              <w:rPr>
                <w:rFonts w:ascii="Arial" w:hAnsi="Arial"/>
                <w:b w:val="0"/>
                <w:i w:val="0"/>
                <w:color w:val="595959"/>
                <w:sz w:val="20"/>
              </w:rPr>
              <w:t>{downPayment} (25% — new business). Balance payable online via secure payment link provided upon binding.</w:t>
            </w:r>
          </w:p>
        </w:tc>
      </w:tr>
    </w:tbl>
    <w:p>
      <w:pPr>
        <w:shd w:val="clear" w:color="auto" w:fill="1F3864"/>
        <w:spacing w:before="160" w:after="160"/>
        <w:ind w:left="280"/>
      </w:pPr>
      <w:r>
        <w:rPr>
          <w:rFonts w:ascii="Arial" w:hAnsi="Arial"/>
          <w:b/>
          <w:i w:val="0"/>
          <w:color w:val="FFFFFF"/>
          <w:sz w:val="26"/>
        </w:rPr>
        <w:t>Coverage Details — Workers’ Compensation</w:t>
      </w:r>
    </w:p>
    <w:p>
      <w:pPr>
        <w:spacing w:before="240" w:after="120"/>
        <w:pBdr>
          <w:bottom w:val="single" w:sz="8" w:space="4" w:color="CCCCCC"/>
        </w:pBdr>
      </w:pPr>
      <w:r>
        <w:rPr>
          <w:rFonts w:ascii="Arial" w:hAnsi="Arial"/>
          <w:b/>
          <w:i w:val="0"/>
          <w:color w:val="1F3864"/>
          <w:sz w:val="22"/>
        </w:rPr>
        <w:t>Policy Information</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4680"/>
        <w:gridCol w:w="4680"/>
      </w:tblGrid>
      <w:tr>
        <w:tc>
          <w:tcPr>
            <w:tcW w:type="dxa" w:w="4680"/>
            <w:tcW w:w="3276" w:type="dxa"/>
            <w:tcMar>
              <w:top w:w="80" w:type="dxa"/>
              <w:bottom w:w="80" w:type="dxa"/>
              <w:left w:w="115" w:type="dxa"/>
              <w:right w:w="115" w:type="dxa"/>
            </w:tcMar>
            <w:shd w:val="clear" w:color="auto" w:fill="F5F5F5"/>
          </w:tcPr>
          <w:p>
            <w:r>
              <w:rPr>
                <w:rFonts w:ascii="Arial" w:hAnsi="Arial"/>
                <w:b/>
                <w:i w:val="0"/>
                <w:color w:val="1F3864"/>
                <w:sz w:val="20"/>
              </w:rPr>
              <w:t>Carrier</w:t>
            </w:r>
          </w:p>
        </w:tc>
        <w:tc>
          <w:tcPr>
            <w:tcW w:type="dxa" w:w="4680"/>
            <w:tcW w:w="6084" w:type="dxa"/>
            <w:tcMar>
              <w:top w:w="80" w:type="dxa"/>
              <w:bottom w:w="80" w:type="dxa"/>
              <w:left w:w="115" w:type="dxa"/>
              <w:right w:w="115" w:type="dxa"/>
            </w:tcMar>
            <w:shd w:val="clear" w:color="auto" w:fill="F5F5F5"/>
          </w:tcPr>
          <w:p>
            <w:r>
              <w:rPr>
                <w:rFonts w:ascii="Arial" w:hAnsi="Arial"/>
                <w:b w:val="0"/>
                <w:i w:val="0"/>
                <w:color w:val="595959"/>
                <w:sz w:val="20"/>
              </w:rPr>
              <w:t>Builders Association of Western Nevada Self-Insured Group (BAWNSIG)</w:t>
            </w:r>
          </w:p>
        </w:tc>
      </w:tr>
      <w:tr>
        <w:tc>
          <w:tcPr>
            <w:tcW w:type="dxa" w:w="4680"/>
            <w:tcW w:w="3276" w:type="dxa"/>
            <w:tcMar>
              <w:top w:w="80" w:type="dxa"/>
              <w:bottom w:w="80" w:type="dxa"/>
              <w:left w:w="115" w:type="dxa"/>
              <w:right w:w="115" w:type="dxa"/>
            </w:tcMar>
          </w:tcPr>
          <w:p>
            <w:r>
              <w:rPr>
                <w:rFonts w:ascii="Arial" w:hAnsi="Arial"/>
                <w:b/>
                <w:i w:val="0"/>
                <w:color w:val="1F3864"/>
                <w:sz w:val="20"/>
              </w:rPr>
              <w:t>Program Manager</w:t>
            </w:r>
          </w:p>
        </w:tc>
        <w:tc>
          <w:tcPr>
            <w:tcW w:type="dxa" w:w="4680"/>
            <w:tcW w:w="6084" w:type="dxa"/>
            <w:tcMar>
              <w:top w:w="80" w:type="dxa"/>
              <w:bottom w:w="80" w:type="dxa"/>
              <w:left w:w="115" w:type="dxa"/>
              <w:right w:w="115" w:type="dxa"/>
            </w:tcMar>
          </w:tcPr>
          <w:p>
            <w:r>
              <w:rPr>
                <w:rFonts w:ascii="Arial" w:hAnsi="Arial"/>
                <w:b w:val="0"/>
                <w:i w:val="0"/>
                <w:color w:val="595959"/>
                <w:sz w:val="20"/>
              </w:rPr>
              <w:t>Lusense</w:t>
            </w:r>
          </w:p>
        </w:tc>
      </w:tr>
      <w:tr>
        <w:tc>
          <w:tcPr>
            <w:tcW w:type="dxa" w:w="4680"/>
            <w:tcW w:w="3276" w:type="dxa"/>
            <w:tcMar>
              <w:top w:w="80" w:type="dxa"/>
              <w:bottom w:w="80" w:type="dxa"/>
              <w:left w:w="115" w:type="dxa"/>
              <w:right w:w="115" w:type="dxa"/>
            </w:tcMar>
            <w:shd w:val="clear" w:color="auto" w:fill="F5F5F5"/>
          </w:tcPr>
          <w:p>
            <w:r>
              <w:rPr>
                <w:rFonts w:ascii="Arial" w:hAnsi="Arial"/>
                <w:b/>
                <w:i w:val="0"/>
                <w:color w:val="1F3864"/>
                <w:sz w:val="20"/>
              </w:rPr>
              <w:t>Financial Strength</w:t>
            </w:r>
          </w:p>
        </w:tc>
        <w:tc>
          <w:tcPr>
            <w:tcW w:type="dxa" w:w="4680"/>
            <w:tcW w:w="6084" w:type="dxa"/>
            <w:tcMar>
              <w:top w:w="80" w:type="dxa"/>
              <w:bottom w:w="80" w:type="dxa"/>
              <w:left w:w="115" w:type="dxa"/>
              <w:right w:w="115" w:type="dxa"/>
            </w:tcMar>
            <w:shd w:val="clear" w:color="auto" w:fill="F5F5F5"/>
          </w:tcPr>
          <w:p>
            <w:r>
              <w:rPr>
                <w:rFonts w:ascii="Arial" w:hAnsi="Arial"/>
                <w:b w:val="0"/>
                <w:i w:val="0"/>
                <w:color w:val="595959"/>
                <w:sz w:val="20"/>
              </w:rPr>
              <w:t>BAWNSIG is a Nevada state-regulated self-insured group. AM Best rating not applicable — see program disclosure.</w:t>
            </w:r>
          </w:p>
        </w:tc>
      </w:tr>
      <w:tr>
        <w:tc>
          <w:tcPr>
            <w:tcW w:type="dxa" w:w="4680"/>
            <w:tcW w:w="3276" w:type="dxa"/>
            <w:tcMar>
              <w:top w:w="80" w:type="dxa"/>
              <w:bottom w:w="80" w:type="dxa"/>
              <w:left w:w="115" w:type="dxa"/>
              <w:right w:w="115" w:type="dxa"/>
            </w:tcMar>
          </w:tcPr>
          <w:p>
            <w:r>
              <w:rPr>
                <w:rFonts w:ascii="Arial" w:hAnsi="Arial"/>
                <w:b/>
                <w:i w:val="0"/>
                <w:color w:val="1F3864"/>
                <w:sz w:val="20"/>
              </w:rPr>
              <w:t>Policy Period</w:t>
            </w:r>
          </w:p>
        </w:tc>
        <w:tc>
          <w:tcPr>
            <w:tcW w:type="dxa" w:w="4680"/>
            <w:tcW w:w="6084" w:type="dxa"/>
            <w:tcMar>
              <w:top w:w="80" w:type="dxa"/>
              <w:bottom w:w="80" w:type="dxa"/>
              <w:left w:w="115" w:type="dxa"/>
              <w:right w:w="115" w:type="dxa"/>
            </w:tcMar>
          </w:tcPr>
          <w:p>
            <w:r>
              <w:rPr>
                <w:rFonts w:ascii="Arial" w:hAnsi="Arial"/>
                <w:b w:val="0"/>
                <w:i w:val="0"/>
                <w:color w:val="595959"/>
                <w:sz w:val="20"/>
              </w:rPr>
              <w:t>{policyPeriod}</w:t>
            </w:r>
          </w:p>
        </w:tc>
      </w:tr>
      <w:tr>
        <w:tc>
          <w:tcPr>
            <w:tcW w:type="dxa" w:w="4680"/>
            <w:tcW w:w="3276" w:type="dxa"/>
            <w:tcMar>
              <w:top w:w="80" w:type="dxa"/>
              <w:bottom w:w="80" w:type="dxa"/>
              <w:left w:w="115" w:type="dxa"/>
              <w:right w:w="115" w:type="dxa"/>
            </w:tcMar>
            <w:shd w:val="clear" w:color="auto" w:fill="F5F5F5"/>
          </w:tcPr>
          <w:p>
            <w:r>
              <w:rPr>
                <w:rFonts w:ascii="Arial" w:hAnsi="Arial"/>
                <w:b/>
                <w:i w:val="0"/>
                <w:color w:val="1F3864"/>
                <w:sz w:val="20"/>
              </w:rPr>
              <w:t>Coverage</w:t>
            </w:r>
          </w:p>
        </w:tc>
        <w:tc>
          <w:tcPr>
            <w:tcW w:type="dxa" w:w="4680"/>
            <w:tcW w:w="6084" w:type="dxa"/>
            <w:tcMar>
              <w:top w:w="80" w:type="dxa"/>
              <w:bottom w:w="80" w:type="dxa"/>
              <w:left w:w="115" w:type="dxa"/>
              <w:right w:w="115" w:type="dxa"/>
            </w:tcMar>
            <w:shd w:val="clear" w:color="auto" w:fill="F5F5F5"/>
          </w:tcPr>
          <w:p>
            <w:r>
              <w:rPr>
                <w:rFonts w:ascii="Arial" w:hAnsi="Arial"/>
                <w:b w:val="0"/>
                <w:i w:val="0"/>
                <w:color w:val="595959"/>
                <w:sz w:val="20"/>
              </w:rPr>
              <w:t>Workers’ Compensation</w:t>
            </w:r>
          </w:p>
        </w:tc>
      </w:tr>
      <w:tr>
        <w:tc>
          <w:tcPr>
            <w:tcW w:type="dxa" w:w="4680"/>
            <w:tcW w:w="3276" w:type="dxa"/>
            <w:tcMar>
              <w:top w:w="80" w:type="dxa"/>
              <w:bottom w:w="80" w:type="dxa"/>
              <w:left w:w="115" w:type="dxa"/>
              <w:right w:w="115" w:type="dxa"/>
            </w:tcMar>
          </w:tcPr>
          <w:p>
            <w:r>
              <w:rPr>
                <w:rFonts w:ascii="Arial" w:hAnsi="Arial"/>
                <w:b/>
                <w:i w:val="0"/>
                <w:color w:val="1F3864"/>
                <w:sz w:val="20"/>
              </w:rPr>
              <w:t>States Covered</w:t>
            </w:r>
          </w:p>
        </w:tc>
        <w:tc>
          <w:tcPr>
            <w:tcW w:type="dxa" w:w="4680"/>
            <w:tcW w:w="6084" w:type="dxa"/>
            <w:tcMar>
              <w:top w:w="80" w:type="dxa"/>
              <w:bottom w:w="80" w:type="dxa"/>
              <w:left w:w="115" w:type="dxa"/>
              <w:right w:w="115" w:type="dxa"/>
            </w:tcMar>
          </w:tcPr>
          <w:p>
            <w:r>
              <w:rPr>
                <w:rFonts w:ascii="Arial" w:hAnsi="Arial"/>
                <w:b w:val="0"/>
                <w:i w:val="0"/>
                <w:color w:val="595959"/>
                <w:sz w:val="20"/>
              </w:rPr>
              <w:t>Nevada</w:t>
            </w:r>
          </w:p>
        </w:tc>
      </w:tr>
    </w:tbl>
    <w:p>
      <w:pPr>
        <w:spacing w:before="240" w:after="120"/>
        <w:pBdr>
          <w:bottom w:val="single" w:sz="8" w:space="4" w:color="CCCCCC"/>
        </w:pBdr>
      </w:pPr>
      <w:r>
        <w:rPr>
          <w:rFonts w:ascii="Arial" w:hAnsi="Arial"/>
          <w:b/>
          <w:i w:val="0"/>
          <w:color w:val="1F3864"/>
          <w:sz w:val="22"/>
        </w:rPr>
        <w:t>Named Insured</w:t>
      </w:r>
    </w:p>
    <w:p>
      <w:pPr>
        <w:spacing w:before="80" w:after="80"/>
      </w:pPr>
      <w:r>
        <w:rPr>
          <w:rFonts w:ascii="Arial" w:hAnsi="Arial"/>
          <w:b/>
          <w:i w:val="0"/>
          <w:color w:val="1F3864"/>
          <w:sz w:val="22"/>
        </w:rPr>
        <w:t>{memberLegalName}</w:t>
      </w:r>
    </w:p>
    <w:p>
      <w:pPr>
        <w:spacing w:before="240" w:after="120"/>
        <w:pBdr>
          <w:bottom w:val="single" w:sz="8" w:space="4" w:color="CCCCCC"/>
        </w:pBdr>
      </w:pPr>
      <w:r>
        <w:rPr>
          <w:rFonts w:ascii="Arial" w:hAnsi="Arial"/>
          <w:b/>
          <w:i w:val="0"/>
          <w:color w:val="1F3864"/>
          <w:sz w:val="22"/>
        </w:rPr>
        <w:t>Coverage and Limits</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4680"/>
        <w:gridCol w:w="4680"/>
      </w:tblGrid>
      <w:tr>
        <w:tc>
          <w:tcPr>
            <w:tcW w:type="dxa" w:w="4680"/>
            <w:shd w:val="clear" w:color="auto" w:fill="1F3864"/>
            <w:tcMar>
              <w:top w:w="70" w:type="dxa"/>
              <w:bottom w:w="70" w:type="dxa"/>
              <w:left w:w="80" w:type="dxa"/>
              <w:right w:w="60" w:type="dxa"/>
            </w:tcMar>
          </w:tcPr>
          <w:p>
            <w:r>
              <w:rPr>
                <w:rFonts w:ascii="Arial" w:hAnsi="Arial"/>
                <w:b/>
                <w:color w:val="FFFFFF"/>
                <w:sz w:val="20"/>
              </w:rPr>
              <w:t>Coverage</w:t>
            </w:r>
          </w:p>
        </w:tc>
        <w:tc>
          <w:tcPr>
            <w:tcW w:type="dxa" w:w="4680"/>
            <w:shd w:val="clear" w:color="auto" w:fill="1F3864"/>
            <w:tcMar>
              <w:top w:w="70" w:type="dxa"/>
              <w:bottom w:w="70" w:type="dxa"/>
              <w:left w:w="80" w:type="dxa"/>
              <w:right w:w="60" w:type="dxa"/>
            </w:tcMar>
          </w:tcPr>
          <w:p>
            <w:r>
              <w:rPr>
                <w:rFonts w:ascii="Arial" w:hAnsi="Arial"/>
                <w:b/>
                <w:color w:val="FFFFFF"/>
                <w:sz w:val="20"/>
              </w:rPr>
              <w:t>Limit</w:t>
            </w:r>
          </w:p>
        </w:tc>
      </w:tr>
      <w:tr>
        <w:tc>
          <w:tcPr>
            <w:tcW w:type="dxa" w:w="4680"/>
            <w:tcW w:w="6084" w:type="dxa"/>
            <w:tcMar>
              <w:top w:w="60" w:type="dxa"/>
              <w:bottom w:w="60" w:type="dxa"/>
              <w:left w:w="80" w:type="dxa"/>
              <w:right w:w="60" w:type="dxa"/>
            </w:tcMar>
            <w:shd w:val="clear" w:color="auto" w:fill="F5F5F5"/>
          </w:tcPr>
          <w:p>
            <w:r>
              <w:rPr>
                <w:rFonts w:ascii="Arial" w:hAnsi="Arial"/>
                <w:b w:val="0"/>
                <w:i w:val="0"/>
                <w:color w:val="595959"/>
                <w:sz w:val="20"/>
              </w:rPr>
              <w:t>Part I — Workers’ Compensation</w:t>
            </w:r>
          </w:p>
        </w:tc>
        <w:tc>
          <w:tcPr>
            <w:tcW w:type="dxa" w:w="4680"/>
            <w:tcW w:w="3276" w:type="dxa"/>
            <w:tcMar>
              <w:top w:w="60" w:type="dxa"/>
              <w:bottom w:w="60" w:type="dxa"/>
              <w:left w:w="80" w:type="dxa"/>
              <w:right w:w="60" w:type="dxa"/>
            </w:tcMar>
            <w:shd w:val="clear" w:color="auto" w:fill="F5F5F5"/>
          </w:tcPr>
          <w:p>
            <w:r>
              <w:rPr>
                <w:rFonts w:ascii="Arial" w:hAnsi="Arial"/>
                <w:b w:val="0"/>
                <w:i w:val="0"/>
                <w:color w:val="595959"/>
                <w:sz w:val="20"/>
              </w:rPr>
              <w:t>Statutory per State of Nevada</w:t>
            </w:r>
          </w:p>
        </w:tc>
      </w:tr>
      <w:tr>
        <w:tc>
          <w:tcPr>
            <w:tcW w:type="dxa" w:w="4680"/>
            <w:tcW w:w="6084" w:type="dxa"/>
            <w:tcMar>
              <w:top w:w="60" w:type="dxa"/>
              <w:bottom w:w="60" w:type="dxa"/>
              <w:left w:w="80" w:type="dxa"/>
              <w:right w:w="60" w:type="dxa"/>
            </w:tcMar>
          </w:tcPr>
          <w:p>
            <w:r>
              <w:rPr>
                <w:rFonts w:ascii="Arial" w:hAnsi="Arial"/>
                <w:b w:val="0"/>
                <w:i w:val="0"/>
                <w:color w:val="595959"/>
                <w:sz w:val="20"/>
              </w:rPr>
              <w:t>Part II — Employers’ Liability: Each Accident</w:t>
            </w:r>
          </w:p>
        </w:tc>
        <w:tc>
          <w:tcPr>
            <w:tcW w:type="dxa" w:w="4680"/>
            <w:tcW w:w="3276" w:type="dxa"/>
            <w:tcMar>
              <w:top w:w="60" w:type="dxa"/>
              <w:bottom w:w="60" w:type="dxa"/>
              <w:left w:w="80" w:type="dxa"/>
              <w:right w:w="60" w:type="dxa"/>
            </w:tcMar>
          </w:tcPr>
          <w:p>
            <w:r>
              <w:rPr>
                <w:rFonts w:ascii="Arial" w:hAnsi="Arial"/>
                <w:b w:val="0"/>
                <w:i w:val="0"/>
                <w:color w:val="595959"/>
                <w:sz w:val="20"/>
              </w:rPr>
              <w:t>$1,000,000</w:t>
            </w:r>
          </w:p>
        </w:tc>
      </w:tr>
      <w:tr>
        <w:tc>
          <w:tcPr>
            <w:tcW w:type="dxa" w:w="4680"/>
            <w:tcW w:w="6084" w:type="dxa"/>
            <w:tcMar>
              <w:top w:w="60" w:type="dxa"/>
              <w:bottom w:w="60" w:type="dxa"/>
              <w:left w:w="80" w:type="dxa"/>
              <w:right w:w="60" w:type="dxa"/>
            </w:tcMar>
            <w:shd w:val="clear" w:color="auto" w:fill="F5F5F5"/>
          </w:tcPr>
          <w:p>
            <w:r>
              <w:rPr>
                <w:rFonts w:ascii="Arial" w:hAnsi="Arial"/>
                <w:b w:val="0"/>
                <w:i w:val="0"/>
                <w:color w:val="595959"/>
                <w:sz w:val="20"/>
              </w:rPr>
              <w:t>Part II — Employers’ Liability: Disease – Each Employee</w:t>
            </w:r>
          </w:p>
        </w:tc>
        <w:tc>
          <w:tcPr>
            <w:tcW w:type="dxa" w:w="4680"/>
            <w:tcW w:w="3276" w:type="dxa"/>
            <w:tcMar>
              <w:top w:w="60" w:type="dxa"/>
              <w:bottom w:w="60" w:type="dxa"/>
              <w:left w:w="80" w:type="dxa"/>
              <w:right w:w="60" w:type="dxa"/>
            </w:tcMar>
            <w:shd w:val="clear" w:color="auto" w:fill="F5F5F5"/>
          </w:tcPr>
          <w:p>
            <w:r>
              <w:rPr>
                <w:rFonts w:ascii="Arial" w:hAnsi="Arial"/>
                <w:b w:val="0"/>
                <w:i w:val="0"/>
                <w:color w:val="595959"/>
                <w:sz w:val="20"/>
              </w:rPr>
              <w:t>$1,000,000</w:t>
            </w:r>
          </w:p>
        </w:tc>
      </w:tr>
      <w:tr>
        <w:tc>
          <w:tcPr>
            <w:tcW w:type="dxa" w:w="4680"/>
            <w:tcW w:w="6084" w:type="dxa"/>
            <w:tcMar>
              <w:top w:w="60" w:type="dxa"/>
              <w:bottom w:w="60" w:type="dxa"/>
              <w:left w:w="80" w:type="dxa"/>
              <w:right w:w="60" w:type="dxa"/>
            </w:tcMar>
          </w:tcPr>
          <w:p>
            <w:r>
              <w:rPr>
                <w:rFonts w:ascii="Arial" w:hAnsi="Arial"/>
                <w:b w:val="0"/>
                <w:i w:val="0"/>
                <w:color w:val="595959"/>
                <w:sz w:val="20"/>
              </w:rPr>
              <w:t>Part II — Employers’ Liability: Disease – Policy Limit</w:t>
            </w:r>
          </w:p>
        </w:tc>
        <w:tc>
          <w:tcPr>
            <w:tcW w:type="dxa" w:w="4680"/>
            <w:tcW w:w="3276" w:type="dxa"/>
            <w:tcMar>
              <w:top w:w="60" w:type="dxa"/>
              <w:bottom w:w="60" w:type="dxa"/>
              <w:left w:w="80" w:type="dxa"/>
              <w:right w:w="60" w:type="dxa"/>
            </w:tcMar>
          </w:tcPr>
          <w:p>
            <w:r>
              <w:rPr>
                <w:rFonts w:ascii="Arial" w:hAnsi="Arial"/>
                <w:b w:val="0"/>
                <w:i w:val="0"/>
                <w:color w:val="595959"/>
                <w:sz w:val="20"/>
              </w:rPr>
              <w:t>$1,000,000</w:t>
            </w:r>
          </w:p>
        </w:tc>
      </w:tr>
    </w:tbl>
    <w:p>
      <w:pPr>
        <w:spacing w:before="240" w:after="120"/>
        <w:pBdr>
          <w:bottom w:val="single" w:sz="8" w:space="4" w:color="CCCCCC"/>
        </w:pBdr>
      </w:pPr>
      <w:r>
        <w:rPr>
          <w:rFonts w:ascii="Arial" w:hAnsi="Arial"/>
          <w:b/>
          <w:i w:val="0"/>
          <w:color w:val="1F3864"/>
          <w:sz w:val="22"/>
        </w:rPr>
        <w:t>Surplus Contribution</w:t>
      </w:r>
    </w:p>
    <w:p>
      <w:pPr>
        <w:spacing w:before="80" w:after="80"/>
        <w:jc w:val="left"/>
      </w:pPr>
      <w:r>
        <w:rPr>
          <w:rFonts w:ascii="Arial" w:hAnsi="Arial"/>
          <w:b w:val="0"/>
          <w:i w:val="0"/>
          <w:color w:val="595959"/>
          <w:sz w:val="20"/>
        </w:rPr>
        <w:t>A surplus contribution of 8% of the estimated premium is required for participation in the BAWNSIG self-insured group. This contribution is held in reserve and is not considered an insurance premium. It may be refundable upon cancellation per program terms.</w:t>
      </w:r>
    </w:p>
    <w:p>
      <w:pPr>
        <w:sectPr>
          <w:footerReference w:type="default" r:id="rId13"/>
          <w:pgSz w:w="12240" w:h="15840"/>
          <w:pgMar w:top="1440" w:right="1440" w:bottom="1440" w:left="1440" w:header="432" w:footer="432" w:gutter="0"/>
          <w:cols w:space="720"/>
          <w:docGrid w:linePitch="360"/>
        </w:sectPr>
      </w:pPr>
    </w:p>
    <w:p>
      <w:pPr>
        <w:shd w:val="clear" w:color="auto" w:fill="1F3864"/>
        <w:spacing w:before="160" w:after="160"/>
        <w:ind w:left="280"/>
      </w:pPr>
      <w:r>
        <w:rPr>
          <w:rFonts w:ascii="Arial" w:hAnsi="Arial"/>
          <w:b/>
          <w:i w:val="0"/>
          <w:color w:val="FFFFFF"/>
          <w:sz w:val="26"/>
        </w:rPr>
        <w:t>Coverage Details (continued)</w:t>
      </w:r>
    </w:p>
    <w:p>
      <w:pPr>
        <w:spacing w:before="240" w:after="120"/>
        <w:pBdr>
          <w:bottom w:val="single" w:sz="8" w:space="4" w:color="CCCCCC"/>
        </w:pBdr>
      </w:pPr>
      <w:r>
        <w:rPr>
          <w:rFonts w:ascii="Arial" w:hAnsi="Arial"/>
          <w:b/>
          <w:i w:val="0"/>
          <w:color w:val="1F3864"/>
          <w:sz w:val="22"/>
        </w:rPr>
        <w:t>Employee Classification Schedule</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1560"/>
        <w:gridCol w:w="1560"/>
        <w:gridCol w:w="1560"/>
        <w:gridCol w:w="1560"/>
        <w:gridCol w:w="1560"/>
        <w:gridCol w:w="1560"/>
      </w:tblGrid>
      <w:tr>
        <w:tc>
          <w:tcPr>
            <w:tcW w:type="dxa" w:w="1560"/>
            <w:tcW w:w="655" w:type="dxa"/>
            <w:shd w:val="clear" w:color="auto" w:fill="1F3864"/>
            <w:tcMar>
              <w:top w:w="70" w:type="dxa"/>
              <w:bottom w:w="70" w:type="dxa"/>
              <w:left w:w="60" w:type="dxa"/>
              <w:right w:w="60" w:type="dxa"/>
            </w:tcMar>
          </w:tcPr>
          <w:p>
            <w:r>
              <w:rPr>
                <w:rFonts w:ascii="Arial" w:hAnsi="Arial"/>
                <w:b/>
                <w:i w:val="0"/>
                <w:color w:val="FFFFFF"/>
                <w:sz w:val="18"/>
              </w:rPr>
              <w:t>State</w:t>
            </w:r>
          </w:p>
        </w:tc>
        <w:tc>
          <w:tcPr>
            <w:tcW w:type="dxa" w:w="1560"/>
            <w:tcW w:w="1123" w:type="dxa"/>
            <w:shd w:val="clear" w:color="auto" w:fill="1F3864"/>
            <w:tcMar>
              <w:top w:w="70" w:type="dxa"/>
              <w:bottom w:w="70" w:type="dxa"/>
              <w:left w:w="60" w:type="dxa"/>
              <w:right w:w="60" w:type="dxa"/>
            </w:tcMar>
          </w:tcPr>
          <w:p>
            <w:r>
              <w:rPr>
                <w:rFonts w:ascii="Arial" w:hAnsi="Arial"/>
                <w:b/>
                <w:i w:val="0"/>
                <w:color w:val="FFFFFF"/>
                <w:sz w:val="18"/>
              </w:rPr>
              <w:t>Class Code</w:t>
            </w:r>
          </w:p>
        </w:tc>
        <w:tc>
          <w:tcPr>
            <w:tcW w:type="dxa" w:w="1560"/>
            <w:tcW w:w="2620" w:type="dxa"/>
            <w:shd w:val="clear" w:color="auto" w:fill="1F3864"/>
            <w:tcMar>
              <w:top w:w="70" w:type="dxa"/>
              <w:bottom w:w="70" w:type="dxa"/>
              <w:left w:w="60" w:type="dxa"/>
              <w:right w:w="60" w:type="dxa"/>
            </w:tcMar>
          </w:tcPr>
          <w:p>
            <w:r>
              <w:rPr>
                <w:rFonts w:ascii="Arial" w:hAnsi="Arial"/>
                <w:b/>
                <w:i w:val="0"/>
                <w:color w:val="FFFFFF"/>
                <w:sz w:val="18"/>
              </w:rPr>
              <w:t>Description</w:t>
            </w:r>
          </w:p>
        </w:tc>
        <w:tc>
          <w:tcPr>
            <w:tcW w:type="dxa" w:w="1560"/>
            <w:tcW w:w="1965" w:type="dxa"/>
            <w:shd w:val="clear" w:color="auto" w:fill="1F3864"/>
            <w:tcMar>
              <w:top w:w="70" w:type="dxa"/>
              <w:bottom w:w="70" w:type="dxa"/>
              <w:left w:w="60" w:type="dxa"/>
              <w:right w:w="60" w:type="dxa"/>
            </w:tcMar>
          </w:tcPr>
          <w:p>
            <w:r>
              <w:rPr>
                <w:rFonts w:ascii="Arial" w:hAnsi="Arial"/>
                <w:b/>
                <w:i w:val="0"/>
                <w:color w:val="FFFFFF"/>
                <w:sz w:val="18"/>
              </w:rPr>
              <w:t>Est. Annual Payroll</w:t>
            </w:r>
          </w:p>
        </w:tc>
        <w:tc>
          <w:tcPr>
            <w:tcW w:type="dxa" w:w="1560"/>
            <w:tcW w:w="1123" w:type="dxa"/>
            <w:shd w:val="clear" w:color="auto" w:fill="1F3864"/>
            <w:tcMar>
              <w:top w:w="70" w:type="dxa"/>
              <w:bottom w:w="70" w:type="dxa"/>
              <w:left w:w="60" w:type="dxa"/>
              <w:right w:w="60" w:type="dxa"/>
            </w:tcMar>
          </w:tcPr>
          <w:p>
            <w:r>
              <w:rPr>
                <w:rFonts w:ascii="Arial" w:hAnsi="Arial"/>
                <w:b/>
                <w:i w:val="0"/>
                <w:color w:val="FFFFFF"/>
                <w:sz w:val="18"/>
              </w:rPr>
              <w:t>Rate</w:t>
            </w:r>
          </w:p>
        </w:tc>
        <w:tc>
          <w:tcPr>
            <w:tcW w:type="dxa" w:w="1560"/>
            <w:tcW w:w="1874" w:type="dxa"/>
            <w:shd w:val="clear" w:color="auto" w:fill="1F3864"/>
            <w:tcMar>
              <w:top w:w="70" w:type="dxa"/>
              <w:bottom w:w="70" w:type="dxa"/>
              <w:left w:w="60" w:type="dxa"/>
              <w:right w:w="60" w:type="dxa"/>
            </w:tcMar>
          </w:tcPr>
          <w:p>
            <w:r>
              <w:rPr>
                <w:rFonts w:ascii="Arial" w:hAnsi="Arial"/>
                <w:b/>
                <w:i w:val="0"/>
                <w:color w:val="FFFFFF"/>
                <w:sz w:val="18"/>
              </w:rPr>
              <w:t>Est. Premium</w:t>
            </w:r>
          </w:p>
        </w:tc>
      </w:tr>
      <w:tr>
        <w:tc>
          <w:tcPr>
            <w:tcW w:type="dxa" w:w="1560"/>
            <w:tcW w:w="655" w:type="dxa"/>
            <w:tcMar>
              <w:top w:w="80" w:type="dxa"/>
              <w:bottom w:w="80" w:type="dxa"/>
              <w:left w:w="80" w:type="dxa"/>
              <w:right w:w="80" w:type="dxa"/>
            </w:tcMar>
          </w:tcPr>
          <w:p>
            <w:r>
              <w:rPr>
                <w:rFonts w:ascii="Arial" w:hAnsi="Arial"/>
                <w:b w:val="0"/>
                <w:i w:val="0"/>
                <w:color w:val="595959"/>
                <w:sz w:val="20"/>
              </w:rPr>
              <w:t>{#classSchedule}</w:t>
            </w:r>
          </w:p>
          <w:p>
            <w:r>
              <w:rPr>
                <w:rFonts w:ascii="Arial" w:hAnsi="Arial"/>
                <w:b w:val="0"/>
                <w:i w:val="0"/>
                <w:color w:val="595959"/>
                <w:sz w:val="20"/>
              </w:rPr>
              <w:t>{state}</w:t>
            </w:r>
          </w:p>
        </w:tc>
        <w:tc>
          <w:tcPr>
            <w:tcW w:type="dxa" w:w="1560"/>
            <w:tcW w:w="1123" w:type="dxa"/>
            <w:tcMar>
              <w:top w:w="80" w:type="dxa"/>
              <w:bottom w:w="80" w:type="dxa"/>
              <w:left w:w="80" w:type="dxa"/>
              <w:right w:w="80" w:type="dxa"/>
            </w:tcMar>
          </w:tcPr>
          <w:p>
            <w:r>
              <w:rPr>
                <w:rFonts w:ascii="Arial" w:hAnsi="Arial"/>
                <w:b w:val="0"/>
                <w:i w:val="0"/>
                <w:color w:val="595959"/>
                <w:sz w:val="20"/>
              </w:rPr>
              <w:t>{classCode}</w:t>
            </w:r>
          </w:p>
        </w:tc>
        <w:tc>
          <w:tcPr>
            <w:tcW w:type="dxa" w:w="1560"/>
            <w:tcW w:w="2620" w:type="dxa"/>
            <w:tcMar>
              <w:top w:w="80" w:type="dxa"/>
              <w:bottom w:w="80" w:type="dxa"/>
              <w:left w:w="80" w:type="dxa"/>
              <w:right w:w="80" w:type="dxa"/>
            </w:tcMar>
          </w:tcPr>
          <w:p>
            <w:r>
              <w:rPr>
                <w:rFonts w:ascii="Arial" w:hAnsi="Arial"/>
                <w:b w:val="0"/>
                <w:i w:val="0"/>
                <w:color w:val="595959"/>
                <w:sz w:val="20"/>
              </w:rPr>
              <w:t>{classDescription}</w:t>
            </w:r>
          </w:p>
        </w:tc>
        <w:tc>
          <w:tcPr>
            <w:tcW w:type="dxa" w:w="1560"/>
            <w:tcW w:w="1965" w:type="dxa"/>
            <w:tcMar>
              <w:top w:w="80" w:type="dxa"/>
              <w:bottom w:w="80" w:type="dxa"/>
              <w:left w:w="80" w:type="dxa"/>
              <w:right w:w="80" w:type="dxa"/>
            </w:tcMar>
          </w:tcPr>
          <w:p>
            <w:r>
              <w:rPr>
                <w:rFonts w:ascii="Arial" w:hAnsi="Arial"/>
                <w:b w:val="0"/>
                <w:i w:val="0"/>
                <w:color w:val="595959"/>
                <w:sz w:val="20"/>
              </w:rPr>
              <w:t>{estAnnualPayroll}</w:t>
            </w:r>
          </w:p>
        </w:tc>
        <w:tc>
          <w:tcPr>
            <w:tcW w:type="dxa" w:w="1560"/>
            <w:tcW w:w="1123" w:type="dxa"/>
            <w:tcMar>
              <w:top w:w="80" w:type="dxa"/>
              <w:bottom w:w="80" w:type="dxa"/>
              <w:left w:w="80" w:type="dxa"/>
              <w:right w:w="80" w:type="dxa"/>
            </w:tcMar>
          </w:tcPr>
          <w:p>
            <w:r>
              <w:rPr>
                <w:rFonts w:ascii="Arial" w:hAnsi="Arial"/>
                <w:b w:val="0"/>
                <w:i w:val="0"/>
                <w:color w:val="595959"/>
                <w:sz w:val="20"/>
              </w:rPr>
              <w:t>{rate}</w:t>
            </w:r>
          </w:p>
        </w:tc>
        <w:tc>
          <w:tcPr>
            <w:tcW w:type="dxa" w:w="1560"/>
            <w:tcW w:w="1874" w:type="dxa"/>
            <w:tcMar>
              <w:top w:w="80" w:type="dxa"/>
              <w:bottom w:w="80" w:type="dxa"/>
              <w:left w:w="80" w:type="dxa"/>
              <w:right w:w="80" w:type="dxa"/>
            </w:tcMar>
          </w:tcPr>
          <w:p>
            <w:r>
              <w:rPr>
                <w:rFonts w:ascii="Arial" w:hAnsi="Arial"/>
                <w:b w:val="0"/>
                <w:i w:val="0"/>
                <w:color w:val="595959"/>
                <w:sz w:val="20"/>
              </w:rPr>
              <w:t>{classEstPremium}</w:t>
            </w:r>
          </w:p>
          <w:p>
            <w:r>
              <w:rPr>
                <w:rFonts w:ascii="Arial" w:hAnsi="Arial"/>
                <w:b w:val="0"/>
                <w:i w:val="0"/>
                <w:color w:val="595959"/>
                <w:sz w:val="20"/>
              </w:rPr>
              <w:t>{/classSchedule}</w:t>
            </w:r>
          </w:p>
        </w:tc>
      </w:tr>
      <w:tr>
        <w:tc>
          <w:tcPr>
            <w:tcW w:type="dxa" w:w="7800"/>
            <w:tcW w:w="655" w:type="dxa"/>
            <w:gridSpan w:val="5"/>
            <w:shd w:val="clear" w:color="auto" w:fill="F5F5F5"/>
            <w:tcMar>
              <w:top w:w="70" w:type="dxa"/>
              <w:bottom w:w="70" w:type="dxa"/>
              <w:left w:w="60" w:type="dxa"/>
              <w:right w:w="60" w:type="dxa"/>
            </w:tcMar>
          </w:tcPr>
          <w:p>
            <w:pPr>
              <w:jc w:val="right"/>
            </w:pPr>
            <w:r>
              <w:rPr>
                <w:rFonts w:ascii="Arial" w:hAnsi="Arial"/>
                <w:b/>
                <w:i w:val="0"/>
                <w:color w:val="1F3864"/>
                <w:sz w:val="20"/>
              </w:rPr>
              <w:t>Total Estimated Premium</w:t>
            </w:r>
          </w:p>
        </w:tc>
        <w:tc>
          <w:tcPr>
            <w:tcW w:type="dxa" w:w="1560"/>
            <w:tcW w:w="1874" w:type="dxa"/>
            <w:shd w:val="clear" w:color="auto" w:fill="F5F5F5"/>
            <w:tcMar>
              <w:top w:w="70" w:type="dxa"/>
              <w:bottom w:w="70" w:type="dxa"/>
              <w:left w:w="60" w:type="dxa"/>
              <w:right w:w="60" w:type="dxa"/>
            </w:tcMar>
          </w:tcPr>
          <w:p>
            <w:r>
              <w:rPr>
                <w:rFonts w:ascii="Arial" w:hAnsi="Arial"/>
                <w:b/>
                <w:i w:val="0"/>
                <w:color w:val="1F3864"/>
                <w:sz w:val="20"/>
              </w:rPr>
              <w:t>{totalEstimatedPremium}</w:t>
            </w:r>
          </w:p>
        </w:tc>
      </w:tr>
    </w:tbl>
    <w:p>
      <w:pPr>
        <w:spacing w:before="0" w:after="0"/>
      </w:pPr>
      <w:r>
        <w:rPr>
          <w:rFonts w:ascii="Arial" w:hAnsi="Arial"/>
          <w:b w:val="0"/>
          <w:i w:val="0"/>
          <w:color w:val="FFFFFF"/>
          <w:sz w:val="2"/>
        </w:rPr>
        <w:t>{#hasExcludedPersons}</w:t>
      </w:r>
    </w:p>
    <w:p>
      <w:pPr>
        <w:spacing w:before="240" w:after="120"/>
        <w:pBdr>
          <w:bottom w:val="single" w:sz="8" w:space="4" w:color="CCCCCC"/>
        </w:pBdr>
      </w:pPr>
      <w:r>
        <w:rPr>
          <w:rFonts w:ascii="Arial" w:hAnsi="Arial"/>
          <w:b/>
          <w:i w:val="0"/>
          <w:color w:val="1F3864"/>
          <w:sz w:val="22"/>
        </w:rPr>
        <w:t>Excluded Persons</w:t>
      </w:r>
    </w:p>
    <w:p>
      <w:pPr>
        <w:spacing w:before="0" w:after="120"/>
        <w:jc w:val="left"/>
      </w:pPr>
      <w:r>
        <w:rPr>
          <w:rFonts w:ascii="Arial" w:hAnsi="Arial"/>
          <w:b w:val="0"/>
          <w:i w:val="0"/>
          <w:color w:val="595959"/>
          <w:sz w:val="20"/>
        </w:rPr>
        <w:t>The following individuals have elected to reject Workers’ Compensation coverage pursuant to NRS 616B.612 by filing Form D-43 with the Nevada Division of Industrial Relations.</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4680"/>
        <w:gridCol w:w="4680"/>
      </w:tblGrid>
      <w:tr>
        <w:tc>
          <w:tcPr>
            <w:tcW w:type="dxa" w:w="4680"/>
            <w:shd w:val="clear" w:color="auto" w:fill="1F3864"/>
            <w:tcMar>
              <w:top w:w="70" w:type="dxa"/>
              <w:bottom w:w="70" w:type="dxa"/>
              <w:left w:w="80" w:type="dxa"/>
              <w:right w:w="60" w:type="dxa"/>
            </w:tcMar>
          </w:tcPr>
          <w:p>
            <w:r>
              <w:rPr>
                <w:rFonts w:ascii="Arial" w:hAnsi="Arial"/>
                <w:b/>
                <w:color w:val="FFFFFF"/>
                <w:sz w:val="20"/>
              </w:rPr>
              <w:t>Name</w:t>
            </w:r>
          </w:p>
        </w:tc>
        <w:tc>
          <w:tcPr>
            <w:tcW w:type="dxa" w:w="4680"/>
            <w:shd w:val="clear" w:color="auto" w:fill="1F3864"/>
            <w:tcMar>
              <w:top w:w="70" w:type="dxa"/>
              <w:bottom w:w="70" w:type="dxa"/>
              <w:left w:w="80" w:type="dxa"/>
              <w:right w:w="60" w:type="dxa"/>
            </w:tcMar>
          </w:tcPr>
          <w:p>
            <w:r>
              <w:rPr>
                <w:rFonts w:ascii="Arial" w:hAnsi="Arial"/>
                <w:b/>
                <w:color w:val="FFFFFF"/>
                <w:sz w:val="20"/>
              </w:rPr>
              <w:t>Election Form</w:t>
            </w:r>
          </w:p>
        </w:tc>
      </w:tr>
      <w:tr>
        <w:tc>
          <w:tcPr>
            <w:tcW w:type="dxa" w:w="4680"/>
            <w:tcW w:w="4680" w:type="dxa"/>
            <w:tcMar>
              <w:top w:w="60" w:type="dxa"/>
              <w:bottom w:w="60" w:type="dxa"/>
              <w:left w:w="80" w:type="dxa"/>
              <w:right w:w="60" w:type="dxa"/>
            </w:tcMar>
          </w:tcPr>
          <w:p>
            <w:r>
              <w:rPr>
                <w:rFonts w:ascii="Arial" w:hAnsi="Arial"/>
                <w:b w:val="0"/>
                <w:i w:val="0"/>
                <w:color w:val="595959"/>
                <w:sz w:val="20"/>
              </w:rPr>
              <w:t>{#excludedPersons}</w:t>
            </w:r>
          </w:p>
          <w:p>
            <w:r>
              <w:rPr>
                <w:rFonts w:ascii="Arial" w:hAnsi="Arial"/>
                <w:b w:val="0"/>
                <w:i w:val="0"/>
                <w:color w:val="595959"/>
                <w:sz w:val="20"/>
              </w:rPr>
              <w:t>{name}</w:t>
            </w:r>
          </w:p>
        </w:tc>
        <w:tc>
          <w:tcPr>
            <w:tcW w:type="dxa" w:w="4680"/>
            <w:tcW w:w="4680" w:type="dxa"/>
            <w:tcMar>
              <w:top w:w="60" w:type="dxa"/>
              <w:bottom w:w="60" w:type="dxa"/>
              <w:left w:w="80" w:type="dxa"/>
              <w:right w:w="60" w:type="dxa"/>
            </w:tcMar>
          </w:tcPr>
          <w:p>
            <w:r>
              <w:rPr>
                <w:rFonts w:ascii="Arial" w:hAnsi="Arial"/>
                <w:b w:val="0"/>
                <w:i w:val="0"/>
                <w:color w:val="595959"/>
                <w:sz w:val="20"/>
              </w:rPr>
              <w:t>Form D-43 — Election to Reject Coverage</w:t>
            </w:r>
          </w:p>
          <w:p>
            <w:r>
              <w:rPr>
                <w:rFonts w:ascii="Arial" w:hAnsi="Arial"/>
                <w:b w:val="0"/>
                <w:i w:val="0"/>
                <w:color w:val="595959"/>
                <w:sz w:val="20"/>
              </w:rPr>
              <w:t>{/excludedPersons}</w:t>
            </w:r>
          </w:p>
        </w:tc>
      </w:tr>
    </w:tbl>
    <w:p>
      <w:pPr>
        <w:spacing w:before="80" w:after="80"/>
        <w:jc w:val="left"/>
      </w:pPr>
      <w:r>
        <w:rPr>
          <w:rFonts w:ascii="Arial" w:hAnsi="Arial"/>
          <w:b w:val="0"/>
          <w:i/>
          <w:color w:val="595959"/>
          <w:sz w:val="17"/>
        </w:rPr>
        <w:t>Note: Officers or members electing to reject coverage must file Form D-43 with the Nevada Division of Industrial Relations. Rejection is effective upon filing. These individuals will not be covered under this policy for work-related injuries.</w:t>
      </w:r>
    </w:p>
    <w:p>
      <w:pPr>
        <w:spacing w:before="0" w:after="0"/>
      </w:pPr>
      <w:r>
        <w:rPr>
          <w:rFonts w:ascii="Arial" w:hAnsi="Arial"/>
          <w:b w:val="0"/>
          <w:i w:val="0"/>
          <w:color w:val="FFFFFF"/>
          <w:sz w:val="2"/>
        </w:rPr>
        <w:t>{/hasExcludedPersons}</w:t>
      </w:r>
    </w:p>
    <w:p>
      <w:pPr>
        <w:spacing w:before="240" w:after="120"/>
        <w:pBdr>
          <w:bottom w:val="single" w:sz="8" w:space="4" w:color="CCCCCC"/>
        </w:pBdr>
      </w:pPr>
      <w:r>
        <w:rPr>
          <w:rFonts w:ascii="Arial" w:hAnsi="Arial"/>
          <w:b/>
          <w:i w:val="0"/>
          <w:color w:val="1F3864"/>
          <w:sz w:val="22"/>
        </w:rPr>
        <w:t>Self-Insured Group Disclosure</w:t>
      </w:r>
    </w:p>
    <w:p>
      <w:pPr>
        <w:spacing w:before="80" w:after="80"/>
        <w:ind w:left="280"/>
        <w:shd w:val="clear" w:color="auto" w:fill="F5F5F5"/>
      </w:pPr>
      <w:r>
        <w:rPr>
          <w:rFonts w:ascii="Arial" w:hAnsi="Arial"/>
          <w:b w:val="0"/>
          <w:i w:val="0"/>
          <w:color w:val="595959"/>
          <w:sz w:val="18"/>
        </w:rPr>
        <w:t>BAWNSIG is a Nevada state-regulated self-insured group, not an insurance company. Coverage is provided through the group’s self-insurance fund. This program is not guaranteed by the Nevada Insurance Guaranty Association. Members should review the program disclosure statement for full details regarding the self-insured group structure, surplus requirements, and financial stability.</w:t>
      </w:r>
    </w:p>
    <w:p>
      <w:pPr>
        <w:sectPr>
          <w:footerReference w:type="default" r:id="rId14"/>
          <w:pgSz w:w="12240" w:h="15840"/>
          <w:pgMar w:top="1440" w:right="1440" w:bottom="1440" w:left="1440" w:header="432" w:footer="432" w:gutter="0"/>
          <w:cols w:space="720"/>
          <w:docGrid w:linePitch="360"/>
        </w:sectPr>
      </w:pPr>
    </w:p>
    <w:p>
      <w:pPr>
        <w:shd w:val="clear" w:color="auto" w:fill="1F3864"/>
        <w:spacing w:before="160" w:after="160"/>
        <w:ind w:left="280"/>
      </w:pPr>
      <w:r>
        <w:rPr>
          <w:rFonts w:ascii="Arial" w:hAnsi="Arial"/>
          <w:b/>
          <w:i w:val="0"/>
          <w:color w:val="FFFFFF"/>
          <w:sz w:val="28"/>
        </w:rPr>
        <w:t>Next Steps &amp; Member Authorization</w:t>
      </w:r>
    </w:p>
    <w:p>
      <w:pPr>
        <w:spacing w:before="160" w:after="160"/>
        <w:jc w:val="left"/>
      </w:pPr>
      <w:r>
        <w:rPr>
          <w:rFonts w:ascii="Arial" w:hAnsi="Arial"/>
          <w:b w:val="0"/>
          <w:i w:val="0"/>
          <w:color w:val="595959"/>
          <w:sz w:val="20"/>
        </w:rPr>
        <w:t>To bind coverage under the NBAIS Workers’ Compensation program, please review this proposal, complete the Member Authorization below, and return it to your NBAIS producer. Coverage will be bound upon receipt of the signed authorization and initial down payment.</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4680"/>
        <w:gridCol w:w="4680"/>
      </w:tblGrid>
      <w:tr>
        <w:tc>
          <w:tcPr>
            <w:tcW w:type="dxa" w:w="4680"/>
            <w:tcW w:w="4680" w:type="dxa"/>
            <w:shd w:val="clear" w:color="auto" w:fill="F5F5F5"/>
            <w:tcMar>
              <w:top w:w="100" w:type="dxa"/>
              <w:bottom w:w="100" w:type="dxa"/>
              <w:left w:w="100" w:type="dxa"/>
              <w:right w:w="100" w:type="dxa"/>
            </w:tcMar>
          </w:tcPr>
          <w:p>
            <w:r>
              <w:rPr>
                <w:rFonts w:ascii="Arial" w:hAnsi="Arial"/>
                <w:b/>
                <w:i w:val="0"/>
                <w:color w:val="1F3864"/>
                <w:sz w:val="20"/>
              </w:rPr>
              <w:t>Your NBAIS Producer</w:t>
            </w:r>
          </w:p>
          <w:p>
            <w:r>
              <w:rPr>
                <w:rFonts w:ascii="Arial" w:hAnsi="Arial"/>
                <w:b/>
                <w:i w:val="0"/>
                <w:color w:val="595959"/>
                <w:sz w:val="20"/>
              </w:rPr>
              <w:t>Dianne Slater</w:t>
            </w:r>
          </w:p>
          <w:p>
            <w:r>
              <w:rPr>
                <w:rFonts w:ascii="Arial" w:hAnsi="Arial"/>
                <w:b w:val="0"/>
                <w:i/>
                <w:color w:val="595959"/>
                <w:sz w:val="20"/>
              </w:rPr>
              <w:t>Account Manager</w:t>
            </w:r>
          </w:p>
          <w:p>
            <w:r>
              <w:rPr>
                <w:rFonts w:ascii="Arial" w:hAnsi="Arial"/>
                <w:b w:val="0"/>
                <w:i/>
                <w:color w:val="595959"/>
                <w:sz w:val="20"/>
              </w:rPr>
              <w:t>(775) 555-0100</w:t>
            </w:r>
          </w:p>
          <w:p>
            <w:r>
              <w:rPr>
                <w:rFonts w:ascii="Arial" w:hAnsi="Arial"/>
                <w:b w:val="0"/>
                <w:i/>
                <w:color w:val="595959"/>
                <w:sz w:val="20"/>
              </w:rPr>
              <w:t>dslater@nbais.com</w:t>
            </w:r>
          </w:p>
        </w:tc>
        <w:tc>
          <w:tcPr>
            <w:tcW w:type="dxa" w:w="4680"/>
            <w:tcW w:w="4680" w:type="dxa"/>
            <w:shd w:val="clear" w:color="auto" w:fill="F5F5F5"/>
            <w:tcMar>
              <w:top w:w="100" w:type="dxa"/>
              <w:bottom w:w="100" w:type="dxa"/>
              <w:left w:w="100" w:type="dxa"/>
              <w:right w:w="100" w:type="dxa"/>
            </w:tcMar>
          </w:tcPr>
          <w:p>
            <w:r>
              <w:rPr>
                <w:rFonts w:ascii="Arial" w:hAnsi="Arial"/>
                <w:b/>
                <w:i w:val="0"/>
                <w:color w:val="1F3864"/>
                <w:sz w:val="20"/>
              </w:rPr>
              <w:t>NBAIS Program Office</w:t>
            </w:r>
          </w:p>
          <w:p>
            <w:r>
              <w:rPr>
                <w:rFonts w:ascii="Arial" w:hAnsi="Arial"/>
                <w:b w:val="0"/>
                <w:i w:val="0"/>
                <w:color w:val="595959"/>
                <w:sz w:val="20"/>
              </w:rPr>
              <w:t>Nevada Builders Alliance Insurance Services</w:t>
            </w:r>
          </w:p>
          <w:p>
            <w:r>
              <w:rPr>
                <w:rFonts w:ascii="Arial" w:hAnsi="Arial"/>
                <w:b w:val="0"/>
                <w:i/>
                <w:color w:val="595959"/>
                <w:sz w:val="20"/>
              </w:rPr>
              <w:t>1234 Builder’s Way, Reno, NV 89501</w:t>
            </w:r>
          </w:p>
          <w:p>
            <w:r>
              <w:rPr>
                <w:rFonts w:ascii="Arial" w:hAnsi="Arial"/>
                <w:b w:val="0"/>
                <w:i/>
                <w:color w:val="595959"/>
                <w:sz w:val="20"/>
              </w:rPr>
              <w:t>www.nbais.com</w:t>
            </w:r>
          </w:p>
        </w:tc>
      </w:tr>
    </w:tbl>
    <w:p>
      <w:pPr>
        <w:spacing w:before="280" w:after="160"/>
      </w:pPr>
      <w:r>
        <w:rPr>
          <w:rFonts w:ascii="Arial" w:hAnsi="Arial"/>
          <w:b/>
          <w:i w:val="0"/>
          <w:color w:val="C00000"/>
          <w:sz w:val="26"/>
        </w:rPr>
        <w:t>What’s Next</w:t>
      </w:r>
    </w:p>
    <w:p>
      <w:pPr>
        <w:spacing w:before="240" w:after="120"/>
        <w:pBdr>
          <w:bottom w:val="single" w:sz="8" w:space="4" w:color="CCCCCC"/>
        </w:pBdr>
      </w:pPr>
      <w:r>
        <w:rPr>
          <w:rFonts w:ascii="Arial" w:hAnsi="Arial"/>
          <w:b/>
          <w:i w:val="0"/>
          <w:color w:val="1F3864"/>
          <w:sz w:val="22"/>
        </w:rPr>
        <w:t>Member Authorization</w:t>
      </w:r>
    </w:p>
    <w:p>
      <w:pPr>
        <w:spacing w:before="80" w:after="240"/>
        <w:jc w:val="left"/>
      </w:pPr>
      <w:r>
        <w:rPr>
          <w:rFonts w:ascii="Arial" w:hAnsi="Arial"/>
          <w:b w:val="0"/>
          <w:i w:val="0"/>
          <w:color w:val="595959"/>
          <w:sz w:val="20"/>
        </w:rPr>
        <w:t>By signing below, the undersigned authorized representative of the named member acknowledges receipt of this Workers’ Compensation Insurance Proposal and authorizes NBAIS to bind coverage as outlined herein. The undersigned confirms that all information provided in connection with this application is accurate and complete to the best of their knowledge.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2340" w:type="dxa"/>
            <w:tcMar>
              <w:top w:w="80" w:type="dxa"/>
              <w:bottom w:w="80" w:type="dxa"/>
              <w:left w:w="0" w:type="dxa"/>
              <w:right w:w="60" w:type="dxa"/>
            </w:tcMar>
          </w:tcPr>
          <w:p>
            <w:r>
              <w:rPr>
                <w:rFonts w:ascii="Arial" w:hAnsi="Arial"/>
                <w:b/>
                <w:i w:val="0"/>
                <w:color w:val="1F3864"/>
                <w:sz w:val="20"/>
              </w:rPr>
              <w:t>By (Signature)</w:t>
            </w:r>
          </w:p>
        </w:tc>
        <w:tc>
          <w:tcPr>
            <w:tcW w:type="dxa" w:w="4680"/>
            <w:tcW w:w="7020" w:type="dxa"/>
            <w:tcMar>
              <w:top w:w="80" w:type="dxa"/>
              <w:bottom w:w="80" w:type="dxa"/>
              <w:left w:w="60" w:type="dxa"/>
              <w:right w:w="0" w:type="dxa"/>
            </w:tcMar>
            <w:tcBorders>
              <w:bottom w:val="single" w:sz="6" w:space="0" w:color="CCCCCC"/>
            </w:tcBorders>
          </w:tcPr>
          <w:p>
            <w:r/>
          </w:p>
        </w:tc>
      </w:tr>
      <w:tr>
        <w:tc>
          <w:tcPr>
            <w:tcW w:type="dxa" w:w="4680"/>
            <w:tcW w:w="2340" w:type="dxa"/>
            <w:tcMar>
              <w:top w:w="80" w:type="dxa"/>
              <w:bottom w:w="80" w:type="dxa"/>
              <w:left w:w="0" w:type="dxa"/>
              <w:right w:w="60" w:type="dxa"/>
            </w:tcMar>
          </w:tcPr>
          <w:p>
            <w:r>
              <w:rPr>
                <w:rFonts w:ascii="Arial" w:hAnsi="Arial"/>
                <w:b/>
                <w:i w:val="0"/>
                <w:color w:val="1F3864"/>
                <w:sz w:val="20"/>
              </w:rPr>
              <w:t>Print Name</w:t>
            </w:r>
          </w:p>
        </w:tc>
        <w:tc>
          <w:tcPr>
            <w:tcW w:type="dxa" w:w="4680"/>
            <w:tcW w:w="7020" w:type="dxa"/>
            <w:tcMar>
              <w:top w:w="80" w:type="dxa"/>
              <w:bottom w:w="80" w:type="dxa"/>
              <w:left w:w="60" w:type="dxa"/>
              <w:right w:w="0" w:type="dxa"/>
            </w:tcMar>
            <w:tcBorders>
              <w:bottom w:val="single" w:sz="6" w:space="0" w:color="CCCCCC"/>
            </w:tcBorders>
          </w:tcPr>
          <w:p>
            <w:r/>
          </w:p>
        </w:tc>
      </w:tr>
      <w:tr>
        <w:tc>
          <w:tcPr>
            <w:tcW w:type="dxa" w:w="4680"/>
            <w:tcW w:w="2340" w:type="dxa"/>
            <w:tcMar>
              <w:top w:w="80" w:type="dxa"/>
              <w:bottom w:w="80" w:type="dxa"/>
              <w:left w:w="0" w:type="dxa"/>
              <w:right w:w="60" w:type="dxa"/>
            </w:tcMar>
          </w:tcPr>
          <w:p>
            <w:r>
              <w:rPr>
                <w:rFonts w:ascii="Arial" w:hAnsi="Arial"/>
                <w:b/>
                <w:i w:val="0"/>
                <w:color w:val="1F3864"/>
                <w:sz w:val="20"/>
              </w:rPr>
              <w:t>Title</w:t>
            </w:r>
          </w:p>
        </w:tc>
        <w:tc>
          <w:tcPr>
            <w:tcW w:type="dxa" w:w="4680"/>
            <w:tcW w:w="7020" w:type="dxa"/>
            <w:tcMar>
              <w:top w:w="80" w:type="dxa"/>
              <w:bottom w:w="80" w:type="dxa"/>
              <w:left w:w="60" w:type="dxa"/>
              <w:right w:w="0" w:type="dxa"/>
            </w:tcMar>
            <w:tcBorders>
              <w:bottom w:val="single" w:sz="6" w:space="0" w:color="CCCCCC"/>
            </w:tcBorders>
          </w:tcPr>
          <w:p>
            <w:r/>
          </w:p>
        </w:tc>
      </w:tr>
      <w:tr>
        <w:tc>
          <w:tcPr>
            <w:tcW w:type="dxa" w:w="4680"/>
            <w:tcW w:w="2340" w:type="dxa"/>
            <w:tcMar>
              <w:top w:w="80" w:type="dxa"/>
              <w:bottom w:w="80" w:type="dxa"/>
              <w:left w:w="0" w:type="dxa"/>
              <w:right w:w="60" w:type="dxa"/>
            </w:tcMar>
          </w:tcPr>
          <w:p>
            <w:r>
              <w:rPr>
                <w:rFonts w:ascii="Arial" w:hAnsi="Arial"/>
                <w:b/>
                <w:i w:val="0"/>
                <w:color w:val="1F3864"/>
                <w:sz w:val="20"/>
              </w:rPr>
              <w:t>Date</w:t>
            </w:r>
          </w:p>
        </w:tc>
        <w:tc>
          <w:tcPr>
            <w:tcW w:type="dxa" w:w="4680"/>
            <w:tcW w:w="7020" w:type="dxa"/>
            <w:tcMar>
              <w:top w:w="80" w:type="dxa"/>
              <w:bottom w:w="80" w:type="dxa"/>
              <w:left w:w="60" w:type="dxa"/>
              <w:right w:w="0" w:type="dxa"/>
            </w:tcMar>
            <w:tcBorders>
              <w:bottom w:val="single" w:sz="6" w:space="0" w:color="CCCCCC"/>
            </w:tcBorders>
          </w:tcPr>
          <w:p>
            <w:r/>
          </w:p>
        </w:tc>
      </w:tr>
    </w:tbl>
    <w:p>
      <w:pPr>
        <w:spacing w:before="320" w:after="80"/>
        <w:jc w:val="left"/>
      </w:pPr>
      <w:r>
        <w:rPr>
          <w:rFonts w:ascii="Arial" w:hAnsi="Arial"/>
          <w:b w:val="0"/>
          <w:i/>
          <w:color w:val="595959"/>
          <w:sz w:val="17"/>
        </w:rPr>
        <w:t>This proposal is not a guarantee of coverage. Final rates are subject to underwriting approval and audit. Coverage is effective only upon receipt of signed authorization and initial premium payment.</w:t>
      </w:r>
    </w:p>
    <w:p>
      <w:pPr>
        <w:sectPr>
          <w:footerReference w:type="default" r:id="rId15"/>
          <w:pgSz w:w="12240" w:h="15840"/>
          <w:pgMar w:top="1440" w:right="1440" w:bottom="1440" w:left="1440" w:header="432" w:footer="432" w:gutter="0"/>
          <w:cols w:space="720"/>
          <w:docGrid w:linePitch="360"/>
        </w:sectPr>
      </w:pPr>
    </w:p>
    <w:p>
      <w:pPr>
        <w:shd w:val="clear" w:color="auto" w:fill="1F3864"/>
        <w:spacing w:before="160" w:after="160"/>
        <w:ind w:left="280"/>
      </w:pPr>
      <w:r>
        <w:rPr>
          <w:rFonts w:ascii="Arial" w:hAnsi="Arial"/>
          <w:b/>
          <w:i w:val="0"/>
          <w:color w:val="FFFFFF"/>
          <w:sz w:val="28"/>
        </w:rPr>
        <w:t>Coverage Recommendations</w:t>
      </w:r>
    </w:p>
    <w:p>
      <w:pPr>
        <w:spacing w:before="160" w:after="160"/>
      </w:pPr>
      <w:r>
        <w:rPr>
          <w:rFonts w:ascii="Arial" w:hAnsi="Arial"/>
          <w:b w:val="0"/>
          <w:i/>
          <w:color w:val="595959"/>
          <w:sz w:val="19"/>
        </w:rPr>
        <w:t>The following list identifies common coverage areas for businesses like yours. Your NBAIS producer can help you assess your specific needs and obtain quotes for any of the coverages listed below.</w:t>
      </w:r>
    </w:p>
    <w:p>
      <w:pPr>
        <w:spacing w:before="280" w:after="160"/>
        <w:pBdr>
          <w:bottom w:val="single" w:sz="8" w:space="4" w:color="CCCCCC"/>
        </w:pBdr>
      </w:pPr>
      <w:r>
        <w:rPr>
          <w:rFonts w:ascii="Arial" w:hAnsi="Arial"/>
          <w:b/>
          <w:i w:val="0"/>
          <w:color w:val="1F3864"/>
          <w:sz w:val="24"/>
        </w:rPr>
        <w:t>Commercial Lines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Property Coverages</w:t>
            </w:r>
          </w:p>
          <w:p>
            <w:pPr>
              <w:spacing w:before="40" w:after="40"/>
              <w:ind w:left="200"/>
            </w:pPr>
            <w:r>
              <w:rPr>
                <w:rFonts w:ascii="Arial" w:hAnsi="Arial"/>
                <w:b w:val="0"/>
                <w:i w:val="0"/>
                <w:color w:val="595959"/>
                <w:sz w:val="18"/>
              </w:rPr>
              <w:t>•  Commercial Building / Business Personal Property</w:t>
            </w:r>
          </w:p>
          <w:p>
            <w:pPr>
              <w:spacing w:before="40" w:after="40"/>
              <w:ind w:left="200"/>
            </w:pPr>
            <w:r>
              <w:rPr>
                <w:rFonts w:ascii="Arial" w:hAnsi="Arial"/>
                <w:b w:val="0"/>
                <w:i w:val="0"/>
                <w:color w:val="595959"/>
                <w:sz w:val="18"/>
              </w:rPr>
              <w:t>•  Business Income &amp; Extra Expense</w:t>
            </w:r>
          </w:p>
          <w:p>
            <w:pPr>
              <w:spacing w:before="40" w:after="40"/>
              <w:ind w:left="200"/>
            </w:pPr>
            <w:r>
              <w:rPr>
                <w:rFonts w:ascii="Arial" w:hAnsi="Arial"/>
                <w:b w:val="0"/>
                <w:i w:val="0"/>
                <w:color w:val="595959"/>
                <w:sz w:val="18"/>
              </w:rPr>
              <w:t>•  Equipment Breakdown</w:t>
            </w:r>
          </w:p>
          <w:p>
            <w:pPr>
              <w:spacing w:before="40" w:after="40"/>
              <w:ind w:left="200"/>
            </w:pPr>
            <w:r>
              <w:rPr>
                <w:rFonts w:ascii="Arial" w:hAnsi="Arial"/>
                <w:b w:val="0"/>
                <w:i w:val="0"/>
                <w:color w:val="595959"/>
                <w:sz w:val="18"/>
              </w:rPr>
              <w:t>•  Inland Marine / Contractor’s Equipment</w:t>
            </w:r>
          </w:p>
          <w:p>
            <w:pPr>
              <w:spacing w:before="40" w:after="40"/>
              <w:ind w:left="200"/>
            </w:pPr>
            <w:r>
              <w:rPr>
                <w:rFonts w:ascii="Arial" w:hAnsi="Arial"/>
                <w:b w:val="0"/>
                <w:i w:val="0"/>
                <w:color w:val="595959"/>
                <w:sz w:val="18"/>
              </w:rPr>
              <w:t>•  Flood (NFIP or Private Market)</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Liability Coverages</w:t>
            </w:r>
          </w:p>
          <w:p>
            <w:pPr>
              <w:spacing w:before="40" w:after="40"/>
              <w:ind w:left="200"/>
            </w:pPr>
            <w:r>
              <w:rPr>
                <w:rFonts w:ascii="Arial" w:hAnsi="Arial"/>
                <w:b w:val="0"/>
                <w:i w:val="0"/>
                <w:color w:val="595959"/>
                <w:sz w:val="18"/>
              </w:rPr>
              <w:t>•  Commercial General Liability (CGL)</w:t>
            </w:r>
          </w:p>
          <w:p>
            <w:pPr>
              <w:spacing w:before="40" w:after="40"/>
              <w:ind w:left="200"/>
            </w:pPr>
            <w:r>
              <w:rPr>
                <w:rFonts w:ascii="Arial" w:hAnsi="Arial"/>
                <w:b w:val="0"/>
                <w:i w:val="0"/>
                <w:color w:val="595959"/>
                <w:sz w:val="18"/>
              </w:rPr>
              <w:t>•  Products &amp; Completed Operations</w:t>
            </w:r>
          </w:p>
          <w:p>
            <w:pPr>
              <w:spacing w:before="40" w:after="40"/>
              <w:ind w:left="200"/>
            </w:pPr>
            <w:r>
              <w:rPr>
                <w:rFonts w:ascii="Arial" w:hAnsi="Arial"/>
                <w:b w:val="0"/>
                <w:i w:val="0"/>
                <w:color w:val="595959"/>
                <w:sz w:val="18"/>
              </w:rPr>
              <w:t>•  Liquor Liability</w:t>
            </w:r>
          </w:p>
          <w:p>
            <w:pPr>
              <w:spacing w:before="40" w:after="40"/>
              <w:ind w:left="200"/>
            </w:pPr>
            <w:r>
              <w:rPr>
                <w:rFonts w:ascii="Arial" w:hAnsi="Arial"/>
                <w:b w:val="0"/>
                <w:i w:val="0"/>
                <w:color w:val="595959"/>
                <w:sz w:val="18"/>
              </w:rPr>
              <w:t>•  Contractual Liability</w:t>
            </w:r>
          </w:p>
          <w:p>
            <w:pPr>
              <w:spacing w:before="40" w:after="40"/>
              <w:ind w:left="200"/>
            </w:pPr>
            <w:r>
              <w:rPr>
                <w:rFonts w:ascii="Arial" w:hAnsi="Arial"/>
                <w:b w:val="0"/>
                <w:i w:val="0"/>
                <w:color w:val="595959"/>
                <w:sz w:val="18"/>
              </w:rPr>
              <w:t>•  Non-Owned &amp; Hired Auto Liability</w:t>
            </w:r>
          </w:p>
        </w:tc>
      </w:tr>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Cyber / Identity Theft / Crime</w:t>
            </w:r>
          </w:p>
          <w:p>
            <w:pPr>
              <w:spacing w:before="40" w:after="40"/>
              <w:ind w:left="200"/>
            </w:pPr>
            <w:r>
              <w:rPr>
                <w:rFonts w:ascii="Arial" w:hAnsi="Arial"/>
                <w:b w:val="0"/>
                <w:i w:val="0"/>
                <w:color w:val="595959"/>
                <w:sz w:val="18"/>
              </w:rPr>
              <w:t>•  Cyber Liability &amp; Data Breach Response</w:t>
            </w:r>
          </w:p>
          <w:p>
            <w:pPr>
              <w:spacing w:before="40" w:after="40"/>
              <w:ind w:left="200"/>
            </w:pPr>
            <w:r>
              <w:rPr>
                <w:rFonts w:ascii="Arial" w:hAnsi="Arial"/>
                <w:b w:val="0"/>
                <w:i w:val="0"/>
                <w:color w:val="595959"/>
                <w:sz w:val="18"/>
              </w:rPr>
              <w:t>•  Employee Theft / Crime</w:t>
            </w:r>
          </w:p>
          <w:p>
            <w:pPr>
              <w:spacing w:before="40" w:after="40"/>
              <w:ind w:left="200"/>
            </w:pPr>
            <w:r>
              <w:rPr>
                <w:rFonts w:ascii="Arial" w:hAnsi="Arial"/>
                <w:b w:val="0"/>
                <w:i w:val="0"/>
                <w:color w:val="595959"/>
                <w:sz w:val="18"/>
              </w:rPr>
              <w:t>•  Social Engineering / Funds Transfer Fraud</w:t>
            </w:r>
          </w:p>
          <w:p>
            <w:pPr>
              <w:spacing w:before="40" w:after="40"/>
              <w:ind w:left="200"/>
            </w:pPr>
            <w:r>
              <w:rPr>
                <w:rFonts w:ascii="Arial" w:hAnsi="Arial"/>
                <w:b w:val="0"/>
                <w:i w:val="0"/>
                <w:color w:val="595959"/>
                <w:sz w:val="18"/>
              </w:rPr>
              <w:t>•  Identity Theft Protection</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Automobile Coverage</w:t>
            </w:r>
          </w:p>
          <w:p>
            <w:pPr>
              <w:spacing w:before="40" w:after="40"/>
              <w:ind w:left="200"/>
            </w:pPr>
            <w:r>
              <w:rPr>
                <w:rFonts w:ascii="Arial" w:hAnsi="Arial"/>
                <w:b w:val="0"/>
                <w:i w:val="0"/>
                <w:color w:val="595959"/>
                <w:sz w:val="18"/>
              </w:rPr>
              <w:t>•  Commercial Auto — Owned Vehicles</w:t>
            </w:r>
          </w:p>
          <w:p>
            <w:pPr>
              <w:spacing w:before="40" w:after="40"/>
              <w:ind w:left="200"/>
            </w:pPr>
            <w:r>
              <w:rPr>
                <w:rFonts w:ascii="Arial" w:hAnsi="Arial"/>
                <w:b w:val="0"/>
                <w:i w:val="0"/>
                <w:color w:val="595959"/>
                <w:sz w:val="18"/>
              </w:rPr>
              <w:t>•  Hired &amp; Non-Owned Auto</w:t>
            </w:r>
          </w:p>
          <w:p>
            <w:pPr>
              <w:spacing w:before="40" w:after="40"/>
              <w:ind w:left="200"/>
            </w:pPr>
            <w:r>
              <w:rPr>
                <w:rFonts w:ascii="Arial" w:hAnsi="Arial"/>
                <w:b w:val="0"/>
                <w:i w:val="0"/>
                <w:color w:val="595959"/>
                <w:sz w:val="18"/>
              </w:rPr>
              <w:t>•  Motor Carrier / Truckers Liability</w:t>
            </w:r>
          </w:p>
          <w:p>
            <w:pPr>
              <w:spacing w:before="40" w:after="40"/>
              <w:ind w:left="200"/>
            </w:pPr>
            <w:r>
              <w:rPr>
                <w:rFonts w:ascii="Arial" w:hAnsi="Arial"/>
                <w:b w:val="0"/>
                <w:i w:val="0"/>
                <w:color w:val="595959"/>
                <w:sz w:val="18"/>
              </w:rPr>
              <w:t>•  Auto Physical Damage</w:t>
            </w:r>
          </w:p>
        </w:tc>
      </w:tr>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Workers’ Compensation Coverages</w:t>
            </w:r>
          </w:p>
          <w:p>
            <w:pPr>
              <w:spacing w:before="40" w:after="40"/>
              <w:ind w:left="200"/>
            </w:pPr>
            <w:r>
              <w:rPr>
                <w:rFonts w:ascii="Arial" w:hAnsi="Arial"/>
                <w:b w:val="0"/>
                <w:i w:val="0"/>
                <w:color w:val="595959"/>
                <w:sz w:val="18"/>
              </w:rPr>
              <w:t>•  Statutory Workers’ Compensation (NV) — current page</w:t>
            </w:r>
          </w:p>
          <w:p>
            <w:pPr>
              <w:spacing w:before="40" w:after="40"/>
              <w:ind w:left="200"/>
            </w:pPr>
            <w:r>
              <w:rPr>
                <w:rFonts w:ascii="Arial" w:hAnsi="Arial"/>
                <w:b w:val="0"/>
                <w:i w:val="0"/>
                <w:color w:val="595959"/>
                <w:sz w:val="18"/>
              </w:rPr>
              <w:t>•  Stop-Gap Employers’ Liability (monopolistic states)</w:t>
            </w:r>
          </w:p>
          <w:p>
            <w:pPr>
              <w:spacing w:before="40" w:after="40"/>
              <w:ind w:left="200"/>
            </w:pPr>
            <w:r>
              <w:rPr>
                <w:rFonts w:ascii="Arial" w:hAnsi="Arial"/>
                <w:b w:val="0"/>
                <w:i w:val="0"/>
                <w:color w:val="595959"/>
                <w:sz w:val="18"/>
              </w:rPr>
              <w:t>•  Voluntary Compensation &amp; Employers’ Liability</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Umbrella / Excess Liability</w:t>
            </w:r>
          </w:p>
          <w:p>
            <w:pPr>
              <w:spacing w:before="40" w:after="40"/>
              <w:ind w:left="200"/>
            </w:pPr>
            <w:r>
              <w:rPr>
                <w:rFonts w:ascii="Arial" w:hAnsi="Arial"/>
                <w:b w:val="0"/>
                <w:i w:val="0"/>
                <w:color w:val="595959"/>
                <w:sz w:val="18"/>
              </w:rPr>
              <w:t>•  Commercial Umbrella</w:t>
            </w:r>
          </w:p>
          <w:p>
            <w:pPr>
              <w:spacing w:before="40" w:after="40"/>
              <w:ind w:left="200"/>
            </w:pPr>
            <w:r>
              <w:rPr>
                <w:rFonts w:ascii="Arial" w:hAnsi="Arial"/>
                <w:b w:val="0"/>
                <w:i w:val="0"/>
                <w:color w:val="595959"/>
                <w:sz w:val="18"/>
              </w:rPr>
              <w:t>•  Excess Liability (follow-form)</w:t>
            </w:r>
          </w:p>
          <w:p>
            <w:pPr>
              <w:spacing w:before="40" w:after="40"/>
              <w:ind w:left="200"/>
            </w:pPr>
            <w:r>
              <w:rPr>
                <w:rFonts w:ascii="Arial" w:hAnsi="Arial"/>
                <w:b w:val="0"/>
                <w:i w:val="0"/>
                <w:color w:val="595959"/>
                <w:sz w:val="18"/>
              </w:rPr>
              <w:t>•  High-Limit Excess Towers</w:t>
            </w:r>
          </w:p>
        </w:tc>
      </w:tr>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Directors &amp; Officers / EPL / Fiduciary</w:t>
            </w:r>
          </w:p>
          <w:p>
            <w:pPr>
              <w:spacing w:before="40" w:after="40"/>
              <w:ind w:left="200"/>
            </w:pPr>
            <w:r>
              <w:rPr>
                <w:rFonts w:ascii="Arial" w:hAnsi="Arial"/>
                <w:b w:val="0"/>
                <w:i w:val="0"/>
                <w:color w:val="595959"/>
                <w:sz w:val="18"/>
              </w:rPr>
              <w:t>•  Directors &amp; Officers Liability</w:t>
            </w:r>
          </w:p>
          <w:p>
            <w:pPr>
              <w:spacing w:before="40" w:after="40"/>
              <w:ind w:left="200"/>
            </w:pPr>
            <w:r>
              <w:rPr>
                <w:rFonts w:ascii="Arial" w:hAnsi="Arial"/>
                <w:b w:val="0"/>
                <w:i w:val="0"/>
                <w:color w:val="595959"/>
                <w:sz w:val="18"/>
              </w:rPr>
              <w:t>•  Employment Practices Liability (EPL)</w:t>
            </w:r>
          </w:p>
          <w:p>
            <w:pPr>
              <w:spacing w:before="40" w:after="40"/>
              <w:ind w:left="200"/>
            </w:pPr>
            <w:r>
              <w:rPr>
                <w:rFonts w:ascii="Arial" w:hAnsi="Arial"/>
                <w:b w:val="0"/>
                <w:i w:val="0"/>
                <w:color w:val="595959"/>
                <w:sz w:val="18"/>
              </w:rPr>
              <w:t>•  Fiduciary Liability</w:t>
            </w:r>
          </w:p>
          <w:p>
            <w:pPr>
              <w:spacing w:before="40" w:after="40"/>
              <w:ind w:left="200"/>
            </w:pPr>
            <w:r>
              <w:rPr>
                <w:rFonts w:ascii="Arial" w:hAnsi="Arial"/>
                <w:b w:val="0"/>
                <w:i w:val="0"/>
                <w:color w:val="595959"/>
                <w:sz w:val="18"/>
              </w:rPr>
              <w:t>•  Wage &amp; Hour Defense</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Errors &amp; Omissions / Professional</w:t>
            </w:r>
          </w:p>
          <w:p>
            <w:pPr>
              <w:spacing w:before="40" w:after="40"/>
              <w:ind w:left="200"/>
            </w:pPr>
            <w:r>
              <w:rPr>
                <w:rFonts w:ascii="Arial" w:hAnsi="Arial"/>
                <w:b w:val="0"/>
                <w:i w:val="0"/>
                <w:color w:val="595959"/>
                <w:sz w:val="18"/>
              </w:rPr>
              <w:t>•  Contractors Pollution Liability</w:t>
            </w:r>
          </w:p>
          <w:p>
            <w:pPr>
              <w:spacing w:before="40" w:after="40"/>
              <w:ind w:left="200"/>
            </w:pPr>
            <w:r>
              <w:rPr>
                <w:rFonts w:ascii="Arial" w:hAnsi="Arial"/>
                <w:b w:val="0"/>
                <w:i w:val="0"/>
                <w:color w:val="595959"/>
                <w:sz w:val="18"/>
              </w:rPr>
              <w:t>•  Professional Liability / E&amp;O</w:t>
            </w:r>
          </w:p>
          <w:p>
            <w:pPr>
              <w:spacing w:before="40" w:after="40"/>
              <w:ind w:left="200"/>
            </w:pPr>
            <w:r>
              <w:rPr>
                <w:rFonts w:ascii="Arial" w:hAnsi="Arial"/>
                <w:b w:val="0"/>
                <w:i w:val="0"/>
                <w:color w:val="595959"/>
                <w:sz w:val="18"/>
              </w:rPr>
              <w:t>•  Design-Build Professional</w:t>
            </w:r>
          </w:p>
          <w:p>
            <w:pPr>
              <w:spacing w:before="40" w:after="40"/>
              <w:ind w:left="200"/>
            </w:pPr>
            <w:r>
              <w:rPr>
                <w:rFonts w:ascii="Arial" w:hAnsi="Arial"/>
                <w:b w:val="0"/>
                <w:i w:val="0"/>
                <w:color w:val="595959"/>
                <w:sz w:val="18"/>
              </w:rPr>
              <w:t>•  Technology E&amp;O</w:t>
            </w:r>
          </w:p>
        </w:tc>
      </w:tr>
    </w:tbl>
    <w:p>
      <w:pPr>
        <w:sectPr>
          <w:footerReference w:type="default" r:id="rId16"/>
          <w:pgSz w:w="12240" w:h="15840"/>
          <w:pgMar w:top="1440" w:right="1440" w:bottom="1440" w:left="1440" w:header="432" w:footer="432" w:gutter="0"/>
          <w:cols w:space="720"/>
          <w:docGrid w:linePitch="360"/>
        </w:sectPr>
      </w:pPr>
    </w:p>
    <w:p>
      <w:pPr>
        <w:shd w:val="clear" w:color="auto" w:fill="1F3864"/>
        <w:spacing w:before="160" w:after="160"/>
        <w:ind w:left="280"/>
      </w:pPr>
      <w:r>
        <w:rPr>
          <w:rFonts w:ascii="Arial" w:hAnsi="Arial"/>
          <w:b/>
          <w:i w:val="0"/>
          <w:color w:val="FFFFFF"/>
          <w:sz w:val="26"/>
        </w:rPr>
        <w:t>Coverage Recommendations (continued)</w:t>
      </w:r>
    </w:p>
    <w:p>
      <w:pPr>
        <w:spacing w:before="280" w:after="160"/>
        <w:pBdr>
          <w:bottom w:val="single" w:sz="8" w:space="4" w:color="CCCCCC"/>
        </w:pBdr>
      </w:pPr>
      <w:r>
        <w:rPr>
          <w:rFonts w:ascii="Arial" w:hAnsi="Arial"/>
          <w:b/>
          <w:i w:val="0"/>
          <w:color w:val="1F3864"/>
          <w:sz w:val="24"/>
        </w:rPr>
        <w:t>Commercial Lines (continued)</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Wind / Hail Coverage</w:t>
            </w:r>
          </w:p>
          <w:p>
            <w:pPr>
              <w:spacing w:before="40" w:after="40"/>
              <w:ind w:left="200"/>
            </w:pPr>
            <w:r>
              <w:rPr>
                <w:rFonts w:ascii="Arial" w:hAnsi="Arial"/>
                <w:b w:val="0"/>
                <w:i w:val="0"/>
                <w:color w:val="595959"/>
                <w:sz w:val="18"/>
              </w:rPr>
              <w:t>•  Standalone Windstorm / Hail</w:t>
            </w:r>
          </w:p>
          <w:p>
            <w:pPr>
              <w:spacing w:before="40" w:after="40"/>
              <w:ind w:left="200"/>
            </w:pPr>
            <w:r>
              <w:rPr>
                <w:rFonts w:ascii="Arial" w:hAnsi="Arial"/>
                <w:b w:val="0"/>
                <w:i w:val="0"/>
                <w:color w:val="595959"/>
                <w:sz w:val="18"/>
              </w:rPr>
              <w:t>•  Parametric Wind Insurance</w:t>
            </w:r>
          </w:p>
          <w:p>
            <w:pPr>
              <w:spacing w:before="40" w:after="40"/>
              <w:ind w:left="200"/>
            </w:pPr>
            <w:r>
              <w:rPr>
                <w:rFonts w:ascii="Arial" w:hAnsi="Arial"/>
                <w:b w:val="0"/>
                <w:i w:val="0"/>
                <w:color w:val="595959"/>
                <w:sz w:val="18"/>
              </w:rPr>
              <w:t>•  Builder’s Risk — Wind Extension</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Foreign Coverages</w:t>
            </w:r>
          </w:p>
          <w:p>
            <w:pPr>
              <w:spacing w:before="40" w:after="40"/>
              <w:ind w:left="200"/>
            </w:pPr>
            <w:r>
              <w:rPr>
                <w:rFonts w:ascii="Arial" w:hAnsi="Arial"/>
                <w:b w:val="0"/>
                <w:i w:val="0"/>
                <w:color w:val="595959"/>
                <w:sz w:val="18"/>
              </w:rPr>
              <w:t>•  Foreign General Liability</w:t>
            </w:r>
          </w:p>
          <w:p>
            <w:pPr>
              <w:spacing w:before="40" w:after="40"/>
              <w:ind w:left="200"/>
            </w:pPr>
            <w:r>
              <w:rPr>
                <w:rFonts w:ascii="Arial" w:hAnsi="Arial"/>
                <w:b w:val="0"/>
                <w:i w:val="0"/>
                <w:color w:val="595959"/>
                <w:sz w:val="18"/>
              </w:rPr>
              <w:t>•  Foreign Workers’ Compensation</w:t>
            </w:r>
          </w:p>
          <w:p>
            <w:pPr>
              <w:spacing w:before="40" w:after="40"/>
              <w:ind w:left="200"/>
            </w:pPr>
            <w:r>
              <w:rPr>
                <w:rFonts w:ascii="Arial" w:hAnsi="Arial"/>
                <w:b w:val="0"/>
                <w:i w:val="0"/>
                <w:color w:val="595959"/>
                <w:sz w:val="18"/>
              </w:rPr>
              <w:t>•  Foreign Auto</w:t>
            </w:r>
          </w:p>
          <w:p>
            <w:pPr>
              <w:spacing w:before="40" w:after="40"/>
              <w:ind w:left="200"/>
            </w:pPr>
            <w:r>
              <w:rPr>
                <w:rFonts w:ascii="Arial" w:hAnsi="Arial"/>
                <w:b w:val="0"/>
                <w:i w:val="0"/>
                <w:color w:val="595959"/>
                <w:sz w:val="18"/>
              </w:rPr>
              <w:t>•  Foreign Voluntary Compensation</w:t>
            </w:r>
          </w:p>
        </w:tc>
      </w:tr>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Pollution Liability</w:t>
            </w:r>
          </w:p>
          <w:p>
            <w:pPr>
              <w:spacing w:before="40" w:after="40"/>
              <w:ind w:left="200"/>
            </w:pPr>
            <w:r>
              <w:rPr>
                <w:rFonts w:ascii="Arial" w:hAnsi="Arial"/>
                <w:b w:val="0"/>
                <w:i w:val="0"/>
                <w:color w:val="595959"/>
                <w:sz w:val="18"/>
              </w:rPr>
              <w:t>•  Environmental Impairment Liability</w:t>
            </w:r>
          </w:p>
          <w:p>
            <w:pPr>
              <w:spacing w:before="40" w:after="40"/>
              <w:ind w:left="200"/>
            </w:pPr>
            <w:r>
              <w:rPr>
                <w:rFonts w:ascii="Arial" w:hAnsi="Arial"/>
                <w:b w:val="0"/>
                <w:i w:val="0"/>
                <w:color w:val="595959"/>
                <w:sz w:val="18"/>
              </w:rPr>
              <w:t>•  Site Pollution Legal Liability</w:t>
            </w:r>
          </w:p>
          <w:p>
            <w:pPr>
              <w:spacing w:before="40" w:after="40"/>
              <w:ind w:left="200"/>
            </w:pPr>
            <w:r>
              <w:rPr>
                <w:rFonts w:ascii="Arial" w:hAnsi="Arial"/>
                <w:b w:val="0"/>
                <w:i w:val="0"/>
                <w:color w:val="595959"/>
                <w:sz w:val="18"/>
              </w:rPr>
              <w:t>•  Contractor’s Pollution Liability</w:t>
            </w:r>
          </w:p>
          <w:p>
            <w:pPr>
              <w:spacing w:before="40" w:after="40"/>
              <w:ind w:left="200"/>
            </w:pPr>
            <w:r>
              <w:rPr>
                <w:rFonts w:ascii="Arial" w:hAnsi="Arial"/>
                <w:b w:val="0"/>
                <w:i w:val="0"/>
                <w:color w:val="595959"/>
                <w:sz w:val="18"/>
              </w:rPr>
              <w:t>•  Storage Tank Liability</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r>
          </w:p>
        </w:tc>
      </w:tr>
    </w:tbl>
    <w:p>
      <w:pPr>
        <w:spacing w:before="280" w:after="160"/>
        <w:pBdr>
          <w:bottom w:val="single" w:sz="8" w:space="4" w:color="CCCCCC"/>
        </w:pBdr>
      </w:pPr>
      <w:r>
        <w:rPr>
          <w:rFonts w:ascii="Arial" w:hAnsi="Arial"/>
          <w:b/>
          <w:i w:val="0"/>
          <w:color w:val="1F3864"/>
          <w:sz w:val="24"/>
        </w:rPr>
        <w:t>Personal Lines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Personal Insurance</w:t>
            </w:r>
          </w:p>
          <w:p>
            <w:pPr>
              <w:spacing w:before="40" w:after="40"/>
              <w:ind w:left="200"/>
            </w:pPr>
            <w:r>
              <w:rPr>
                <w:rFonts w:ascii="Arial" w:hAnsi="Arial"/>
                <w:b w:val="0"/>
                <w:i w:val="0"/>
                <w:color w:val="595959"/>
                <w:sz w:val="18"/>
              </w:rPr>
              <w:t>•  Homeowners / Renters Insurance</w:t>
            </w:r>
          </w:p>
          <w:p>
            <w:pPr>
              <w:spacing w:before="40" w:after="40"/>
              <w:ind w:left="200"/>
            </w:pPr>
            <w:r>
              <w:rPr>
                <w:rFonts w:ascii="Arial" w:hAnsi="Arial"/>
                <w:b w:val="0"/>
                <w:i w:val="0"/>
                <w:color w:val="595959"/>
                <w:sz w:val="18"/>
              </w:rPr>
              <w:t>•  High-Value Home (agreed value)</w:t>
            </w:r>
          </w:p>
          <w:p>
            <w:pPr>
              <w:spacing w:before="40" w:after="40"/>
              <w:ind w:left="200"/>
            </w:pPr>
            <w:r>
              <w:rPr>
                <w:rFonts w:ascii="Arial" w:hAnsi="Arial"/>
                <w:b w:val="0"/>
                <w:i w:val="0"/>
                <w:color w:val="595959"/>
                <w:sz w:val="18"/>
              </w:rPr>
              <w:t>•  Personal Umbrella</w:t>
            </w:r>
          </w:p>
          <w:p>
            <w:pPr>
              <w:spacing w:before="40" w:after="40"/>
              <w:ind w:left="200"/>
            </w:pPr>
            <w:r>
              <w:rPr>
                <w:rFonts w:ascii="Arial" w:hAnsi="Arial"/>
                <w:b w:val="0"/>
                <w:i w:val="0"/>
                <w:color w:val="595959"/>
                <w:sz w:val="18"/>
              </w:rPr>
              <w:t>•  Valuable Articles / Collections</w:t>
            </w:r>
          </w:p>
          <w:p>
            <w:pPr>
              <w:spacing w:before="40" w:after="40"/>
              <w:ind w:left="200"/>
            </w:pPr>
            <w:r>
              <w:rPr>
                <w:rFonts w:ascii="Arial" w:hAnsi="Arial"/>
                <w:b w:val="0"/>
                <w:i w:val="0"/>
                <w:color w:val="595959"/>
                <w:sz w:val="18"/>
              </w:rPr>
              <w:t>•  Watercraft</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Farm &amp; Ranch</w:t>
            </w:r>
          </w:p>
          <w:p>
            <w:pPr>
              <w:spacing w:before="40" w:after="40"/>
              <w:ind w:left="200"/>
            </w:pPr>
            <w:r>
              <w:rPr>
                <w:rFonts w:ascii="Arial" w:hAnsi="Arial"/>
                <w:b w:val="0"/>
                <w:i w:val="0"/>
                <w:color w:val="595959"/>
                <w:sz w:val="18"/>
              </w:rPr>
              <w:t>•  Farm Owners Coverage</w:t>
            </w:r>
          </w:p>
          <w:p>
            <w:pPr>
              <w:spacing w:before="40" w:after="40"/>
              <w:ind w:left="200"/>
            </w:pPr>
            <w:r>
              <w:rPr>
                <w:rFonts w:ascii="Arial" w:hAnsi="Arial"/>
                <w:b w:val="0"/>
                <w:i w:val="0"/>
                <w:color w:val="595959"/>
                <w:sz w:val="18"/>
              </w:rPr>
              <w:t>•  Ranch Liability</w:t>
            </w:r>
          </w:p>
          <w:p>
            <w:pPr>
              <w:spacing w:before="40" w:after="40"/>
              <w:ind w:left="200"/>
            </w:pPr>
            <w:r>
              <w:rPr>
                <w:rFonts w:ascii="Arial" w:hAnsi="Arial"/>
                <w:b w:val="0"/>
                <w:i w:val="0"/>
                <w:color w:val="595959"/>
                <w:sz w:val="18"/>
              </w:rPr>
              <w:t>•  Crop / Livestock Coverage</w:t>
            </w:r>
          </w:p>
        </w:tc>
      </w:tr>
    </w:tbl>
    <w:p>
      <w:pPr>
        <w:spacing w:before="280" w:after="160"/>
        <w:pBdr>
          <w:bottom w:val="single" w:sz="8" w:space="4" w:color="CCCCCC"/>
        </w:pBdr>
      </w:pPr>
      <w:r>
        <w:rPr>
          <w:rFonts w:ascii="Arial" w:hAnsi="Arial"/>
          <w:b/>
          <w:i w:val="0"/>
          <w:color w:val="1F3864"/>
          <w:sz w:val="24"/>
        </w:rPr>
        <w:t>Bond Recommendations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Surety &amp; Bonds</w:t>
            </w:r>
          </w:p>
          <w:p>
            <w:pPr>
              <w:spacing w:before="40" w:after="40"/>
              <w:ind w:left="200"/>
            </w:pPr>
            <w:r>
              <w:rPr>
                <w:rFonts w:ascii="Arial" w:hAnsi="Arial"/>
                <w:b w:val="0"/>
                <w:i w:val="0"/>
                <w:color w:val="595959"/>
                <w:sz w:val="18"/>
              </w:rPr>
              <w:t>•  Performance &amp; Payment Bonds</w:t>
            </w:r>
          </w:p>
          <w:p>
            <w:pPr>
              <w:spacing w:before="40" w:after="40"/>
              <w:ind w:left="200"/>
            </w:pPr>
            <w:r>
              <w:rPr>
                <w:rFonts w:ascii="Arial" w:hAnsi="Arial"/>
                <w:b w:val="0"/>
                <w:i w:val="0"/>
                <w:color w:val="595959"/>
                <w:sz w:val="18"/>
              </w:rPr>
              <w:t>•  Bid Bonds</w:t>
            </w:r>
          </w:p>
          <w:p>
            <w:pPr>
              <w:spacing w:before="40" w:after="40"/>
              <w:ind w:left="200"/>
            </w:pPr>
            <w:r>
              <w:rPr>
                <w:rFonts w:ascii="Arial" w:hAnsi="Arial"/>
                <w:b w:val="0"/>
                <w:i w:val="0"/>
                <w:color w:val="595959"/>
                <w:sz w:val="18"/>
              </w:rPr>
              <w:t>•  Subdivision / Site Improvement Bonds</w:t>
            </w:r>
          </w:p>
          <w:p>
            <w:pPr>
              <w:spacing w:before="40" w:after="40"/>
              <w:ind w:left="200"/>
            </w:pPr>
            <w:r>
              <w:rPr>
                <w:rFonts w:ascii="Arial" w:hAnsi="Arial"/>
                <w:b w:val="0"/>
                <w:i w:val="0"/>
                <w:color w:val="595959"/>
                <w:sz w:val="18"/>
              </w:rPr>
              <w:t>•  Supply Bonds</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License &amp; Permit Bonds</w:t>
            </w:r>
          </w:p>
          <w:p>
            <w:pPr>
              <w:spacing w:before="40" w:after="40"/>
              <w:ind w:left="200"/>
            </w:pPr>
            <w:r>
              <w:rPr>
                <w:rFonts w:ascii="Arial" w:hAnsi="Arial"/>
                <w:b w:val="0"/>
                <w:i w:val="0"/>
                <w:color w:val="595959"/>
                <w:sz w:val="18"/>
              </w:rPr>
              <w:t>•  Contractor License Bonds</w:t>
            </w:r>
          </w:p>
          <w:p>
            <w:pPr>
              <w:spacing w:before="40" w:after="40"/>
              <w:ind w:left="200"/>
            </w:pPr>
            <w:r>
              <w:rPr>
                <w:rFonts w:ascii="Arial" w:hAnsi="Arial"/>
                <w:b w:val="0"/>
                <w:i w:val="0"/>
                <w:color w:val="595959"/>
                <w:sz w:val="18"/>
              </w:rPr>
              <w:t>•  Permit Bonds</w:t>
            </w:r>
          </w:p>
          <w:p>
            <w:pPr>
              <w:spacing w:before="40" w:after="40"/>
              <w:ind w:left="200"/>
            </w:pPr>
            <w:r>
              <w:rPr>
                <w:rFonts w:ascii="Arial" w:hAnsi="Arial"/>
                <w:b w:val="0"/>
                <w:i w:val="0"/>
                <w:color w:val="595959"/>
                <w:sz w:val="18"/>
              </w:rPr>
              <w:t>•  Court / Fiduciary Bonds</w:t>
            </w:r>
          </w:p>
          <w:p>
            <w:pPr>
              <w:spacing w:before="40" w:after="40"/>
              <w:ind w:left="200"/>
            </w:pPr>
            <w:r>
              <w:rPr>
                <w:rFonts w:ascii="Arial" w:hAnsi="Arial"/>
                <w:b w:val="0"/>
                <w:i w:val="0"/>
                <w:color w:val="595959"/>
                <w:sz w:val="18"/>
              </w:rPr>
              <w:t>•  Commercial Blanket Bonds</w:t>
            </w:r>
          </w:p>
        </w:tc>
      </w:tr>
    </w:tbl>
    <w:p>
      <w:pPr>
        <w:sectPr>
          <w:footerReference w:type="default" r:id="rId17"/>
          <w:pgSz w:w="12240" w:h="15840"/>
          <w:pgMar w:top="1440" w:right="1440" w:bottom="1440" w:left="1440" w:header="432" w:footer="432" w:gutter="0"/>
          <w:cols w:space="720"/>
          <w:docGrid w:linePitch="360"/>
        </w:sectPr>
      </w:pPr>
    </w:p>
    <w:p>
      <w:pPr>
        <w:shd w:val="clear" w:color="auto" w:fill="1F3864"/>
        <w:spacing w:before="160" w:after="160"/>
        <w:ind w:left="280"/>
      </w:pPr>
      <w:r>
        <w:rPr>
          <w:rFonts w:ascii="Arial" w:hAnsi="Arial"/>
          <w:b/>
          <w:i w:val="0"/>
          <w:color w:val="FFFFFF"/>
          <w:sz w:val="28"/>
        </w:rPr>
        <w:t>Employee Benefits Recommendations</w:t>
      </w:r>
    </w:p>
    <w:p>
      <w:pPr>
        <w:spacing w:before="160" w:after="160"/>
        <w:jc w:val="left"/>
      </w:pPr>
      <w:r>
        <w:rPr>
          <w:rFonts w:ascii="Arial" w:hAnsi="Arial"/>
          <w:b w:val="0"/>
          <w:i/>
          <w:color w:val="595959"/>
          <w:sz w:val="19"/>
        </w:rPr>
        <w:t>NBAIS can connect you with specialists for group benefits, life insurance, and retirement planning. The following is an overview of available employee benefit programs.</w:t>
      </w:r>
    </w:p>
    <w:p>
      <w:pPr>
        <w:spacing w:before="280" w:after="160"/>
        <w:pBdr>
          <w:bottom w:val="single" w:sz="8" w:space="4" w:color="CCCCCC"/>
        </w:pBdr>
      </w:pPr>
      <w:r>
        <w:rPr>
          <w:rFonts w:ascii="Arial" w:hAnsi="Arial"/>
          <w:b/>
          <w:i w:val="0"/>
          <w:color w:val="1F3864"/>
          <w:sz w:val="24"/>
        </w:rPr>
        <w:t>Group Benefits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Health &amp; Welfare</w:t>
            </w:r>
          </w:p>
          <w:p>
            <w:pPr>
              <w:spacing w:before="40" w:after="40"/>
              <w:ind w:left="200"/>
            </w:pPr>
            <w:r>
              <w:rPr>
                <w:rFonts w:ascii="Arial" w:hAnsi="Arial"/>
                <w:b w:val="0"/>
                <w:i w:val="0"/>
                <w:color w:val="595959"/>
                <w:sz w:val="18"/>
              </w:rPr>
              <w:t>•  Group Health Insurance (Medical)</w:t>
            </w:r>
          </w:p>
          <w:p>
            <w:pPr>
              <w:spacing w:before="40" w:after="40"/>
              <w:ind w:left="200"/>
            </w:pPr>
            <w:r>
              <w:rPr>
                <w:rFonts w:ascii="Arial" w:hAnsi="Arial"/>
                <w:b w:val="0"/>
                <w:i w:val="0"/>
                <w:color w:val="595959"/>
                <w:sz w:val="18"/>
              </w:rPr>
              <w:t>•  Group Dental</w:t>
            </w:r>
          </w:p>
          <w:p>
            <w:pPr>
              <w:spacing w:before="40" w:after="40"/>
              <w:ind w:left="200"/>
            </w:pPr>
            <w:r>
              <w:rPr>
                <w:rFonts w:ascii="Arial" w:hAnsi="Arial"/>
                <w:b w:val="0"/>
                <w:i w:val="0"/>
                <w:color w:val="595959"/>
                <w:sz w:val="18"/>
              </w:rPr>
              <w:t>•  Group Vision</w:t>
            </w:r>
          </w:p>
          <w:p>
            <w:pPr>
              <w:spacing w:before="40" w:after="40"/>
              <w:ind w:left="200"/>
            </w:pPr>
            <w:r>
              <w:rPr>
                <w:rFonts w:ascii="Arial" w:hAnsi="Arial"/>
                <w:b w:val="0"/>
                <w:i w:val="0"/>
                <w:color w:val="595959"/>
                <w:sz w:val="18"/>
              </w:rPr>
              <w:t>•  Flexible Spending Accounts (FSA)</w:t>
            </w:r>
          </w:p>
          <w:p>
            <w:pPr>
              <w:spacing w:before="40" w:after="40"/>
              <w:ind w:left="200"/>
            </w:pPr>
            <w:r>
              <w:rPr>
                <w:rFonts w:ascii="Arial" w:hAnsi="Arial"/>
                <w:b w:val="0"/>
                <w:i w:val="0"/>
                <w:color w:val="595959"/>
                <w:sz w:val="18"/>
              </w:rPr>
              <w:t>•  Health Reimbursement Arrangements (HRA)</w:t>
            </w:r>
          </w:p>
          <w:p>
            <w:pPr>
              <w:spacing w:before="40" w:after="40"/>
              <w:ind w:left="200"/>
            </w:pPr>
            <w:r>
              <w:rPr>
                <w:rFonts w:ascii="Arial" w:hAnsi="Arial"/>
                <w:b w:val="0"/>
                <w:i w:val="0"/>
                <w:color w:val="595959"/>
                <w:sz w:val="18"/>
              </w:rPr>
              <w:t>•  Health Savings Accounts (HSA)</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Disability &amp; Supplemental</w:t>
            </w:r>
          </w:p>
          <w:p>
            <w:pPr>
              <w:spacing w:before="40" w:after="40"/>
              <w:ind w:left="200"/>
            </w:pPr>
            <w:r>
              <w:rPr>
                <w:rFonts w:ascii="Arial" w:hAnsi="Arial"/>
                <w:b w:val="0"/>
                <w:i w:val="0"/>
                <w:color w:val="595959"/>
                <w:sz w:val="18"/>
              </w:rPr>
              <w:t>•  Short-Term Disability</w:t>
            </w:r>
          </w:p>
          <w:p>
            <w:pPr>
              <w:spacing w:before="40" w:after="40"/>
              <w:ind w:left="200"/>
            </w:pPr>
            <w:r>
              <w:rPr>
                <w:rFonts w:ascii="Arial" w:hAnsi="Arial"/>
                <w:b w:val="0"/>
                <w:i w:val="0"/>
                <w:color w:val="595959"/>
                <w:sz w:val="18"/>
              </w:rPr>
              <w:t>•  Long-Term Disability</w:t>
            </w:r>
          </w:p>
          <w:p>
            <w:pPr>
              <w:spacing w:before="40" w:after="40"/>
              <w:ind w:left="200"/>
            </w:pPr>
            <w:r>
              <w:rPr>
                <w:rFonts w:ascii="Arial" w:hAnsi="Arial"/>
                <w:b w:val="0"/>
                <w:i w:val="0"/>
                <w:color w:val="595959"/>
                <w:sz w:val="18"/>
              </w:rPr>
              <w:t>•  Group Accident Insurance</w:t>
            </w:r>
          </w:p>
          <w:p>
            <w:pPr>
              <w:spacing w:before="40" w:after="40"/>
              <w:ind w:left="200"/>
            </w:pPr>
            <w:r>
              <w:rPr>
                <w:rFonts w:ascii="Arial" w:hAnsi="Arial"/>
                <w:b w:val="0"/>
                <w:i w:val="0"/>
                <w:color w:val="595959"/>
                <w:sz w:val="18"/>
              </w:rPr>
              <w:t>•  Critical Illness Coverage</w:t>
            </w:r>
          </w:p>
          <w:p>
            <w:pPr>
              <w:spacing w:before="40" w:after="40"/>
              <w:ind w:left="200"/>
            </w:pPr>
            <w:r>
              <w:rPr>
                <w:rFonts w:ascii="Arial" w:hAnsi="Arial"/>
                <w:b w:val="0"/>
                <w:i w:val="0"/>
                <w:color w:val="595959"/>
                <w:sz w:val="18"/>
              </w:rPr>
              <w:t>•  Hospital Indemnity</w:t>
            </w:r>
          </w:p>
        </w:tc>
      </w:tr>
    </w:tbl>
    <w:p>
      <w:pPr>
        <w:spacing w:before="280" w:after="160"/>
        <w:pBdr>
          <w:bottom w:val="single" w:sz="8" w:space="4" w:color="CCCCCC"/>
        </w:pBdr>
      </w:pPr>
      <w:r>
        <w:rPr>
          <w:rFonts w:ascii="Arial" w:hAnsi="Arial"/>
          <w:b/>
          <w:i w:val="0"/>
          <w:color w:val="1F3864"/>
          <w:sz w:val="24"/>
        </w:rPr>
        <w:t>Life Department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Business Planning</w:t>
            </w:r>
          </w:p>
          <w:p>
            <w:pPr>
              <w:spacing w:before="40" w:after="40"/>
              <w:ind w:left="200"/>
            </w:pPr>
            <w:r>
              <w:rPr>
                <w:rFonts w:ascii="Arial" w:hAnsi="Arial"/>
                <w:b w:val="0"/>
                <w:i w:val="0"/>
                <w:color w:val="595959"/>
                <w:sz w:val="18"/>
              </w:rPr>
              <w:t>•  Key Person Life Insurance</w:t>
            </w:r>
          </w:p>
          <w:p>
            <w:pPr>
              <w:spacing w:before="40" w:after="40"/>
              <w:ind w:left="200"/>
            </w:pPr>
            <w:r>
              <w:rPr>
                <w:rFonts w:ascii="Arial" w:hAnsi="Arial"/>
                <w:b w:val="0"/>
                <w:i w:val="0"/>
                <w:color w:val="595959"/>
                <w:sz w:val="18"/>
              </w:rPr>
              <w:t>•  Buy-Sell Agreement Funding</w:t>
            </w:r>
          </w:p>
          <w:p>
            <w:pPr>
              <w:spacing w:before="40" w:after="40"/>
              <w:ind w:left="200"/>
            </w:pPr>
            <w:r>
              <w:rPr>
                <w:rFonts w:ascii="Arial" w:hAnsi="Arial"/>
                <w:b w:val="0"/>
                <w:i w:val="0"/>
                <w:color w:val="595959"/>
                <w:sz w:val="18"/>
              </w:rPr>
              <w:t>•  Business Continuation Planning</w:t>
            </w:r>
          </w:p>
          <w:p>
            <w:pPr>
              <w:spacing w:before="40" w:after="40"/>
              <w:ind w:left="200"/>
            </w:pPr>
            <w:r>
              <w:rPr>
                <w:rFonts w:ascii="Arial" w:hAnsi="Arial"/>
                <w:b w:val="0"/>
                <w:i w:val="0"/>
                <w:color w:val="595959"/>
                <w:sz w:val="18"/>
              </w:rPr>
              <w:t>•  Executive Bonus Plans</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Estate Planning</w:t>
            </w:r>
          </w:p>
          <w:p>
            <w:pPr>
              <w:spacing w:before="40" w:after="40"/>
              <w:ind w:left="200"/>
            </w:pPr>
            <w:r>
              <w:rPr>
                <w:rFonts w:ascii="Arial" w:hAnsi="Arial"/>
                <w:b w:val="0"/>
                <w:i w:val="0"/>
                <w:color w:val="595959"/>
                <w:sz w:val="18"/>
              </w:rPr>
              <w:t>•  Individual Life Insurance</w:t>
            </w:r>
          </w:p>
          <w:p>
            <w:pPr>
              <w:spacing w:before="40" w:after="40"/>
              <w:ind w:left="200"/>
            </w:pPr>
            <w:r>
              <w:rPr>
                <w:rFonts w:ascii="Arial" w:hAnsi="Arial"/>
                <w:b w:val="0"/>
                <w:i w:val="0"/>
                <w:color w:val="595959"/>
                <w:sz w:val="18"/>
              </w:rPr>
              <w:t>•  Survivorship / Second-to-Die Policies</w:t>
            </w:r>
          </w:p>
          <w:p>
            <w:pPr>
              <w:spacing w:before="40" w:after="40"/>
              <w:ind w:left="200"/>
            </w:pPr>
            <w:r>
              <w:rPr>
                <w:rFonts w:ascii="Arial" w:hAnsi="Arial"/>
                <w:b w:val="0"/>
                <w:i w:val="0"/>
                <w:color w:val="595959"/>
                <w:sz w:val="18"/>
              </w:rPr>
              <w:t>•  Irrevocable Life Insurance Trust (ILIT)</w:t>
            </w:r>
          </w:p>
          <w:p>
            <w:pPr>
              <w:spacing w:before="40" w:after="40"/>
              <w:ind w:left="200"/>
            </w:pPr>
            <w:r>
              <w:rPr>
                <w:rFonts w:ascii="Arial" w:hAnsi="Arial"/>
                <w:b w:val="0"/>
                <w:i w:val="0"/>
                <w:color w:val="595959"/>
                <w:sz w:val="18"/>
              </w:rPr>
              <w:t>•  Charitable Giving Strategies</w:t>
            </w:r>
          </w:p>
        </w:tc>
      </w:tr>
    </w:tbl>
    <w:p>
      <w:pPr>
        <w:spacing w:before="280" w:after="160"/>
        <w:pBdr>
          <w:bottom w:val="single" w:sz="8" w:space="4" w:color="CCCCCC"/>
        </w:pBdr>
      </w:pPr>
      <w:r>
        <w:rPr>
          <w:rFonts w:ascii="Arial" w:hAnsi="Arial"/>
          <w:b/>
          <w:i w:val="0"/>
          <w:color w:val="1F3864"/>
          <w:sz w:val="24"/>
        </w:rPr>
        <w:t>Retirement Plan Services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Qualified Plans</w:t>
            </w:r>
          </w:p>
          <w:p>
            <w:pPr>
              <w:spacing w:before="40" w:after="40"/>
              <w:ind w:left="200"/>
            </w:pPr>
            <w:r>
              <w:rPr>
                <w:rFonts w:ascii="Arial" w:hAnsi="Arial"/>
                <w:b w:val="0"/>
                <w:i w:val="0"/>
                <w:color w:val="595959"/>
                <w:sz w:val="18"/>
              </w:rPr>
              <w:t>•  401(k) Plan Design &amp; Administration</w:t>
            </w:r>
          </w:p>
          <w:p>
            <w:pPr>
              <w:spacing w:before="40" w:after="40"/>
              <w:ind w:left="200"/>
            </w:pPr>
            <w:r>
              <w:rPr>
                <w:rFonts w:ascii="Arial" w:hAnsi="Arial"/>
                <w:b w:val="0"/>
                <w:i w:val="0"/>
                <w:color w:val="595959"/>
                <w:sz w:val="18"/>
              </w:rPr>
              <w:t>•  SIMPLE IRA</w:t>
            </w:r>
          </w:p>
          <w:p>
            <w:pPr>
              <w:spacing w:before="40" w:after="40"/>
              <w:ind w:left="200"/>
            </w:pPr>
            <w:r>
              <w:rPr>
                <w:rFonts w:ascii="Arial" w:hAnsi="Arial"/>
                <w:b w:val="0"/>
                <w:i w:val="0"/>
                <w:color w:val="595959"/>
                <w:sz w:val="18"/>
              </w:rPr>
              <w:t>•  SEP IRA</w:t>
            </w:r>
          </w:p>
          <w:p>
            <w:pPr>
              <w:spacing w:before="40" w:after="40"/>
              <w:ind w:left="200"/>
            </w:pPr>
            <w:r>
              <w:rPr>
                <w:rFonts w:ascii="Arial" w:hAnsi="Arial"/>
                <w:b w:val="0"/>
                <w:i w:val="0"/>
                <w:color w:val="595959"/>
                <w:sz w:val="18"/>
              </w:rPr>
              <w:t>•  Defined Benefit / Pension Plans</w:t>
            </w:r>
          </w:p>
          <w:p>
            <w:pPr>
              <w:spacing w:before="40" w:after="40"/>
              <w:ind w:left="200"/>
            </w:pPr>
            <w:r>
              <w:rPr>
                <w:rFonts w:ascii="Arial" w:hAnsi="Arial"/>
                <w:b w:val="0"/>
                <w:i w:val="0"/>
                <w:color w:val="595959"/>
                <w:sz w:val="18"/>
              </w:rPr>
              <w:t>•  Profit-Sharing Plans</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Non-Qualified Plans</w:t>
            </w:r>
          </w:p>
          <w:p>
            <w:pPr>
              <w:spacing w:before="40" w:after="40"/>
              <w:ind w:left="200"/>
            </w:pPr>
            <w:r>
              <w:rPr>
                <w:rFonts w:ascii="Arial" w:hAnsi="Arial"/>
                <w:b w:val="0"/>
                <w:i w:val="0"/>
                <w:color w:val="595959"/>
                <w:sz w:val="18"/>
              </w:rPr>
              <w:t>•  Deferred Compensation Plans</w:t>
            </w:r>
          </w:p>
          <w:p>
            <w:pPr>
              <w:spacing w:before="40" w:after="40"/>
              <w:ind w:left="200"/>
            </w:pPr>
            <w:r>
              <w:rPr>
                <w:rFonts w:ascii="Arial" w:hAnsi="Arial"/>
                <w:b w:val="0"/>
                <w:i w:val="0"/>
                <w:color w:val="595959"/>
                <w:sz w:val="18"/>
              </w:rPr>
              <w:t>•  Executive Supplemental Retirement (SERP)</w:t>
            </w:r>
          </w:p>
          <w:p>
            <w:pPr>
              <w:spacing w:before="40" w:after="40"/>
              <w:ind w:left="200"/>
            </w:pPr>
            <w:r>
              <w:rPr>
                <w:rFonts w:ascii="Arial" w:hAnsi="Arial"/>
                <w:b w:val="0"/>
                <w:i w:val="0"/>
                <w:color w:val="595959"/>
                <w:sz w:val="18"/>
              </w:rPr>
              <w:t>•  Split-Dollar Life Insurance</w:t>
            </w:r>
          </w:p>
        </w:tc>
      </w:tr>
    </w:tbl>
    <w:p>
      <w:pPr>
        <w:spacing w:before="280" w:after="80"/>
        <w:ind w:left="280" w:right="280"/>
        <w:shd w:val="clear" w:color="auto" w:fill="EBF3FB"/>
      </w:pPr>
      <w:r>
        <w:rPr>
          <w:rFonts w:ascii="Arial" w:hAnsi="Arial"/>
          <w:b w:val="0"/>
          <w:i/>
          <w:color w:val="1F3864"/>
          <w:sz w:val="18"/>
        </w:rPr>
        <w:t>Your NBAIS producer can help you assess your employee benefits needs and develop a comprehensive program. Contact Dianne Slater to schedule a benefits review.</w:t>
      </w:r>
    </w:p>
    <w:sectPr w:rsidR="00FC693F" w:rsidRPr="0006063C" w:rsidSect="00034616">
      <w:footerReference w:type="default" r:id="rId18"/>
      <w:pgSz w:w="12240" w:h="15840"/>
      <w:pgMar w:top="1440" w:right="1440" w:bottom="1440"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 Letter</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Premium Summary</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Details (2 of 2)</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Next Steps &amp; Authorization</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(1 of 3)</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(2 of 3)</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(3 of 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60"/>
      <w:pBdr>
        <w:bottom w:val="single" w:sz="4" w:space="4" w:color="AAAAAA"/>
      </w:pBdr>
      <w:tabs>
        <w:tab w:val="right" w:pos="9360"/>
      </w:tabs>
    </w:pPr>
    <w:r>
      <w:drawing>
        <wp:inline xmlns:a="http://schemas.openxmlformats.org/drawingml/2006/main" xmlns:pic="http://schemas.openxmlformats.org/drawingml/2006/picture">
          <wp:extent cx="1173113" cy="355600"/>
          <wp:docPr id="1" name="Picture 1"/>
          <wp:cNvGraphicFramePr>
            <a:graphicFrameLocks noChangeAspect="1"/>
          </wp:cNvGraphicFramePr>
          <a:graphic>
            <a:graphicData uri="http://schemas.openxmlformats.org/drawingml/2006/picture">
              <pic:pic>
                <pic:nvPicPr>
                  <pic:cNvPr id="0" name="logo_horizontal.png"/>
                  <pic:cNvPicPr/>
                </pic:nvPicPr>
                <pic:blipFill>
                  <a:blip r:embed="rId1"/>
                  <a:stretch>
                    <a:fillRect/>
                  </a:stretch>
                </pic:blipFill>
                <pic:spPr>
                  <a:xfrm>
                    <a:off x="0" y="0"/>
                    <a:ext cx="1173113" cy="355600"/>
                  </a:xfrm>
                  <a:prstGeom prst="rect"/>
                </pic:spPr>
              </pic:pic>
            </a:graphicData>
          </a:graphic>
        </wp:inline>
      </w:drawing>
    </w:r>
    <w:r>
      <w:tab/>
    </w:r>
    <w:r>
      <w:rPr>
        <w:rFonts w:ascii="Arial" w:hAnsi="Arial"/>
        <w:b w:val="0"/>
        <w:i/>
        <w:color w:val="595959"/>
        <w:sz w:val="18"/>
      </w:rPr>
      <w:t>Workers’ Compensation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footer" Target="footer8.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