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0" w:footer="720" w:gutter="0"/>
          <w:cols w:space="720"/>
          <w:titlePg/>
          <w:docGrid w:linePitch="360"/>
        </w:sectPr>
      </w:pPr>
    </w:p>
    <w:p>
      <w:pPr>
        <w:spacing w:before="240" w:after="120"/>
        <w:pBdr>
          <w:bottom w:val="single" w:sz="8" w:space="4" w:color="CCCCCC"/>
        </w:pBdr>
        <w:outlineLvl w:val="9"/>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outlineLvl w:val="9"/>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outlineLvl w:val="9"/>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3276"/>
        <w:gridCol w:w="6084"/>
      </w:tblGrid>
      <w:tr>
        <w:trPr>
          <w:tblHeader w:val="1"/>
        </w:trPr>
        <w:tc>
          <w:tcPr>
            <w:tcW w:type="dxa" w:w="9360"/>
            <w:gridSpan w:val="2"/>
            <w:shd w:val="clear" w:color="auto" w:fill="1F3864"/>
            <w:tcMar>
              <w:top w:w="80" w:type="dxa"/>
              <w:bottom w:w="80" w:type="dxa"/>
              <w:left w:w="100" w:type="dxa"/>
              <w:right w:w="80" w:type="dxa"/>
            </w:tcMar>
            <w:vAlign w:val="center"/>
          </w:tcPr>
          <w:p>
            <w:pPr>
              <w:spacing w:before="0" w:after="0"/>
            </w:pPr>
            <w:r>
              <w:rPr>
                <w:rFonts w:ascii="Arial" w:hAnsi="Arial"/>
                <w:b/>
                <w:i w:val="0"/>
                <w:color w:val="FFFFFF"/>
                <w:sz w:val="22"/>
              </w:rPr>
              <w:t>Premium Summary</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Base Premium</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{basePremium}</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Estimated Annual Premium</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{estPremium}</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Surplus Contribution (8%)</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Employers’ Liability Fee</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{employersLiabilityFee}</w:t>
            </w:r>
          </w:p>
        </w:tc>
      </w:tr>
      <w:tr>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 Estimated Cost</w:t>
            </w:r>
          </w:p>
        </w:tc>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{totalEstimatedPremium}</w:t>
            </w:r>
          </w:p>
        </w:tc>
      </w:tr>
      <w:tr>
        <w:tc>
          <w:tcPr>
            <w:tcW w:type="dxa" w:w="4680"/>
            <w:tcMar>
              <w:top w:w="80" w:type="dxa"/>
              <w:bottom w:w="80" w:type="dxa"/>
              <w:left w:w="115" w:type="dxa"/>
              <w:right w:w="115" w:type="dxa"/>
            </w:tcMar>
            <w:vAlign w:val="center"/>
          </w:tcPr>
          <w:p>
            <w:pPr>
              <w:spacing w:before="0" w:after="0"/>
            </w:pPr>
            <w:r>
              <w:rPr>
                <w:rFonts w:ascii="Arial" w:hAnsi="Arial"/>
                <w:b/>
                <w:i w:val="0"/>
                <w:color w:val="1F3864"/>
                <w:sz w:val="20"/>
              </w:rPr>
              <w:t xml:space="preserve">Down Payment Due at Binding (25%): </w:t>
            </w:r>
            <w:r>
              <w:rPr>
                <w:rFonts w:ascii="Arial" w:hAnsi="Arial"/>
                <w:b/>
                <w:i w:val="0"/>
                <w:color w:val="1F3864"/>
                <w:sz w:val="20"/>
              </w:rPr>
              <w:t>{downPayment}</w:t>
            </w:r>
            <w:r>
              <w:rPr>
                <w:rFonts w:ascii="Arial" w:hAnsi="Arial"/>
                <w:b w:val="0"/>
                <w:i w:val="0"/>
                <w:color w:val="1F3864"/>
                <w:sz w:val="20"/>
              </w:rPr>
              <w:t>.</w:t>
            </w:r>
          </w:p>
        </w:tc>
        <w:tc>
          <w:tcPr>
            <w:tcW w:type="dxa" w:w="4680"/>
            <w:tcMar>
              <w:top w:w="80" w:type="dxa"/>
              <w:bottom w:w="80" w:type="dxa"/>
              <w:left w:w="115" w:type="dxa"/>
              <w:right w:w="115" w:type="dxa"/>
            </w:tcMar>
            <w:vAlign w:val="center"/>
          </w:tcPr>
          <w:p>
            <w:pPr>
              <w:spacing w:before="0" w:after="0"/>
            </w:pPr>
            <w:r>
              <w:rPr>
                <w:rFonts w:ascii="Arial" w:hAnsi="Arial"/>
                <w:b w:val="0"/>
                <w:i/>
                <w:color w:val="595959"/>
                <w:sz w:val="20"/>
              </w:rPr>
              <w:t>Balance payable online via secure payment link provided upon binding.</w:t>
            </w:r>
          </w:p>
        </w:tc>
      </w:tr>
    </w:tbl>
    <w:p>
      <w:pPr>
        <w:spacing w:before="240" w:after="120"/>
        <w:pBdr>
          <w:bottom w:val="single" w:sz="8" w:space="4" w:color="CCCCCC"/>
        </w:pBdr>
        <w:outlineLvl w:val="9"/>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Summary</w:t>
            </w:r>
          </w:p>
        </w:tc>
      </w:tr>
    </w:tbl>
    <w:p>
      <w:pPr>
        <w:spacing w:before="240" w:after="120"/>
        <w:pBdr>
          <w:bottom w:val="single" w:sz="8" w:space="4" w:color="CCCCCC"/>
        </w:pBdr>
        <w:outlineLvl w:val="9"/>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Program Manager</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Delivered By</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Nevada Builders Alliance Insurance Services (NBAIS) via Higginbotham</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Policy Period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States Covered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Nevada</w:t>
            </w:r>
          </w:p>
        </w:tc>
      </w:tr>
    </w:tbl>
    <w:p>
      <w:pPr>
        <w:spacing w:before="240" w:after="120"/>
        <w:pBdr>
          <w:bottom w:val="single" w:sz="8" w:space="4" w:color="CCCCCC"/>
        </w:pBdr>
        <w:outlineLvl w:val="9"/>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outlineLvl w:val="9"/>
      </w:pPr>
      <w:r>
        <w:rPr>
          <w:rFonts w:ascii="Arial" w:hAnsi="Arial"/>
          <w:b/>
          <w:i w:val="0"/>
          <w:color w:val="1F3864"/>
          <w:sz w:val="22"/>
        </w:rPr>
        <w:t>Coverage &amp;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084"/>
        <w:gridCol w:w="3276"/>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bl>
    <w:p>
      <w:pPr>
        <w:spacing w:before="240" w:after="120"/>
        <w:pBdr>
          <w:bottom w:val="single" w:sz="8" w:space="4" w:color="CCCCCC"/>
        </w:pBdr>
        <w:outlineLvl w:val="9"/>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Details</w:t>
            </w:r>
          </w:p>
        </w:tc>
      </w:tr>
    </w:tbl>
    <w:p>
      <w:pPr>
        <w:spacing w:before="240" w:after="120"/>
        <w:pBdr>
          <w:bottom w:val="single" w:sz="8" w:space="4" w:color="CCCCCC"/>
        </w:pBdr>
        <w:outlineLvl w:val="9"/>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55"/>
        <w:gridCol w:w="1123"/>
        <w:gridCol w:w="2620"/>
        <w:gridCol w:w="1965"/>
        <w:gridCol w:w="1123"/>
        <w:gridCol w:w="1874"/>
      </w:tblGrid>
      <w:tr>
        <w:trPr>
          <w:tblHeader w:val="1"/>
        </w:trPr>
        <w:tc>
          <w:tcPr>
            <w:tcW w:w="65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Premium</w:t>
            </w:r>
          </w:p>
        </w:tc>
      </w:tr>
      <w:tr>
        <w:tc>
          <w:tcPr>
            <w:tcW w:w="655" w:type="dxa"/>
            <w:tcMar>
              <w:top w:w="80" w:type="dxa"/>
              <w:bottom w:w="80" w:type="dxa"/>
              <w:left w:w="80" w:type="dxa"/>
              <w:right w:w="80" w:type="dxa"/>
            </w:tcMar>
            <w:vAlign w:val="center"/>
          </w:tcPr>
          <w:p>
            <w:pPr>
              <w:spacing w:before="0" w:after="0"/>
            </w:pPr>
            <w:r>
              <w:rPr>
                <w:rFonts w:ascii="Arial" w:hAnsi="Arial"/>
                <w:b w:val="0"/>
                <w:i w:val="0"/>
                <w:color w:val="595959"/>
                <w:sz w:val="20"/>
              </w:rPr>
              <w:t>{#classSchedule}</w:t>
            </w:r>
            <w:r>
              <w:rPr>
                <w:rFonts w:ascii="Arial" w:hAnsi="Arial"/>
                <w:b w:val="0"/>
                <w:i w:val="0"/>
                <w:color w:val="595959"/>
                <w:sz w:val="20"/>
              </w:rPr>
              <w:t>{state}</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{classCode}</w:t>
            </w:r>
          </w:p>
        </w:tc>
        <w:tc>
          <w:tcPr>
            <w:tcW w:w="2620" w:type="dxa"/>
            <w:tcMar>
              <w:top w:w="80" w:type="dxa"/>
              <w:bottom w:w="80" w:type="dxa"/>
              <w:left w:w="80" w:type="dxa"/>
              <w:right w:w="80" w:type="dxa"/>
            </w:tcMar>
            <w:vAlign w:val="center"/>
          </w:tcPr>
          <w:p>
            <w:pPr>
              <w:spacing w:before="0" w:after="0"/>
            </w:pPr>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pPr>
              <w:spacing w:before="0" w:after="0"/>
            </w:pPr>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{rate}</w:t>
            </w:r>
          </w:p>
        </w:tc>
        <w:tc>
          <w:tcPr>
            <w:tcW w:w="1874" w:type="dxa"/>
            <w:tcMar>
              <w:top w:w="80" w:type="dxa"/>
              <w:bottom w:w="80" w:type="dxa"/>
              <w:left w:w="80" w:type="dxa"/>
              <w:right w:w="80" w:type="dxa"/>
            </w:tcMar>
            <w:vAlign w:val="center"/>
          </w:tcPr>
          <w:p>
            <w:pPr>
              <w:spacing w:before="0" w:after="0"/>
            </w:pPr>
            <w:r>
              <w:rPr>
                <w:rFonts w:ascii="Arial" w:hAnsi="Arial"/>
                <w:b w:val="0"/>
                <w:i w:val="0"/>
                <w:color w:val="595959"/>
                <w:sz w:val="20"/>
              </w:rPr>
              <w:t>{classEstPremium}</w:t>
            </w:r>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spacing w:before="0" w:after="0"/>
              <w:jc w:val="right"/>
            </w:pPr>
            <w:r>
              <w:rPr>
                <w:rFonts w:ascii="Arial" w:hAnsi="Arial"/>
                <w:b/>
                <w:i w:val="0"/>
                <w:color w:val="1F3864"/>
                <w:sz w:val="20"/>
              </w:rPr>
              <w:t>Total Estimated Premium</w:t>
            </w:r>
          </w:p>
        </w:tc>
        <w:tc>
          <w:tcPr>
            <w:tcW w:w="1874" w:type="dxa"/>
            <w:shd w:val="clear" w:color="auto" w:fill="F5F5F5"/>
            <w:tcMar>
              <w:top w:w="70" w:type="dxa"/>
              <w:bottom w:w="70" w:type="dxa"/>
              <w:left w:w="60" w:type="dxa"/>
              <w:right w:w="60" w:type="dxa"/>
            </w:tcMar>
            <w:vAlign w:val="center"/>
          </w:tcPr>
          <w:p>
            <w:pPr>
              <w:spacing w:before="0" w:after="0"/>
            </w:pPr>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Election Form</w:t>
            </w:r>
          </w:p>
        </w:tc>
      </w:tr>
      <w:tr>
        <w:tc>
          <w:tcPr>
            <w:tcW w:w="2808" w:type="dxa"/>
            <w:tcMar>
              <w:top w:w="60" w:type="dxa"/>
              <w:bottom w:w="60" w:type="dxa"/>
              <w:left w:w="80" w:type="dxa"/>
              <w:right w:w="60" w:type="dxa"/>
            </w:tcMar>
            <w:vAlign w:val="center"/>
          </w:tcPr>
          <w:p>
            <w:r>
              <w:rPr>
                <w:rFonts w:ascii="Arial" w:hAnsi="Arial"/>
                <w:b w:val="0"/>
                <w:i w:val="0"/>
                <w:color w:val="595959"/>
                <w:sz w:val="20"/>
              </w:rPr>
              <w:t>{#excludedPersons}</w:t>
            </w:r>
            <w:r>
              <w:rPr>
                <w:rFonts w:ascii="Arial" w:hAnsi="Arial"/>
                <w:b w:val="0"/>
                <w:i w:val="0"/>
                <w:color w:val="595959"/>
                <w:sz w:val="20"/>
              </w:rPr>
              <w:t>{name}</w:t>
            </w:r>
          </w:p>
        </w:tc>
        <w:tc>
          <w:tcPr>
            <w:tcW w:w="6552" w:type="dxa"/>
            <w:tcMar>
              <w:top w:w="60" w:type="dxa"/>
              <w:bottom w:w="60" w:type="dxa"/>
              <w:left w:w="80" w:type="dxa"/>
              <w:right w:w="60" w:type="dxa"/>
            </w:tcMar>
            <w:vAlign w:val="center"/>
          </w:tcPr>
          <w:p>
            <w:pPr>
              <w:spacing w:before="0" w:after="0"/>
            </w:pPr>
            <w:r>
              <w:rPr>
                <w:rFonts w:ascii="Arial" w:hAnsi="Arial"/>
                <w:b w:val="0"/>
                <w:i w:val="0"/>
                <w:color w:val="595959"/>
                <w:sz w:val="20"/>
              </w:rPr>
              <w:t>Form D-43 — Election to Reject Coverage</w:t>
            </w:r>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pPr>
              <w:spacing w:before="0" w:after="0"/>
            </w:pPr>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w="200" w:type="dxa"/>
            <w:tcBorders>
              <w:top w:val="none" w:sz="0" w:space="0" w:color="auto"/>
              <w:left w:val="none" w:sz="0" w:space="0" w:color="auto"/>
              <w:bottom w:val="none" w:sz="0" w:space="0" w:color="auto"/>
              <w:right w:val="none" w:sz="0" w:space="0" w:color="auto"/>
            </w:tcBorders>
            <w:vAlign w:val="center"/>
          </w:tcPr>
          <w:p>
            <w:pPr>
              <w:spacing w:before="0" w:after="0"/>
            </w:p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outlineLvl w:val="9"/>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0"/>
        <w:pBdr>
          <w:bottom w:val="single" w:sz="8" w:space="4" w:color="CCCCCC"/>
        </w:pBdr>
        <w:outlineLvl w:val="9"/>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Coverage Recommendations (continued)</w:t>
            </w:r>
          </w:p>
        </w:tc>
      </w:tr>
    </w:tbl>
    <w:p>
      <w:pPr>
        <w:spacing w:before="280" w:after="0"/>
        <w:pBdr>
          <w:bottom w:val="single" w:sz="8" w:space="4" w:color="CCCCCC"/>
        </w:pBdr>
        <w:outlineLvl w:val="9"/>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0"/>
        <w:pBdr>
          <w:bottom w:val="single" w:sz="8" w:space="4" w:color="CCCCCC"/>
        </w:pBdr>
        <w:outlineLvl w:val="9"/>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0"/>
        <w:pBdr>
          <w:bottom w:val="single" w:sz="8" w:space="4" w:color="CCCCCC"/>
        </w:pBdr>
        <w:outlineLvl w:val="9"/>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9"/>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0"/>
        <w:pBdr>
          <w:bottom w:val="single" w:sz="8" w:space="4" w:color="CCCCCC"/>
        </w:pBdr>
        <w:outlineLvl w:val="9"/>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0"/>
        <w:pBdr>
          <w:bottom w:val="single" w:sz="8" w:space="4" w:color="CCCCCC"/>
        </w:pBdr>
        <w:outlineLvl w:val="9"/>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0"/>
        <w:pBdr>
          <w:bottom w:val="single" w:sz="8" w:space="4" w:color="CCCCCC"/>
        </w:pBdr>
        <w:outlineLvl w:val="9"/>
      </w:pPr>
      <w:r>
        <w:rPr>
          <w:rFonts w:ascii="Arial" w:hAnsi="Arial"/>
          <w:b/>
          <w:i w:val="0"/>
          <w:color w:val="1F3864"/>
          <w:sz w:val="24"/>
        </w:rPr>
        <w:t>Retirement Plan Services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pPr>
              <w:spacing w:before="0" w:after="0"/>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20"/>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Summary</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Details</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