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144" w:footer="720" w:gutter="0"/>
          <w:cols w:space="720"/>
          <w:titlePg/>
          <w:docGrid w:linePitch="360"/>
        </w:sectPr>
      </w:pP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r>
              <w:rPr>
                <w:rFonts w:ascii="Arial" w:hAnsi="Arial"/>
                <w:b/>
                <w:i w:val="0"/>
                <w:color w:val="FFFFFF"/>
                <w:sz w:val="22"/>
              </w:rPr>
              <w:t>Coverage at a Glance</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Insured</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{memberName}</w:t>
            </w:r>
          </w:p>
        </w:tc>
      </w:tr>
      <w:tr>
        <w:tc>
          <w:tcPr>
            <w:tcW w:w="3276" w:type="dxa"/>
            <w:tcMar>
              <w:top w:w="80" w:type="dxa"/>
              <w:bottom w:w="80" w:type="dxa"/>
              <w:left w:w="115" w:type="dxa"/>
              <w:right w:w="115" w:type="dxa"/>
            </w:tcMar>
            <w:vAlign w:val="center"/>
          </w:tcPr>
          <w:p>
            <w:r>
              <w:rPr>
                <w:rFonts w:ascii="Arial" w:hAnsi="Arial"/>
                <w:b/>
                <w:i w:val="0"/>
                <w:color w:val="1F3864"/>
                <w:sz w:val="20"/>
              </w:rPr>
              <w:t>Policy Period</w:t>
            </w:r>
          </w:p>
        </w:tc>
        <w:tc>
          <w:tcPr>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 — Statutory (Nevada) / Employers’ Liability</w:t>
            </w:r>
          </w:p>
        </w:tc>
      </w:tr>
      <w:tr>
        <w:tc>
          <w:tcPr>
            <w:tcW w:w="3276" w:type="dxa"/>
            <w:tcMar>
              <w:top w:w="80" w:type="dxa"/>
              <w:bottom w:w="80" w:type="dxa"/>
              <w:left w:w="115" w:type="dxa"/>
              <w:right w:w="115" w:type="dxa"/>
            </w:tcMar>
            <w:vAlign w:val="center"/>
          </w:tcPr>
          <w:p>
            <w:r>
              <w:rPr>
                <w:rFonts w:ascii="Arial" w:hAnsi="Arial"/>
                <w:b/>
                <w:i w:val="0"/>
                <w:color w:val="1F3864"/>
                <w:sz w:val="20"/>
              </w:rPr>
              <w:t>Employers’ Liability Limits</w:t>
            </w:r>
          </w:p>
        </w:tc>
        <w:tc>
          <w:tcPr>
            <w:tcW w:w="6084" w:type="dxa"/>
            <w:tcMar>
              <w:top w:w="80" w:type="dxa"/>
              <w:bottom w:w="80" w:type="dxa"/>
              <w:left w:w="115" w:type="dxa"/>
              <w:right w:w="115" w:type="dxa"/>
            </w:tcMar>
            <w:vAlign w:val="center"/>
          </w:tcPr>
          <w:p>
            <w:r>
              <w:rPr>
                <w:rFonts w:ascii="Arial" w:hAnsi="Arial"/>
                <w:b w:val="0"/>
                <w:i w:val="0"/>
                <w:color w:val="595959"/>
                <w:sz w:val="20"/>
              </w:rPr>
              <w:t>$1,000,000 Each Accident / $1,000,000 Disease – Each Employee / $1,000,000 Disease – Policy Limit</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Program</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Nevada Builders Alliance — NBAIS Member Program</w:t>
            </w:r>
          </w:p>
        </w:tc>
      </w:tr>
      <w:tr>
        <w:tc>
          <w:tcPr>
            <w:tcW w:w="3276" w:type="dxa"/>
            <w:tcMar>
              <w:top w:w="80" w:type="dxa"/>
              <w:bottom w:w="80" w:type="dxa"/>
              <w:left w:w="115" w:type="dxa"/>
              <w:right w:w="115" w:type="dxa"/>
            </w:tcMar>
            <w:vAlign w:val="center"/>
          </w:tcPr>
          <w:p>
            <w:r>
              <w:rPr>
                <w:rFonts w:ascii="Arial" w:hAnsi="Arial"/>
                <w:b/>
                <w:i w:val="0"/>
                <w:color w:val="1F3864"/>
                <w:sz w:val="20"/>
              </w:rPr>
              <w:t>Carrier</w:t>
            </w:r>
          </w:p>
        </w:tc>
        <w:tc>
          <w:tcPr>
            <w:tcW w:w="6084" w:type="dxa"/>
            <w:tcMar>
              <w:top w:w="80" w:type="dxa"/>
              <w:bottom w:w="80" w:type="dxa"/>
              <w:left w:w="115" w:type="dxa"/>
              <w:right w:w="115" w:type="dxa"/>
            </w:tcMar>
            <w:vAlign w:val="center"/>
          </w:tcPr>
          <w:p>
            <w:r>
              <w:rPr>
                <w:rFonts w:ascii="Arial" w:hAnsi="Arial"/>
                <w:b w:val="0"/>
                <w:i w:val="0"/>
                <w:color w:val="595959"/>
                <w:sz w:val="20"/>
              </w:rPr>
              <w:t>Builders Association of Western Nevada Self-Insured Group (BAWNSIG)</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Est. Premium</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{estPremium} (subject to final audit)</w:t>
            </w:r>
          </w:p>
        </w:tc>
      </w:tr>
      <w:tr>
        <w:tc>
          <w:tcPr>
            <w:tcW w:w="3276" w:type="dxa"/>
            <w:tcMar>
              <w:top w:w="80" w:type="dxa"/>
              <w:bottom w:w="80" w:type="dxa"/>
              <w:left w:w="115" w:type="dxa"/>
              <w:right w:w="115" w:type="dxa"/>
            </w:tcMar>
            <w:vAlign w:val="center"/>
          </w:tcPr>
          <w:p>
            <w:r>
              <w:rPr>
                <w:rFonts w:ascii="Arial" w:hAnsi="Arial"/>
                <w:b/>
                <w:i w:val="0"/>
                <w:color w:val="1F3864"/>
                <w:sz w:val="20"/>
              </w:rPr>
              <w:t>Surplus Contribution (8%)</w:t>
            </w:r>
          </w:p>
        </w:tc>
        <w:tc>
          <w:tcPr>
            <w:tcW w:w="6084" w:type="dxa"/>
            <w:tcMar>
              <w:top w:w="80" w:type="dxa"/>
              <w:bottom w:w="80" w:type="dxa"/>
              <w:left w:w="115" w:type="dxa"/>
              <w:right w:w="115" w:type="dxa"/>
            </w:tcMar>
            <w:vAlign w:val="center"/>
          </w:tcPr>
          <w:p>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Employers’ Liability Fee</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{totalEstimatedPremium}</w:t>
            </w:r>
          </w:p>
        </w:tc>
      </w:tr>
      <w:tr>
        <w:tc>
          <w:tcPr>
            <w:tcW w:type="dxa" w:w="4680"/>
            <w:tcMar>
              <w:top w:w="60" w:type="dxa"/>
              <w:bottom w:w="60" w:type="dxa"/>
              <w:left w:w="80" w:type="dxa"/>
              <w:right w:w="60" w:type="dxa"/>
            </w:tcMar>
            <w:vAlign w:val="center"/>
          </w:tcPr>
          <w:p>
            <w:r>
              <w:rPr>
                <w:rFonts w:ascii="Arial" w:hAnsi="Arial"/>
                <w:b/>
                <w:i w:val="0"/>
                <w:color w:val="1F3864"/>
                <w:sz w:val="20"/>
              </w:rPr>
              <w:t>Initial Down Payment</w:t>
            </w:r>
          </w:p>
        </w:tc>
        <w:tc>
          <w:tcPr>
            <w:tcW w:type="dxa" w:w="4680"/>
            <w:tcMar>
              <w:top w:w="60" w:type="dxa"/>
              <w:bottom w:w="60" w:type="dxa"/>
              <w:left w:w="80" w:type="dxa"/>
              <w:right w:w="60" w:type="dxa"/>
            </w:tcMar>
            <w:vAlign w:val="center"/>
          </w:tcPr>
          <w:p>
            <w:r>
              <w:rPr>
                <w:rFonts w:ascii="Arial" w:hAnsi="Arial"/>
                <w:b w:val="0"/>
                <w:i w:val="0"/>
                <w:color w:val="595959"/>
                <w:sz w:val="20"/>
              </w:rPr>
              <w:t>{downPayment} (25% — new business). 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 Workers’ Compensation</w:t>
            </w:r>
          </w:p>
        </w:tc>
      </w:tr>
    </w:tbl>
    <w:p>
      <w:pPr>
        <w:spacing w:before="240" w:after="120"/>
        <w:pBdr>
          <w:bottom w:val="single" w:sz="8" w:space="4" w:color="CCCCCC"/>
        </w:pBdr>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r>
              <w:rPr>
                <w:rFonts w:ascii="Arial" w:hAnsi="Arial"/>
                <w:b/>
                <w:i w:val="0"/>
                <w:color w:val="1F3864"/>
                <w:sz w:val="20"/>
              </w:rPr>
              <w:t>Program Manager</w:t>
            </w:r>
          </w:p>
        </w:tc>
        <w:tc>
          <w:tcPr>
            <w:tcW w:w="6552" w:type="dxa"/>
            <w:tcMar>
              <w:top w:w="80" w:type="dxa"/>
              <w:bottom w:w="80" w:type="dxa"/>
              <w:left w:w="115" w:type="dxa"/>
              <w:right w:w="115" w:type="dxa"/>
            </w:tcMar>
            <w:vAlign w:val="center"/>
          </w:tcPr>
          <w:p>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r>
              <w:rPr>
                <w:rFonts w:ascii="Arial" w:hAnsi="Arial"/>
                <w:b/>
                <w:i w:val="0"/>
                <w:color w:val="1F3864"/>
                <w:sz w:val="20"/>
              </w:rPr>
              <w:t>Financial Strength</w:t>
            </w:r>
          </w:p>
        </w:tc>
        <w:tc>
          <w:tcPr>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w="2808" w:type="dxa"/>
            <w:tcMar>
              <w:top w:w="80" w:type="dxa"/>
              <w:bottom w:w="80" w:type="dxa"/>
              <w:left w:w="115" w:type="dxa"/>
              <w:right w:w="115" w:type="dxa"/>
            </w:tcMar>
            <w:vAlign w:val="center"/>
          </w:tcPr>
          <w:p>
            <w:r>
              <w:rPr>
                <w:rFonts w:ascii="Arial" w:hAnsi="Arial"/>
                <w:b/>
                <w:i w:val="0"/>
                <w:color w:val="1F3864"/>
                <w:sz w:val="20"/>
              </w:rPr>
              <w:t>Policy Period</w:t>
            </w:r>
          </w:p>
        </w:tc>
        <w:tc>
          <w:tcPr>
            <w:tcW w:w="6552" w:type="dxa"/>
            <w:tcMar>
              <w:top w:w="80" w:type="dxa"/>
              <w:bottom w:w="80" w:type="dxa"/>
              <w:left w:w="115" w:type="dxa"/>
              <w:right w:w="115" w:type="dxa"/>
            </w:tcMar>
            <w:vAlign w:val="center"/>
          </w:tcPr>
          <w:p>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r>
              <w:rPr>
                <w:rFonts w:ascii="Arial" w:hAnsi="Arial"/>
                <w:b/>
                <w:i w:val="0"/>
                <w:color w:val="1F3864"/>
                <w:sz w:val="20"/>
              </w:rPr>
              <w:t>States Covered</w:t>
            </w:r>
          </w:p>
        </w:tc>
        <w:tc>
          <w:tcPr>
            <w:tcW w:w="6552" w:type="dxa"/>
            <w:tcMar>
              <w:top w:w="80" w:type="dxa"/>
              <w:bottom w:w="80" w:type="dxa"/>
              <w:left w:w="115" w:type="dxa"/>
              <w:right w:w="115" w:type="dxa"/>
            </w:tcMar>
            <w:vAlign w:val="cente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r>
              <w:rPr>
                <w:rFonts w:ascii="Arial" w:hAnsi="Arial"/>
                <w:b w:val="0"/>
                <w:i w:val="0"/>
                <w:color w:val="595959"/>
                <w:sz w:val="20"/>
              </w:rPr>
              <w:t>$1,000,000</w:t>
            </w:r>
          </w:p>
        </w:tc>
      </w:tr>
      <w:tr>
        <w:tc>
          <w:tcPr>
            <w:tcW w:w="6084" w:type="dxa"/>
            <w:tcMar>
              <w:top w:w="60" w:type="dxa"/>
              <w:bottom w:w="60" w:type="dxa"/>
              <w:left w:w="80" w:type="dxa"/>
              <w:right w:w="60" w:type="dxa"/>
            </w:tcMar>
            <w:vAlign w:val="center"/>
          </w:tcPr>
          <w:p>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(continued)</w:t>
            </w:r>
          </w:p>
        </w:tc>
      </w:tr>
    </w:tbl>
    <w:p>
      <w:pPr>
        <w:spacing w:before="240" w:after="120"/>
        <w:pBdr>
          <w:bottom w:val="single" w:sz="8" w:space="4" w:color="CCCCCC"/>
        </w:pBdr>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r>
              <w:rPr>
                <w:rFonts w:ascii="Arial" w:hAnsi="Arial"/>
                <w:b/>
                <w:i w:val="0"/>
                <w:color w:val="FFFFFF"/>
                <w:sz w:val="18"/>
              </w:rPr>
              <w:t>Est. Premium</w:t>
            </w:r>
          </w:p>
        </w:tc>
      </w:tr>
      <w:tr>
        <w:tc>
          <w:tcPr>
            <w:tcW w:w="655" w:type="dxa"/>
            <w:tcMar>
              <w:top w:w="80" w:type="dxa"/>
              <w:bottom w:w="80" w:type="dxa"/>
              <w:left w:w="80" w:type="dxa"/>
              <w:right w:w="80" w:type="dxa"/>
            </w:tcMar>
            <w:vAlign w:val="center"/>
          </w:tcPr>
          <w:p>
            <w:r>
              <w:rPr>
                <w:rFonts w:ascii="Arial" w:hAnsi="Arial"/>
                <w:b w:val="0"/>
                <w:i w:val="0"/>
                <w:color w:val="595959"/>
                <w:sz w:val="20"/>
              </w:rPr>
              <w:t>{#classSchedule}</w:t>
            </w:r>
          </w:p>
          <w:p>
            <w:r>
              <w:rPr>
                <w:rFonts w:ascii="Arial" w:hAnsi="Arial"/>
                <w:b w:val="0"/>
                <w:i w:val="0"/>
                <w:color w:val="595959"/>
                <w:sz w:val="20"/>
              </w:rPr>
              <w:t>{state}</w:t>
            </w:r>
          </w:p>
        </w:tc>
        <w:tc>
          <w:tcPr>
            <w:tcW w:w="1123" w:type="dxa"/>
            <w:tcMar>
              <w:top w:w="80" w:type="dxa"/>
              <w:bottom w:w="80" w:type="dxa"/>
              <w:left w:w="80" w:type="dxa"/>
              <w:right w:w="80" w:type="dxa"/>
            </w:tcMar>
            <w:vAlign w:val="center"/>
          </w:tcPr>
          <w:p>
            <w:r>
              <w:rPr>
                <w:rFonts w:ascii="Arial" w:hAnsi="Arial"/>
                <w:b w:val="0"/>
                <w:i w:val="0"/>
                <w:color w:val="595959"/>
                <w:sz w:val="20"/>
              </w:rPr>
              <w:t>{classCode}</w:t>
            </w:r>
          </w:p>
        </w:tc>
        <w:tc>
          <w:tcPr>
            <w:tcW w:w="2620" w:type="dxa"/>
            <w:tcMar>
              <w:top w:w="80" w:type="dxa"/>
              <w:bottom w:w="80" w:type="dxa"/>
              <w:left w:w="80" w:type="dxa"/>
              <w:right w:w="80" w:type="dxa"/>
            </w:tcMar>
            <w:vAlign w:val="center"/>
          </w:tcPr>
          <w:p>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r>
              <w:rPr>
                <w:rFonts w:ascii="Arial" w:hAnsi="Arial"/>
                <w:b w:val="0"/>
                <w:i w:val="0"/>
                <w:color w:val="595959"/>
                <w:sz w:val="20"/>
              </w:rPr>
              <w:t>{rate}</w:t>
            </w:r>
          </w:p>
        </w:tc>
        <w:tc>
          <w:tcPr>
            <w:tcW w:w="1874" w:type="dxa"/>
            <w:tcMar>
              <w:top w:w="80" w:type="dxa"/>
              <w:bottom w:w="80" w:type="dxa"/>
              <w:left w:w="80" w:type="dxa"/>
              <w:right w:w="80" w:type="dxa"/>
            </w:tcMar>
            <w:vAlign w:val="center"/>
          </w:tcPr>
          <w:p>
            <w:r>
              <w:rPr>
                <w:rFonts w:ascii="Arial" w:hAnsi="Arial"/>
                <w:b w:val="0"/>
                <w:i w:val="0"/>
                <w:color w:val="595959"/>
                <w:sz w:val="20"/>
              </w:rPr>
              <w:t>{classEstPremium}</w:t>
            </w:r>
          </w:p>
          <w:p>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Election Form</w:t>
            </w:r>
          </w:p>
        </w:tc>
      </w:tr>
      <w:tr>
        <w:tc>
          <w:tcPr>
            <w:tcW w:w="2808" w:type="dxa"/>
            <w:tcMar>
              <w:top w:w="60" w:type="dxa"/>
              <w:bottom w:w="60" w:type="dxa"/>
              <w:left w:w="80" w:type="dxa"/>
              <w:right w:w="60" w:type="dxa"/>
            </w:tcMar>
            <w:vAlign w:val="center"/>
          </w:tcPr>
          <w:p>
            <w:r>
              <w:rPr>
                <w:rFonts w:ascii="Arial" w:hAnsi="Arial"/>
                <w:b w:val="0"/>
                <w:i w:val="0"/>
                <w:color w:val="595959"/>
                <w:sz w:val="20"/>
              </w:rPr>
              <w:t>{#excludedPersons}</w:t>
            </w:r>
          </w:p>
          <w:p>
            <w:r>
              <w:rPr>
                <w:rFonts w:ascii="Arial" w:hAnsi="Arial"/>
                <w:b w:val="0"/>
                <w:i w:val="0"/>
                <w:color w:val="595959"/>
                <w:sz w:val="20"/>
              </w:rPr>
              <w:t>{name}</w:t>
            </w:r>
          </w:p>
        </w:tc>
        <w:tc>
          <w:tcPr>
            <w:tcW w:w="6552" w:type="dxa"/>
            <w:tcMar>
              <w:top w:w="60" w:type="dxa"/>
              <w:bottom w:w="60" w:type="dxa"/>
              <w:left w:w="80" w:type="dxa"/>
              <w:right w:w="60" w:type="dxa"/>
            </w:tcMar>
            <w:vAlign w:val="cente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tc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r/>
          </w:p>
        </w:tc>
      </w:tr>
      <w:tr>
        <w:tc>
          <w:tcPr>
            <w:tcW w:w="2340" w:type="dxa"/>
            <w:tcMar>
              <w:top w:w="80" w:type="dxa"/>
              <w:bottom w:w="80" w:type="dxa"/>
              <w:left w:w="0" w:type="dxa"/>
              <w:right w:w="60" w:type="dxa"/>
            </w:tcMar>
            <w:vAlign w:val="center"/>
          </w:tcPr>
          <w:p>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r/>
          </w:p>
        </w:tc>
      </w:tr>
      <w:tr>
        <w:tc>
          <w:tcPr>
            <w:tcW w:w="2340" w:type="dxa"/>
            <w:tcMar>
              <w:top w:w="80" w:type="dxa"/>
              <w:bottom w:w="80" w:type="dxa"/>
              <w:left w:w="0" w:type="dxa"/>
              <w:right w:w="60" w:type="dxa"/>
            </w:tcMar>
            <w:vAlign w:val="center"/>
          </w:tcPr>
          <w:p>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r/>
          </w:p>
        </w:tc>
      </w:tr>
      <w:tr>
        <w:tc>
          <w:tcPr>
            <w:tcW w:w="2340" w:type="dxa"/>
            <w:tcMar>
              <w:top w:w="80" w:type="dxa"/>
              <w:bottom w:w="80" w:type="dxa"/>
              <w:left w:w="0" w:type="dxa"/>
              <w:right w:w="60" w:type="dxa"/>
            </w:tcMar>
            <w:vAlign w:val="center"/>
          </w:tcPr>
          <w:p>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19"/>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