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ind w:left="792"/>
      </w:pPr>
      <w:r>
        <w:rPr>
          <w:rFonts w:ascii="Arial" w:hAnsi="Arial"/>
          <w:b w:val="0"/>
          <w:i/>
          <w:color w:val="595959"/>
          <w:sz w:val="18"/>
        </w:rPr>
        <w:t>Nevada Builders Alliance Insurance Solutions, LLC</w:t>
      </w:r>
    </w:p>
    <w:p>
      <w:pPr>
        <w:spacing w:before="400" w:after="400"/>
        <w:jc w:val="center"/>
      </w:pPr>
      <w:r>
        <w:drawing>
          <wp:inline xmlns:a="http://schemas.openxmlformats.org/drawingml/2006/main" xmlns:pic="http://schemas.openxmlformats.org/drawingml/2006/picture">
            <wp:extent cx="2286000" cy="2177796"/>
            <wp:docPr id="1" name="Picture 1"/>
            <wp:cNvGraphicFramePr>
              <a:graphicFrameLocks noChangeAspect="1"/>
            </wp:cNvGraphicFramePr>
            <a:graphic>
              <a:graphicData uri="http://schemas.openxmlformats.org/drawingml/2006/picture">
                <pic:pic>
                  <pic:nvPicPr>
                    <pic:cNvPr id="0" name="logo_stacked.png"/>
                    <pic:cNvPicPr/>
                  </pic:nvPicPr>
                  <pic:blipFill>
                    <a:blip r:embed="rId11"/>
                    <a:stretch>
                      <a:fillRect/>
                    </a:stretch>
                  </pic:blipFill>
                  <pic:spPr>
                    <a:xfrm>
                      <a:off x="0" y="0"/>
                      <a:ext cx="2286000" cy="2177796"/>
                    </a:xfrm>
                    <a:prstGeom prst="rect"/>
                  </pic:spPr>
                </pic:pic>
              </a:graphicData>
            </a:graphic>
          </wp:inline>
        </w:drawing>
      </w:r>
    </w:p>
    <w:p>
      <w:pPr>
        <w:spacing w:before="240" w:after="160"/>
        <w:jc w:val="center"/>
      </w:pPr>
      <w:r>
        <w:rPr>
          <w:rFonts w:ascii="Arial" w:hAnsi="Arial"/>
          <w:b/>
          <w:i w:val="0"/>
          <w:color w:val="1F3864"/>
          <w:sz w:val="52"/>
        </w:rPr>
        <w:t>Workers’ Compensation</w:t>
      </w:r>
      <w:r>
        <w:br/>
      </w:r>
      <w:r>
        <w:rPr>
          <w:rFonts w:ascii="Arial" w:hAnsi="Arial"/>
          <w:b/>
          <w:i w:val="0"/>
          <w:color w:val="1F3864"/>
          <w:sz w:val="52"/>
        </w:rPr>
        <w:t>Insurance Proposal</w:t>
      </w:r>
    </w:p>
    <w:p>
      <w:pPr>
        <w:spacing w:before="0" w:after="600"/>
        <w:jc w:val="center"/>
      </w:pPr>
      <w:r>
        <w:rPr>
          <w:rFonts w:ascii="Arial" w:hAnsi="Arial"/>
          <w:b w:val="0"/>
          <w:i/>
          <w:color w:val="595959"/>
          <w:sz w:val="22"/>
        </w:rPr>
        <w:t>Prepared exclusively for Nevada Builders Alliance members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400" w:type="dxa"/>
        <w:jc w:val="center"/>
      </w:tblPr>
      <w:tblGrid>
        <w:gridCol w:w="1889"/>
        <w:gridCol w:w="3511"/>
      </w:tblGrid>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Prepared For</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 xml:space="preserve">Integrity Roofing</w:t>
            </w:r>
          </w:p>
        </w:tc>
      </w:tr>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Policy Period</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 xml:space="preserve">05/28/2026 – 05/28/2027</w:t>
            </w:r>
          </w:p>
        </w:tc>
      </w:tr>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Prepared By</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Dianne Slater</w:t>
            </w:r>
          </w:p>
        </w:tc>
      </w:tr>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Date</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 xml:space="preserve">05/27/2026</w:t>
            </w:r>
          </w:p>
        </w:tc>
      </w:tr>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Program</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Nevada Builders Alliance — NBAIS Member Program</w:t>
            </w:r>
          </w:p>
        </w:tc>
      </w:tr>
    </w:tbl>
    <w:p>
      <w:pPr>
        <w:sectPr>
          <w:headerReference w:type="first" r:id="rId9"/>
          <w:footerReference w:type="first" r:id="rId10"/>
          <w:pgSz w:w="12240" w:h="15840"/>
          <w:pgMar w:top="0" w:right="0" w:bottom="0" w:left="0" w:header="0" w:footer="720" w:gutter="0"/>
          <w:cols w:space="720"/>
          <w:titlePg/>
          <w:docGrid w:linePitch="360"/>
        </w:sectPr>
      </w:pPr>
    </w:p>
    <w:p>
      <w:pPr>
        <w:spacing w:before="240" w:after="120"/>
        <w:pBdr>
          <w:bottom w:val="single" w:sz="8" w:space="4" w:color="CCCCCC"/>
        </w:pBdr>
        <w:outlineLvl w:val="9"/>
      </w:pPr>
      <w:r>
        <w:rPr>
          <w:rFonts w:ascii="Arial" w:hAnsi="Arial"/>
          <w:b/>
          <w:i w:val="0"/>
          <w:color w:val="1F3864"/>
          <w:sz w:val="22"/>
        </w:rPr>
        <w:t>About this proposal</w:t>
      </w:r>
    </w:p>
    <w:p>
      <w:pPr>
        <w:spacing w:before="0" w:after="120"/>
        <w:jc w:val="left"/>
      </w:pPr>
      <w:r>
        <w:rPr>
          <w:rFonts w:ascii="Arial" w:hAnsi="Arial"/>
          <w:b w:val="0"/>
          <w:i w:val="0"/>
          <w:color w:val="595959"/>
          <w:sz w:val="20"/>
        </w:rPr>
        <w:t>On behalf of Nevada Builders Alliance Insurance Solutions (NBAIS), we are pleased to present this Workers’ Compensation Insurance proposal exclusively for members of the Nevada Builders Alliance (NBA). This proposal has been prepared specifically for your organization and reflects the competitive program rates and enhanced coverage options available through your NBA membership.</w:t>
      </w:r>
    </w:p>
    <w:p>
      <w:pPr>
        <w:spacing w:before="0" w:after="120"/>
        <w:jc w:val="left"/>
      </w:pPr>
      <w:r>
        <w:rPr>
          <w:rFonts w:ascii="Arial" w:hAnsi="Arial"/>
          <w:b w:val="0"/>
          <w:i w:val="0"/>
          <w:color w:val="595959"/>
          <w:sz w:val="20"/>
        </w:rPr>
        <w:t>NBAIS was established to serve the unique risk management needs of Nevada’s construction industry — from residential and commercial builders to specialty trade contractors. As an NBA member, your organization has access to a Workers’ Compensation program designed around the realities of your trade, not a one-size-fits-all solution.</w:t>
      </w:r>
    </w:p>
    <w:p>
      <w:pPr>
        <w:spacing w:before="240" w:after="120"/>
        <w:pBdr>
          <w:bottom w:val="single" w:sz="8" w:space="4" w:color="CCCCCC"/>
        </w:pBdr>
        <w:outlineLvl w:val="9"/>
      </w:pPr>
      <w:r>
        <w:rPr>
          <w:rFonts w:ascii="Arial" w:hAnsi="Arial"/>
          <w:b/>
          <w:i w:val="0"/>
          <w:color w:val="1F3864"/>
          <w:sz w:val="22"/>
        </w:rPr>
        <w:t>Program Highlights</w:t>
      </w:r>
    </w:p>
    <w:p>
      <w:pPr>
        <w:spacing w:before="40" w:after="40"/>
        <w:ind w:left="360"/>
      </w:pPr>
      <w:r>
        <w:rPr>
          <w:rFonts w:ascii="Arial" w:hAnsi="Arial"/>
          <w:b w:val="0"/>
          <w:i w:val="0"/>
          <w:color w:val="595959"/>
          <w:sz w:val="20"/>
        </w:rPr>
        <w:t xml:space="preserve">•  </w:t>
      </w:r>
      <w:r>
        <w:rPr>
          <w:rFonts w:ascii="Arial" w:hAnsi="Arial"/>
          <w:b w:val="0"/>
          <w:i w:val="0"/>
          <w:color w:val="595959"/>
          <w:sz w:val="20"/>
        </w:rPr>
        <w:t>Exclusive NBA member pricing — competitive group rates unavailable in the open market</w:t>
      </w:r>
    </w:p>
    <w:p>
      <w:pPr>
        <w:spacing w:before="40" w:after="40"/>
        <w:ind w:left="360"/>
      </w:pPr>
      <w:r>
        <w:rPr>
          <w:rFonts w:ascii="Arial" w:hAnsi="Arial"/>
          <w:b w:val="0"/>
          <w:i w:val="0"/>
          <w:color w:val="595959"/>
          <w:sz w:val="20"/>
        </w:rPr>
        <w:t xml:space="preserve">•  </w:t>
      </w:r>
      <w:r>
        <w:rPr>
          <w:rFonts w:ascii="Arial" w:hAnsi="Arial"/>
          <w:b w:val="0"/>
          <w:i w:val="0"/>
          <w:color w:val="595959"/>
          <w:sz w:val="20"/>
        </w:rPr>
        <w:t>Construction-class expertise — underwriting built around Nevada’s trades, not a one-size-fits-all program</w:t>
      </w:r>
    </w:p>
    <w:p>
      <w:pPr>
        <w:spacing w:before="40" w:after="40"/>
        <w:ind w:left="360"/>
      </w:pPr>
      <w:r>
        <w:rPr>
          <w:rFonts w:ascii="Arial" w:hAnsi="Arial"/>
          <w:b w:val="0"/>
          <w:i w:val="0"/>
          <w:color w:val="595959"/>
          <w:sz w:val="20"/>
        </w:rPr>
        <w:t xml:space="preserve">•  </w:t>
      </w:r>
      <w:r>
        <w:rPr>
          <w:rFonts w:ascii="Arial" w:hAnsi="Arial"/>
          <w:b w:val="0"/>
          <w:i w:val="0"/>
          <w:color w:val="595959"/>
          <w:sz w:val="20"/>
        </w:rPr>
        <w:t>24/7 nurse triage and incident reporting through Company Nurse</w:t>
      </w:r>
    </w:p>
    <w:p>
      <w:pPr>
        <w:spacing w:before="40" w:after="40"/>
        <w:ind w:left="360"/>
      </w:pPr>
      <w:r>
        <w:rPr>
          <w:rFonts w:ascii="Arial" w:hAnsi="Arial"/>
          <w:b w:val="0"/>
          <w:i w:val="0"/>
          <w:color w:val="595959"/>
          <w:sz w:val="20"/>
        </w:rPr>
        <w:t xml:space="preserve">•  </w:t>
      </w:r>
      <w:r>
        <w:rPr>
          <w:rFonts w:ascii="Arial" w:hAnsi="Arial"/>
          <w:b w:val="0"/>
          <w:i w:val="0"/>
          <w:color w:val="595959"/>
          <w:sz w:val="20"/>
        </w:rPr>
        <w:t>Prescription benefits through Prodigy Care Services — First Fill card means $0 out of pocket at the pharmacy</w:t>
      </w:r>
    </w:p>
    <w:p>
      <w:pPr>
        <w:spacing w:before="40" w:after="40"/>
        <w:ind w:left="360"/>
      </w:pPr>
      <w:r>
        <w:rPr>
          <w:rFonts w:ascii="Arial" w:hAnsi="Arial"/>
          <w:b w:val="0"/>
          <w:i w:val="0"/>
          <w:color w:val="595959"/>
          <w:sz w:val="20"/>
        </w:rPr>
        <w:t xml:space="preserve">•  </w:t>
      </w:r>
      <w:r>
        <w:rPr>
          <w:rFonts w:ascii="Arial" w:hAnsi="Arial"/>
          <w:b w:val="0"/>
          <w:i w:val="0"/>
          <w:color w:val="595959"/>
          <w:sz w:val="20"/>
        </w:rPr>
        <w:t>Claims management by CCMSI focused on fast return-to-work outcomes</w:t>
      </w:r>
    </w:p>
    <w:p>
      <w:pPr>
        <w:spacing w:before="40" w:after="40"/>
        <w:ind w:left="360"/>
      </w:pPr>
      <w:r>
        <w:rPr>
          <w:rFonts w:ascii="Arial" w:hAnsi="Arial"/>
          <w:b w:val="0"/>
          <w:i w:val="0"/>
          <w:color w:val="595959"/>
          <w:sz w:val="20"/>
        </w:rPr>
        <w:t xml:space="preserve">•  </w:t>
      </w:r>
      <w:r>
        <w:rPr>
          <w:rFonts w:ascii="Arial" w:hAnsi="Arial"/>
          <w:b w:val="0"/>
          <w:i w:val="0"/>
          <w:color w:val="595959"/>
          <w:sz w:val="20"/>
        </w:rPr>
        <w:t>Safety and risk management services through Applied Risk Solutions, including OSHA 10/30 training</w:t>
      </w:r>
    </w:p>
    <w:p>
      <w:pPr>
        <w:spacing w:before="40" w:after="40"/>
        <w:ind w:left="360"/>
      </w:pPr>
      <w:r>
        <w:rPr>
          <w:rFonts w:ascii="Arial" w:hAnsi="Arial"/>
          <w:b w:val="0"/>
          <w:i w:val="0"/>
          <w:color w:val="595959"/>
          <w:sz w:val="20"/>
        </w:rPr>
        <w:t xml:space="preserve">•  </w:t>
      </w:r>
      <w:r>
        <w:rPr>
          <w:rFonts w:ascii="Arial" w:hAnsi="Arial"/>
          <w:b w:val="0"/>
          <w:i w:val="0"/>
          <w:color w:val="595959"/>
          <w:sz w:val="20"/>
        </w:rPr>
        <w:t>Concierge medical scheduling and care coordination through Reli</w:t>
      </w:r>
    </w:p>
    <w:p>
      <w:pPr>
        <w:spacing w:before="40" w:after="40"/>
        <w:ind w:left="360"/>
      </w:pPr>
      <w:r>
        <w:rPr>
          <w:rFonts w:ascii="Arial" w:hAnsi="Arial"/>
          <w:b w:val="0"/>
          <w:i w:val="0"/>
          <w:color w:val="595959"/>
          <w:sz w:val="20"/>
        </w:rPr>
        <w:t xml:space="preserve">•  </w:t>
      </w:r>
      <w:r>
        <w:rPr>
          <w:rFonts w:ascii="Arial" w:hAnsi="Arial"/>
          <w:b w:val="0"/>
          <w:i w:val="0"/>
          <w:color w:val="595959"/>
          <w:sz w:val="20"/>
        </w:rPr>
        <w:t>Program administration and member portal through Lusense</w:t>
      </w:r>
    </w:p>
    <w:p>
      <w:pPr>
        <w:spacing w:before="40" w:after="40"/>
        <w:ind w:left="360"/>
      </w:pPr>
      <w:r>
        <w:rPr>
          <w:rFonts w:ascii="Arial" w:hAnsi="Arial"/>
          <w:b w:val="0"/>
          <w:i w:val="0"/>
          <w:color w:val="595959"/>
          <w:sz w:val="20"/>
        </w:rPr>
        <w:t xml:space="preserve">•  </w:t>
      </w:r>
      <w:r>
        <w:rPr>
          <w:rFonts w:ascii="Arial" w:hAnsi="Arial"/>
          <w:b w:val="0"/>
          <w:i w:val="0"/>
          <w:color w:val="595959"/>
          <w:sz w:val="20"/>
        </w:rPr>
        <w:t>Dedicated producer support — direct access to your NBAIS team throughout the policy period</w:t>
      </w:r>
    </w:p>
    <w:p>
      <w:pPr>
        <w:spacing w:before="240" w:after="120"/>
        <w:pBdr>
          <w:bottom w:val="single" w:sz="8" w:space="4" w:color="CCCCCC"/>
        </w:pBdr>
        <w:outlineLvl w:val="9"/>
      </w:pPr>
      <w:r>
        <w:rPr>
          <w:rFonts w:ascii="Arial" w:hAnsi="Arial"/>
          <w:b/>
          <w:i w:val="0"/>
          <w:color w:val="1F3864"/>
          <w:sz w:val="22"/>
        </w:rPr>
        <w:t>What is included in this proposal</w:t>
      </w:r>
    </w:p>
    <w:p>
      <w:pPr>
        <w:spacing w:before="0" w:after="120"/>
        <w:jc w:val="left"/>
      </w:pPr>
      <w:r>
        <w:rPr>
          <w:rFonts w:ascii="Arial" w:hAnsi="Arial"/>
          <w:b w:val="0"/>
          <w:i w:val="0"/>
          <w:color w:val="595959"/>
          <w:sz w:val="20"/>
        </w:rPr>
        <w:t>This proposal package contains the following for your review:</w:t>
      </w:r>
    </w:p>
    <w:p>
      <w:pPr>
        <w:spacing w:before="40" w:after="40"/>
        <w:ind w:left="360"/>
      </w:pPr>
      <w:r>
        <w:rPr>
          <w:rFonts w:ascii="Arial" w:hAnsi="Arial"/>
          <w:b w:val="0"/>
          <w:i w:val="0"/>
          <w:color w:val="595959"/>
          <w:sz w:val="20"/>
        </w:rPr>
        <w:t xml:space="preserve">•  </w:t>
      </w:r>
      <w:r>
        <w:rPr>
          <w:rFonts w:ascii="Arial" w:hAnsi="Arial"/>
          <w:b/>
          <w:i w:val="0"/>
          <w:color w:val="595959"/>
          <w:sz w:val="20"/>
        </w:rPr>
        <w:t>Premium Summary</w:t>
      </w:r>
      <w:r>
        <w:rPr>
          <w:rFonts w:ascii="Arial" w:hAnsi="Arial"/>
          <w:b w:val="0"/>
          <w:i w:val="0"/>
          <w:color w:val="595959"/>
          <w:sz w:val="20"/>
        </w:rPr>
        <w:t xml:space="preserve"> — a summary of your proposed coverage terms and estimated premium.</w:t>
      </w:r>
    </w:p>
    <w:p>
      <w:pPr>
        <w:spacing w:before="40" w:after="40"/>
        <w:ind w:left="360"/>
      </w:pPr>
      <w:r>
        <w:rPr>
          <w:rFonts w:ascii="Arial" w:hAnsi="Arial"/>
          <w:b w:val="0"/>
          <w:i w:val="0"/>
          <w:color w:val="595959"/>
          <w:sz w:val="20"/>
        </w:rPr>
        <w:t xml:space="preserve">•  </w:t>
      </w:r>
      <w:r>
        <w:rPr>
          <w:rFonts w:ascii="Arial" w:hAnsi="Arial"/>
          <w:b/>
          <w:i w:val="0"/>
          <w:color w:val="595959"/>
          <w:sz w:val="20"/>
        </w:rPr>
        <w:t>Workers’ Compensation Coverage Details</w:t>
      </w:r>
      <w:r>
        <w:rPr>
          <w:rFonts w:ascii="Arial" w:hAnsi="Arial"/>
          <w:b w:val="0"/>
          <w:i w:val="0"/>
          <w:color w:val="595959"/>
          <w:sz w:val="20"/>
        </w:rPr>
        <w:t xml:space="preserve"> — a detailed outline of the proposed coverage terms, limits, and exclusions applicable to your operation.</w:t>
      </w:r>
    </w:p>
    <w:p>
      <w:pPr>
        <w:spacing w:before="40" w:after="40"/>
        <w:ind w:left="360"/>
      </w:pPr>
      <w:r>
        <w:rPr>
          <w:rFonts w:ascii="Arial" w:hAnsi="Arial"/>
          <w:b w:val="0"/>
          <w:i w:val="0"/>
          <w:color w:val="595959"/>
          <w:sz w:val="20"/>
        </w:rPr>
        <w:t xml:space="preserve">•  </w:t>
      </w:r>
      <w:r>
        <w:rPr>
          <w:rFonts w:ascii="Arial" w:hAnsi="Arial"/>
          <w:b/>
          <w:i w:val="0"/>
          <w:color w:val="595959"/>
          <w:sz w:val="20"/>
        </w:rPr>
        <w:t>Carrier Quote</w:t>
      </w:r>
      <w:r>
        <w:rPr>
          <w:rFonts w:ascii="Arial" w:hAnsi="Arial"/>
          <w:b w:val="0"/>
          <w:i w:val="0"/>
          <w:color w:val="595959"/>
          <w:sz w:val="20"/>
        </w:rPr>
        <w:t xml:space="preserve"> — the carrier quotation secured for your review, including the class code and payroll basis used to develop this quote. Please review for accuracy and notify us of any changes prior to binding.</w:t>
      </w:r>
    </w:p>
    <w:p>
      <w:pPr>
        <w:spacing w:before="40" w:after="40"/>
        <w:ind w:left="360"/>
      </w:pPr>
      <w:r>
        <w:rPr>
          <w:rFonts w:ascii="Arial" w:hAnsi="Arial"/>
          <w:b w:val="0"/>
          <w:i w:val="0"/>
          <w:color w:val="595959"/>
          <w:sz w:val="20"/>
        </w:rPr>
        <w:t xml:space="preserve">•  </w:t>
      </w:r>
      <w:r>
        <w:rPr>
          <w:rFonts w:ascii="Arial" w:hAnsi="Arial"/>
          <w:b/>
          <w:i w:val="0"/>
          <w:color w:val="595959"/>
          <w:sz w:val="20"/>
        </w:rPr>
        <w:t>Coverage Recommendations</w:t>
      </w:r>
      <w:r>
        <w:rPr>
          <w:rFonts w:ascii="Arial" w:hAnsi="Arial"/>
          <w:b w:val="0"/>
          <w:i w:val="0"/>
          <w:color w:val="595959"/>
          <w:sz w:val="20"/>
        </w:rPr>
        <w:t xml:space="preserve"> — a comprehensive list of additional coverage lines for your consideration across commercial, personal, bond, employee benefits, and life planning categories.</w:t>
      </w:r>
    </w:p>
    <w:p>
      <w:pPr>
        <w:sectPr>
          <w:headerReference w:type="default" r:id="rId12"/>
          <w:footerReference w:type="default" r:id="rId13"/>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8"/>
              </w:rPr>
              <w:t>Premium Summary</w:t>
            </w:r>
          </w:p>
        </w:tc>
      </w:tr>
    </w:tbl>
    <w:p>
      <w:pPr>
        <w:spacing w:before="160" w:after="200"/>
      </w:pPr>
      <w:r>
        <w:rPr>
          <w:rFonts w:ascii="Arial" w:hAnsi="Arial"/>
          <w:b w:val="0"/>
          <w:i/>
          <w:color w:val="595959"/>
          <w:sz w:val="20"/>
        </w:rPr>
        <w:t xml:space="preserve">Your estimated cost for the coverage period 05/28/2026 – 05/28/2027. All figures are subject to final payroll audit.</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3276"/>
        <w:gridCol w:w="6084"/>
      </w:tblGrid>
      <w:tr>
        <w:trPr>
          <w:tblHeader w:val="1"/>
        </w:trPr>
        <w:tc>
          <w:tcPr>
            <w:tcW w:type="dxa" w:w="9360"/>
            <w:gridSpan w:val="2"/>
            <w:shd w:val="clear" w:color="auto" w:fill="1F3864"/>
            <w:tcMar>
              <w:top w:w="80" w:type="dxa"/>
              <w:bottom w:w="80" w:type="dxa"/>
              <w:left w:w="100" w:type="dxa"/>
              <w:right w:w="80" w:type="dxa"/>
            </w:tcMar>
            <w:vAlign w:val="center"/>
          </w:tcPr>
          <w:p>
            <w:pPr>
              <w:spacing w:before="0" w:after="0"/>
            </w:pPr>
            <w:r>
              <w:rPr>
                <w:rFonts w:ascii="Arial" w:hAnsi="Arial"/>
                <w:b/>
                <w:i w:val="0"/>
                <w:color w:val="FFFFFF"/>
                <w:sz w:val="22"/>
              </w:rPr>
              <w:t>Premium Summary</w:t>
            </w:r>
          </w:p>
        </w:tc>
      </w:tr>
      <w:tr>
        <w:tc>
          <w:tcPr>
            <w:tcW w:w="3276"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Estimated Manual Premium</w:t>
            </w:r>
          </w:p>
        </w:tc>
        <w:tc>
          <w:tcPr>
            <w:tcW w:w="6084"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 xml:space="preserve">$40,802.82</w:t>
            </w:r>
          </w:p>
        </w:tc>
      </w:tr>
      <w:tr>
        <w:tc>
          <w:tcPr>
            <w:tcW w:w="3276"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 xml:space="preserve">Experience Modification Rate</w:t>
            </w:r>
          </w:p>
        </w:tc>
        <w:tc>
          <w:tcPr>
            <w:tcW w:w="6084"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 xml:space="preserve">0.95</w:t>
            </w:r>
          </w:p>
        </w:tc>
      </w:tr>
      <w:tr>
        <w:tc>
          <w:tcPr>
            <w:tcW w:w="3276" w:type="dxa"/>
            <w:tcMar>
              <w:top w:w="80" w:type="dxa"/>
              <w:bottom w:w="80" w:type="dxa"/>
              <w:left w:w="115" w:type="dxa"/>
              <w:right w:w="115" w:type="dxa"/>
            </w:tcMar>
            <w:vAlign w:val="center"/>
          </w:tcPr>
          <w:p>
            <w:pPr>
              <w:spacing w:before="0" w:after="0"/>
            </w:pPr>
            <w:r>
              <w:rPr>
                <w:rFonts w:ascii="Arial" w:hAnsi="Arial"/>
                <w:b/>
                <w:i w:val="0"/>
                <w:color w:val="1F3864"/>
                <w:sz w:val="20"/>
              </w:rPr>
              <w:t>Estimated Annual Premium</w:t>
            </w:r>
          </w:p>
        </w:tc>
        <w:tc>
          <w:tcPr>
            <w:tcW w:w="6084" w:type="dxa"/>
            <w:tcMar>
              <w:top w:w="80" w:type="dxa"/>
              <w:bottom w:w="80" w:type="dxa"/>
              <w:left w:w="115" w:type="dxa"/>
              <w:right w:w="115" w:type="dxa"/>
            </w:tcMar>
            <w:vAlign w:val="center"/>
          </w:tcPr>
          <w:p>
            <w:pPr>
              <w:spacing w:before="0" w:after="0"/>
            </w:pPr>
            <w:r>
              <w:rPr>
                <w:rFonts w:ascii="Arial" w:hAnsi="Arial"/>
                <w:b w:val="0"/>
                <w:i w:val="0"/>
                <w:color w:val="595959"/>
                <w:sz w:val="20"/>
              </w:rPr>
              <w:t xml:space="preserve">$38,762.68</w:t>
            </w:r>
          </w:p>
        </w:tc>
      </w:tr>
      <w:tr>
        <w:tc>
          <w:tcPr>
            <w:tcW w:w="3276"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Surplus Contribution (8%)</w:t>
            </w:r>
          </w:p>
        </w:tc>
        <w:tc>
          <w:tcPr>
            <w:tcW w:w="6084"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 xml:space="preserve">$3,101.01</w:t>
            </w:r>
          </w:p>
        </w:tc>
      </w:tr>
      <w:tr>
        <w:tc>
          <w:tcPr>
            <w:tcW w:w="3276" w:type="dxa"/>
            <w:tcMar>
              <w:top w:w="80" w:type="dxa"/>
              <w:bottom w:w="80" w:type="dxa"/>
              <w:left w:w="115" w:type="dxa"/>
              <w:right w:w="115" w:type="dxa"/>
            </w:tcMar>
            <w:vAlign w:val="center"/>
          </w:tcPr>
          <w:p>
            <w:pPr>
              <w:spacing w:before="0" w:after="0"/>
            </w:pPr>
            <w:r>
              <w:rPr>
                <w:rFonts w:ascii="Arial" w:hAnsi="Arial"/>
                <w:b/>
                <w:i w:val="0"/>
                <w:color w:val="1F3864"/>
                <w:sz w:val="20"/>
              </w:rPr>
              <w:t>Employers’ Liability Fee</w:t>
            </w:r>
          </w:p>
        </w:tc>
        <w:tc>
          <w:tcPr>
            <w:tcW w:w="6084" w:type="dxa"/>
            <w:tcMar>
              <w:top w:w="80" w:type="dxa"/>
              <w:bottom w:w="80" w:type="dxa"/>
              <w:left w:w="115" w:type="dxa"/>
              <w:right w:w="115" w:type="dxa"/>
            </w:tcMar>
            <w:vAlign w:val="center"/>
          </w:tcPr>
          <w:p>
            <w:pPr>
              <w:spacing w:before="0" w:after="0"/>
            </w:pPr>
            <w:r>
              <w:rPr>
                <w:rFonts w:ascii="Arial" w:hAnsi="Arial"/>
                <w:b w:val="0"/>
                <w:i w:val="0"/>
                <w:color w:val="595959"/>
                <w:sz w:val="20"/>
              </w:rPr>
              <w:t xml:space="preserve">$120.00</w:t>
            </w:r>
          </w:p>
        </w:tc>
      </w:tr>
      <w:tr>
        <w:tc>
          <w:tcPr>
            <w:tcW w:type="dxa" w:w="4680"/>
            <w:shd w:val="clear" w:color="auto" w:fill="EBF3FB"/>
            <w:tcMar>
              <w:top w:w="80" w:type="dxa"/>
              <w:bottom w:w="80" w:type="dxa"/>
              <w:left w:w="115" w:type="dxa"/>
              <w:right w:w="115" w:type="dxa"/>
            </w:tcMar>
            <w:vAlign w:val="center"/>
          </w:tcPr>
          <w:p>
            <w:pPr>
              <w:spacing w:before="0" w:after="0"/>
            </w:pPr>
            <w:r>
              <w:rPr>
                <w:rFonts w:ascii="Arial" w:hAnsi="Arial"/>
                <w:b/>
                <w:i w:val="0"/>
                <w:color w:val="1F3864"/>
                <w:sz w:val="22"/>
              </w:rPr>
              <w:t>Total Estimated Cost</w:t>
            </w:r>
          </w:p>
        </w:tc>
        <w:tc>
          <w:tcPr>
            <w:tcW w:type="dxa" w:w="4680"/>
            <w:shd w:val="clear" w:color="auto" w:fill="EBF3FB"/>
            <w:tcMar>
              <w:top w:w="80" w:type="dxa"/>
              <w:bottom w:w="80" w:type="dxa"/>
              <w:left w:w="115" w:type="dxa"/>
              <w:right w:w="115" w:type="dxa"/>
            </w:tcMar>
            <w:vAlign w:val="center"/>
          </w:tcPr>
          <w:p>
            <w:pPr>
              <w:spacing w:before="0" w:after="0"/>
            </w:pPr>
            <w:r>
              <w:rPr>
                <w:rFonts w:ascii="Arial" w:hAnsi="Arial"/>
                <w:b/>
                <w:i w:val="0"/>
                <w:color w:val="1F3864"/>
                <w:sz w:val="22"/>
              </w:rPr>
              <w:t xml:space="preserve">$41,983.69</w:t>
            </w:r>
          </w:p>
        </w:tc>
      </w:tr>
      <w:tr>
        <w:tc>
          <w:tcPr>
            <w:tcW w:type="dxa" w:w="4680"/>
            <w:tcMar>
              <w:top w:w="80" w:type="dxa"/>
              <w:bottom w:w="80" w:type="dxa"/>
              <w:left w:w="115" w:type="dxa"/>
              <w:right w:w="115" w:type="dxa"/>
            </w:tcMar>
            <w:vAlign w:val="center"/>
          </w:tcPr>
          <w:p>
            <w:pPr>
              <w:spacing w:before="0" w:after="0"/>
            </w:pPr>
            <w:r>
              <w:rPr>
                <w:rFonts w:ascii="Arial" w:hAnsi="Arial"/>
                <w:b/>
                <w:i w:val="0"/>
                <w:color w:val="1F3864"/>
                <w:sz w:val="20"/>
              </w:rPr>
              <w:t xml:space="preserve">Down Payment Due at Binding (25%): </w:t>
            </w:r>
            <w:r>
              <w:rPr>
                <w:rFonts w:ascii="Arial" w:hAnsi="Arial"/>
                <w:b/>
                <w:i w:val="0"/>
                <w:color w:val="1F3864"/>
                <w:sz w:val="20"/>
              </w:rPr>
              <w:t xml:space="preserve">$10,495.92</w:t>
            </w:r>
            <w:r>
              <w:rPr>
                <w:rFonts w:ascii="Arial" w:hAnsi="Arial"/>
                <w:b w:val="0"/>
                <w:i w:val="0"/>
                <w:color w:val="1F3864"/>
                <w:sz w:val="20"/>
              </w:rPr>
              <w:t>.</w:t>
            </w:r>
          </w:p>
        </w:tc>
        <w:tc>
          <w:tcPr>
            <w:tcW w:type="dxa" w:w="4680"/>
            <w:tcMar>
              <w:top w:w="80" w:type="dxa"/>
              <w:bottom w:w="80" w:type="dxa"/>
              <w:left w:w="115" w:type="dxa"/>
              <w:right w:w="115" w:type="dxa"/>
            </w:tcMar>
            <w:vAlign w:val="center"/>
          </w:tcPr>
          <w:p>
            <w:pPr>
              <w:spacing w:before="0" w:after="0"/>
            </w:pPr>
            <w:r>
              <w:rPr>
                <w:rFonts w:ascii="Arial" w:hAnsi="Arial"/>
                <w:b w:val="0"/>
                <w:i/>
                <w:color w:val="595959"/>
                <w:sz w:val="20"/>
              </w:rPr>
              <w:t>Balance payable online via secure payment link provided upon binding.</w:t>
            </w:r>
          </w:p>
        </w:tc>
      </w:tr>
    </w:tbl>
    <w:p>
      <w:pPr>
        <w:spacing w:before="240" w:after="120"/>
        <w:pBdr>
          <w:bottom w:val="single" w:sz="8" w:space="4" w:color="CCCCCC"/>
        </w:pBdr>
        <w:outlineLvl w:val="9"/>
      </w:pPr>
      <w:r>
        <w:rPr>
          <w:rFonts w:ascii="Arial" w:hAnsi="Arial"/>
          <w:b/>
          <w:i w:val="0"/>
          <w:color w:val="1F3864"/>
          <w:sz w:val="22"/>
        </w:rPr>
        <w:t>Surplus Contribution</w:t>
      </w:r>
    </w:p>
    <w:p>
      <w:pPr>
        <w:spacing w:before="80" w:after="80"/>
      </w:pPr>
      <w:r>
        <w:rPr>
          <w:rFonts w:ascii="Arial" w:hAnsi="Arial"/>
          <w:b w:val="0"/>
          <w:i w:val="0"/>
          <w:color w:val="595959"/>
          <w:sz w:val="20"/>
        </w:rPr>
        <w:t xml:space="preserve">As a self-insured group (SIG), BAWNSIG requires a surplus contribution in addition to the estimated premium. This contribution — calculated at 8% of the estimated premium — is a regulatory requirement for SIG participation in Nevada and supports the financial reserves of the group. </w:t>
      </w:r>
      <w:r>
        <w:rPr>
          <w:rFonts w:ascii="Arial" w:hAnsi="Arial"/>
          <w:b/>
          <w:i w:val="0"/>
          <w:color w:val="595959"/>
          <w:sz w:val="20"/>
        </w:rPr>
        <w:t>It is not a fee retained by NBAIS or your producer.</w:t>
      </w:r>
    </w:p>
    <w:p>
      <w:pPr>
        <w:spacing w:before="240" w:after="120"/>
        <w:pBdr>
          <w:bottom w:val="single" w:sz="8" w:space="4" w:color="CCCCCC"/>
        </w:pBdr>
        <w:outlineLvl w:val="9"/>
      </w:pPr>
      <w:r>
        <w:rPr>
          <w:rFonts w:ascii="Arial" w:hAnsi="Arial"/>
          <w:b/>
          <w:i w:val="0"/>
          <w:color w:val="1F3864"/>
          <w:sz w:val="22"/>
        </w:rPr>
        <w:t>What’s next</w:t>
      </w:r>
    </w:p>
    <w:p>
      <w:pPr>
        <w:spacing w:before="0" w:after="160"/>
        <w:jc w:val="left"/>
      </w:pPr>
      <w:r>
        <w:rPr>
          <w:rFonts w:ascii="Arial" w:hAnsi="Arial"/>
          <w:b w:val="0"/>
          <w:i w:val="0"/>
          <w:color w:val="595959"/>
          <w:sz w:val="20"/>
        </w:rPr>
        <w:t>Review the Coverage Details on the following page, confirm payroll and class code accuracy, and contact your NBAIS producer to bind. Final premium will be reconciled at audit.</w:t>
      </w:r>
    </w:p>
    <w:p>
      <w:pPr>
        <w:sectPr>
          <w:footerReference w:type="default" r:id="rId14"/>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6"/>
              </w:rPr>
              <w:t>Policy Summary</w:t>
            </w:r>
          </w:p>
        </w:tc>
      </w:tr>
    </w:tbl>
    <w:p>
      <w:pPr>
        <w:spacing w:before="240" w:after="120"/>
        <w:pBdr>
          <w:bottom w:val="single" w:sz="8" w:space="4" w:color="CCCCCC"/>
        </w:pBdr>
        <w:outlineLvl w:val="9"/>
      </w:pPr>
      <w:r>
        <w:rPr>
          <w:rFonts w:ascii="Arial" w:hAnsi="Arial"/>
          <w:b/>
          <w:i w:val="0"/>
          <w:color w:val="1F3864"/>
          <w:sz w:val="22"/>
        </w:rPr>
        <w:t>Policy Information</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2808"/>
        <w:gridCol w:w="6552"/>
      </w:tblGrid>
      <w:tr>
        <w:tc>
          <w:tcPr>
            <w:tcW w:w="2808"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Carrier</w:t>
            </w:r>
          </w:p>
        </w:tc>
        <w:tc>
          <w:tcPr>
            <w:tcW w:w="6552"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Builders Association of Western Nevada Self-Insured Group (BAWNSIG)</w:t>
            </w:r>
          </w:p>
        </w:tc>
      </w:tr>
      <w:tr>
        <w:tc>
          <w:tcPr>
            <w:tcW w:w="2808" w:type="dxa"/>
            <w:tcMar>
              <w:top w:w="80" w:type="dxa"/>
              <w:bottom w:w="80" w:type="dxa"/>
              <w:left w:w="115" w:type="dxa"/>
              <w:right w:w="115" w:type="dxa"/>
            </w:tcMar>
            <w:vAlign w:val="center"/>
          </w:tcPr>
          <w:p>
            <w:pPr>
              <w:spacing w:before="0" w:after="0"/>
            </w:pPr>
            <w:r>
              <w:rPr>
                <w:rFonts w:ascii="Arial" w:hAnsi="Arial"/>
                <w:b/>
                <w:i w:val="0"/>
                <w:color w:val="1F3864"/>
                <w:sz w:val="20"/>
              </w:rPr>
              <w:t>Program Manager</w:t>
            </w:r>
          </w:p>
        </w:tc>
        <w:tc>
          <w:tcPr>
            <w:tcW w:w="6552" w:type="dxa"/>
            <w:tcMar>
              <w:top w:w="80" w:type="dxa"/>
              <w:bottom w:w="80" w:type="dxa"/>
              <w:left w:w="115" w:type="dxa"/>
              <w:right w:w="115" w:type="dxa"/>
            </w:tcMar>
            <w:vAlign w:val="center"/>
          </w:tcPr>
          <w:p>
            <w:pPr>
              <w:spacing w:before="0" w:after="0"/>
            </w:pPr>
            <w:r>
              <w:rPr>
                <w:rFonts w:ascii="Arial" w:hAnsi="Arial"/>
                <w:b w:val="0"/>
                <w:i w:val="0"/>
                <w:color w:val="595959"/>
                <w:sz w:val="20"/>
              </w:rPr>
              <w:t>Lusense</w:t>
            </w:r>
          </w:p>
        </w:tc>
      </w:tr>
      <w:tr>
        <w:tc>
          <w:tcPr>
            <w:tcW w:w="2808"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Delivered By</w:t>
            </w:r>
          </w:p>
        </w:tc>
        <w:tc>
          <w:tcPr>
            <w:tcW w:w="6552"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Nevada Builders Alliance Insurance Solutions (NBAIS) via Higginbotham</w:t>
            </w:r>
          </w:p>
        </w:tc>
      </w:tr>
      <w:tr>
        <w:tc>
          <w:tcPr>
            <w:tcW w:w="2808" w:type="dxa"/>
            <w:tcMar>
              <w:top w:w="80" w:type="dxa"/>
              <w:bottom w:w="80" w:type="dxa"/>
              <w:left w:w="115" w:type="dxa"/>
              <w:right w:w="115" w:type="dxa"/>
            </w:tcMar>
            <w:vAlign w:val="center"/>
          </w:tcPr>
          <w:p>
            <w:pPr>
              <w:spacing w:before="0" w:after="0"/>
            </w:pPr>
            <w:r>
              <w:rPr>
                <w:rFonts w:ascii="Arial" w:hAnsi="Arial"/>
                <w:b/>
                <w:i w:val="0"/>
                <w:color w:val="1F3864"/>
                <w:sz w:val="20"/>
              </w:rPr>
              <w:t>Policy Period</w:t>
            </w:r>
          </w:p>
        </w:tc>
        <w:tc>
          <w:tcPr>
            <w:tcW w:w="6552" w:type="dxa"/>
            <w:tcMar>
              <w:top w:w="80" w:type="dxa"/>
              <w:bottom w:w="80" w:type="dxa"/>
              <w:left w:w="115" w:type="dxa"/>
              <w:right w:w="115" w:type="dxa"/>
            </w:tcMar>
            <w:vAlign w:val="center"/>
          </w:tcPr>
          <w:p>
            <w:pPr>
              <w:spacing w:before="0" w:after="0"/>
            </w:pPr>
            <w:r>
              <w:rPr>
                <w:rFonts w:ascii="Arial" w:hAnsi="Arial"/>
                <w:b w:val="0"/>
                <w:i w:val="0"/>
                <w:color w:val="595959"/>
                <w:sz w:val="20"/>
              </w:rPr>
              <w:t xml:space="preserve">05/28/2026 – 05/28/2027</w:t>
            </w:r>
          </w:p>
        </w:tc>
      </w:tr>
      <w:tr>
        <w:tc>
          <w:tcPr>
            <w:tcW w:w="2808"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Coverage</w:t>
            </w:r>
          </w:p>
        </w:tc>
        <w:tc>
          <w:tcPr>
            <w:tcW w:w="6552"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Workers’ Compensation</w:t>
            </w:r>
          </w:p>
        </w:tc>
      </w:tr>
      <w:tr>
        <w:tc>
          <w:tcPr>
            <w:tcW w:w="2808" w:type="dxa"/>
            <w:tcMar>
              <w:top w:w="80" w:type="dxa"/>
              <w:bottom w:w="80" w:type="dxa"/>
              <w:left w:w="115" w:type="dxa"/>
              <w:right w:w="115" w:type="dxa"/>
            </w:tcMar>
            <w:vAlign w:val="center"/>
          </w:tcPr>
          <w:p>
            <w:pPr>
              <w:spacing w:before="0" w:after="0"/>
            </w:pPr>
            <w:r>
              <w:rPr>
                <w:rFonts w:ascii="Arial" w:hAnsi="Arial"/>
                <w:b/>
                <w:i w:val="0"/>
                <w:color w:val="1F3864"/>
                <w:sz w:val="20"/>
              </w:rPr>
              <w:t>States Covered</w:t>
            </w:r>
          </w:p>
        </w:tc>
        <w:tc>
          <w:tcPr>
            <w:tcW w:w="6552" w:type="dxa"/>
            <w:tcMar>
              <w:top w:w="80" w:type="dxa"/>
              <w:bottom w:w="80" w:type="dxa"/>
              <w:left w:w="115" w:type="dxa"/>
              <w:right w:w="115" w:type="dxa"/>
            </w:tcMar>
            <w:vAlign w:val="center"/>
          </w:tcPr>
          <w:p>
            <w:pPr>
              <w:spacing w:before="0" w:after="0"/>
            </w:pPr>
            <w:r>
              <w:rPr>
                <w:rFonts w:ascii="Arial" w:hAnsi="Arial"/>
                <w:b w:val="0"/>
                <w:i w:val="0"/>
                <w:color w:val="595959"/>
                <w:sz w:val="20"/>
              </w:rPr>
              <w:t>Nevada</w:t>
            </w:r>
          </w:p>
        </w:tc>
      </w:tr>
    </w:tbl>
    <w:p>
      <w:pPr>
        <w:spacing w:before="240" w:after="120"/>
        <w:pBdr>
          <w:bottom w:val="single" w:sz="8" w:space="4" w:color="CCCCCC"/>
        </w:pBdr>
        <w:outlineLvl w:val="9"/>
      </w:pPr>
      <w:r>
        <w:rPr>
          <w:rFonts w:ascii="Arial" w:hAnsi="Arial"/>
          <w:b/>
          <w:i w:val="0"/>
          <w:color w:val="1F3864"/>
          <w:sz w:val="22"/>
        </w:rPr>
        <w:t>Named Insured</w:t>
      </w:r>
    </w:p>
    <w:p>
      <w:pPr>
        <w:spacing w:before="80" w:after="80"/>
      </w:pPr>
      <w:r>
        <w:rPr>
          <w:rFonts w:ascii="Arial" w:hAnsi="Arial"/>
          <w:b/>
          <w:i w:val="0"/>
          <w:color w:val="1F3864"/>
          <w:sz w:val="22"/>
        </w:rPr>
        <w:t xml:space="preserve">Integrity Roofing</w:t>
      </w:r>
    </w:p>
    <w:p>
      <w:pPr>
        <w:spacing w:before="240" w:after="120"/>
        <w:pBdr>
          <w:bottom w:val="single" w:sz="8" w:space="4" w:color="CCCCCC"/>
        </w:pBdr>
        <w:outlineLvl w:val="9"/>
      </w:pPr>
      <w:r>
        <w:rPr>
          <w:rFonts w:ascii="Arial" w:hAnsi="Arial"/>
          <w:b/>
          <w:i w:val="0"/>
          <w:color w:val="1F3864"/>
          <w:sz w:val="22"/>
        </w:rPr>
        <w:t>Coverage &amp; Limits</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6084"/>
        <w:gridCol w:w="3276"/>
      </w:tblGrid>
      <w:tr>
        <w:trPr>
          <w:tblHeader w:val="1"/>
        </w:trPr>
        <w:tc>
          <w:tcPr>
            <w:tcW w:type="dxa" w:w="4680"/>
            <w:shd w:val="clear" w:color="auto" w:fill="1F3864"/>
            <w:tcMar>
              <w:top w:w="70" w:type="dxa"/>
              <w:bottom w:w="70" w:type="dxa"/>
              <w:left w:w="80" w:type="dxa"/>
              <w:right w:w="60" w:type="dxa"/>
            </w:tcMar>
            <w:vAlign w:val="center"/>
          </w:tcPr>
          <w:p>
            <w:pPr>
              <w:spacing w:before="0" w:after="0"/>
            </w:pPr>
            <w:r>
              <w:rPr>
                <w:rFonts w:ascii="Arial" w:hAnsi="Arial"/>
                <w:b/>
                <w:color w:val="FFFFFF"/>
                <w:sz w:val="20"/>
              </w:rPr>
              <w:t>Coverage</w:t>
            </w:r>
          </w:p>
        </w:tc>
        <w:tc>
          <w:tcPr>
            <w:tcW w:type="dxa" w:w="4680"/>
            <w:shd w:val="clear" w:color="auto" w:fill="1F3864"/>
            <w:tcMar>
              <w:top w:w="70" w:type="dxa"/>
              <w:bottom w:w="70" w:type="dxa"/>
              <w:left w:w="80" w:type="dxa"/>
              <w:right w:w="60" w:type="dxa"/>
            </w:tcMar>
            <w:vAlign w:val="center"/>
          </w:tcPr>
          <w:p>
            <w:pPr>
              <w:spacing w:before="0" w:after="0"/>
            </w:pPr>
            <w:r>
              <w:rPr>
                <w:rFonts w:ascii="Arial" w:hAnsi="Arial"/>
                <w:b/>
                <w:color w:val="FFFFFF"/>
                <w:sz w:val="20"/>
              </w:rPr>
              <w:t>Limit</w:t>
            </w:r>
          </w:p>
        </w:tc>
      </w:tr>
      <w:tr>
        <w:tc>
          <w:tcPr>
            <w:tcW w:w="6084" w:type="dxa"/>
            <w:tcMar>
              <w:top w:w="60" w:type="dxa"/>
              <w:bottom w:w="60" w:type="dxa"/>
              <w:left w:w="80" w:type="dxa"/>
              <w:right w:w="60" w:type="dxa"/>
            </w:tcMar>
            <w:vAlign w:val="center"/>
            <w:shd w:val="clear" w:color="auto" w:fill="F5F5F5"/>
          </w:tcPr>
          <w:p>
            <w:pPr>
              <w:spacing w:before="0" w:after="0"/>
            </w:pPr>
            <w:r>
              <w:rPr>
                <w:rFonts w:ascii="Arial" w:hAnsi="Arial"/>
                <w:b w:val="0"/>
                <w:i w:val="0"/>
                <w:color w:val="595959"/>
                <w:sz w:val="20"/>
              </w:rPr>
              <w:t>Part I — Workers’ Compensation</w:t>
            </w:r>
          </w:p>
        </w:tc>
        <w:tc>
          <w:tcPr>
            <w:tcW w:w="3276" w:type="dxa"/>
            <w:tcMar>
              <w:top w:w="60" w:type="dxa"/>
              <w:bottom w:w="60" w:type="dxa"/>
              <w:left w:w="80" w:type="dxa"/>
              <w:right w:w="60" w:type="dxa"/>
            </w:tcMar>
            <w:vAlign w:val="center"/>
            <w:shd w:val="clear" w:color="auto" w:fill="F5F5F5"/>
          </w:tcPr>
          <w:p>
            <w:pPr>
              <w:spacing w:before="0" w:after="0"/>
            </w:pPr>
            <w:r>
              <w:rPr>
                <w:rFonts w:ascii="Arial" w:hAnsi="Arial"/>
                <w:b w:val="0"/>
                <w:i w:val="0"/>
                <w:color w:val="595959"/>
                <w:sz w:val="20"/>
              </w:rPr>
              <w:t>Statutory per State of Nevada</w:t>
            </w:r>
          </w:p>
        </w:tc>
      </w:tr>
      <w:tr>
        <w:tc>
          <w:tcPr>
            <w:tcW w:w="6084" w:type="dxa"/>
            <w:tcMar>
              <w:top w:w="60" w:type="dxa"/>
              <w:bottom w:w="60" w:type="dxa"/>
              <w:left w:w="80" w:type="dxa"/>
              <w:right w:w="60" w:type="dxa"/>
            </w:tcMar>
            <w:vAlign w:val="center"/>
          </w:tcPr>
          <w:p>
            <w:pPr>
              <w:spacing w:before="0" w:after="0"/>
            </w:pPr>
            <w:r>
              <w:rPr>
                <w:rFonts w:ascii="Arial" w:hAnsi="Arial"/>
                <w:b w:val="0"/>
                <w:i w:val="0"/>
                <w:color w:val="595959"/>
                <w:sz w:val="20"/>
              </w:rPr>
              <w:t>Part II — Employers’ Liability: Each Accident</w:t>
            </w:r>
          </w:p>
        </w:tc>
        <w:tc>
          <w:tcPr>
            <w:tcW w:w="3276" w:type="dxa"/>
            <w:tcMar>
              <w:top w:w="60" w:type="dxa"/>
              <w:bottom w:w="60" w:type="dxa"/>
              <w:left w:w="80" w:type="dxa"/>
              <w:right w:w="60" w:type="dxa"/>
            </w:tcMar>
            <w:vAlign w:val="center"/>
          </w:tcPr>
          <w:p>
            <w:pPr>
              <w:spacing w:before="0" w:after="0"/>
            </w:pPr>
            <w:r>
              <w:rPr>
                <w:rFonts w:ascii="Arial" w:hAnsi="Arial"/>
                <w:b w:val="0"/>
                <w:i w:val="0"/>
                <w:color w:val="595959"/>
                <w:sz w:val="20"/>
              </w:rPr>
              <w:t>$1,000,000</w:t>
            </w:r>
          </w:p>
        </w:tc>
      </w:tr>
      <w:tr>
        <w:tc>
          <w:tcPr>
            <w:tcW w:w="6084" w:type="dxa"/>
            <w:tcMar>
              <w:top w:w="60" w:type="dxa"/>
              <w:bottom w:w="60" w:type="dxa"/>
              <w:left w:w="80" w:type="dxa"/>
              <w:right w:w="60" w:type="dxa"/>
            </w:tcMar>
            <w:vAlign w:val="center"/>
            <w:shd w:val="clear" w:color="auto" w:fill="F5F5F5"/>
          </w:tcPr>
          <w:p>
            <w:pPr>
              <w:spacing w:before="0" w:after="0"/>
            </w:pPr>
            <w:r>
              <w:rPr>
                <w:rFonts w:ascii="Arial" w:hAnsi="Arial"/>
                <w:b w:val="0"/>
                <w:i w:val="0"/>
                <w:color w:val="595959"/>
                <w:sz w:val="20"/>
              </w:rPr>
              <w:t>Part II — Employers’ Liability: Disease – Each Employee</w:t>
            </w:r>
          </w:p>
        </w:tc>
        <w:tc>
          <w:tcPr>
            <w:tcW w:w="3276" w:type="dxa"/>
            <w:tcMar>
              <w:top w:w="60" w:type="dxa"/>
              <w:bottom w:w="60" w:type="dxa"/>
              <w:left w:w="80" w:type="dxa"/>
              <w:right w:w="60" w:type="dxa"/>
            </w:tcMar>
            <w:vAlign w:val="center"/>
            <w:shd w:val="clear" w:color="auto" w:fill="F5F5F5"/>
          </w:tcPr>
          <w:p>
            <w:pPr>
              <w:spacing w:before="0" w:after="0"/>
            </w:pPr>
            <w:r>
              <w:rPr>
                <w:rFonts w:ascii="Arial" w:hAnsi="Arial"/>
                <w:b w:val="0"/>
                <w:i w:val="0"/>
                <w:color w:val="595959"/>
                <w:sz w:val="20"/>
              </w:rPr>
              <w:t>$1,000,000</w:t>
            </w:r>
          </w:p>
        </w:tc>
      </w:tr>
      <w:tr>
        <w:tc>
          <w:tcPr>
            <w:tcW w:w="6084" w:type="dxa"/>
            <w:tcMar>
              <w:top w:w="60" w:type="dxa"/>
              <w:bottom w:w="60" w:type="dxa"/>
              <w:left w:w="80" w:type="dxa"/>
              <w:right w:w="60" w:type="dxa"/>
            </w:tcMar>
            <w:vAlign w:val="center"/>
          </w:tcPr>
          <w:p>
            <w:pPr>
              <w:spacing w:before="0" w:after="0"/>
            </w:pPr>
            <w:r>
              <w:rPr>
                <w:rFonts w:ascii="Arial" w:hAnsi="Arial"/>
                <w:b w:val="0"/>
                <w:i w:val="0"/>
                <w:color w:val="595959"/>
                <w:sz w:val="20"/>
              </w:rPr>
              <w:t>Part II — Employers’ Liability: Disease – Policy Limit</w:t>
            </w:r>
          </w:p>
        </w:tc>
        <w:tc>
          <w:tcPr>
            <w:tcW w:w="3276" w:type="dxa"/>
            <w:tcMar>
              <w:top w:w="60" w:type="dxa"/>
              <w:bottom w:w="60" w:type="dxa"/>
              <w:left w:w="80" w:type="dxa"/>
              <w:right w:w="60" w:type="dxa"/>
            </w:tcMar>
            <w:vAlign w:val="center"/>
          </w:tcPr>
          <w:p>
            <w:pPr>
              <w:spacing w:before="0" w:after="0"/>
            </w:pPr>
            <w:r>
              <w:rPr>
                <w:rFonts w:ascii="Arial" w:hAnsi="Arial"/>
                <w:b w:val="0"/>
                <w:i w:val="0"/>
                <w:color w:val="595959"/>
                <w:sz w:val="20"/>
              </w:rPr>
              <w:t>$1,000,000</w:t>
            </w:r>
          </w:p>
        </w:tc>
      </w:tr>
    </w:tbl>
    <w:p>
      <w:pPr>
        <w:sectPr>
          <w:footerReference w:type="default" r:id="rId15"/>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6"/>
              </w:rPr>
              <w:t>Policy Details</w:t>
            </w:r>
          </w:p>
        </w:tc>
      </w:tr>
    </w:tbl>
    <w:p>
      <w:pPr>
        <w:spacing w:before="240" w:after="120"/>
        <w:pBdr>
          <w:bottom w:val="single" w:sz="8" w:space="4" w:color="CCCCCC"/>
        </w:pBdr>
        <w:outlineLvl w:val="9"/>
      </w:pPr>
      <w:r>
        <w:rPr>
          <w:rFonts w:ascii="Arial" w:hAnsi="Arial"/>
          <w:b/>
          <w:i w:val="0"/>
          <w:color w:val="1F3864"/>
          <w:sz w:val="22"/>
        </w:rPr>
        <w:t>Employee Classification Schedule</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655"/>
        <w:gridCol w:w="1123"/>
        <w:gridCol w:w="2620"/>
        <w:gridCol w:w="1965"/>
        <w:gridCol w:w="1123"/>
        <w:gridCol w:w="1874"/>
      </w:tblGrid>
      <w:tr>
        <w:trPr>
          <w:tblHeader w:val="1"/>
        </w:trPr>
        <w:tc>
          <w:tcPr>
            <w:tcW w:w="655"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State</w:t>
            </w:r>
          </w:p>
        </w:tc>
        <w:tc>
          <w:tcPr>
            <w:tcW w:w="1123"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Class Code</w:t>
            </w:r>
          </w:p>
        </w:tc>
        <w:tc>
          <w:tcPr>
            <w:tcW w:w="2620"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Description</w:t>
            </w:r>
          </w:p>
        </w:tc>
        <w:tc>
          <w:tcPr>
            <w:tcW w:w="1965"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Est. Annual Payroll</w:t>
            </w:r>
          </w:p>
        </w:tc>
        <w:tc>
          <w:tcPr>
            <w:tcW w:w="1123"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Rate</w:t>
            </w:r>
          </w:p>
        </w:tc>
        <w:tc>
          <w:tcPr>
            <w:tcW w:w="1874"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Est. Premium</w:t>
            </w:r>
          </w:p>
        </w:tc>
      </w:tr>
      <w:tr>
        <w:tc>
          <w:tcPr>
            <w:tcW w:w="655" w:type="dxa"/>
            <w:tcMar>
              <w:top w:w="80" w:type="dxa"/>
              <w:bottom w:w="80" w:type="dxa"/>
              <w:left w:w="80" w:type="dxa"/>
              <w:right w:w="80" w:type="dxa"/>
            </w:tcMar>
            <w:vAlign w:val="center"/>
          </w:tcPr>
          <w:p>
            <w:pPr>
              <w:spacing w:before="0" w:after="0"/>
            </w:pPr>
            <w:r>
              <w:rPr>
                <w:rFonts w:ascii="Arial" w:hAnsi="Arial"/>
                <w:b w:val="0"/>
                <w:i w:val="0"/>
                <w:color w:val="595959"/>
                <w:sz w:val="20"/>
              </w:rPr>
              <w:t/>
            </w:r>
            <w:r>
              <w:rPr>
                <w:rFonts w:ascii="Arial" w:hAnsi="Arial"/>
                <w:b w:val="0"/>
                <w:i w:val="0"/>
                <w:color w:val="595959"/>
                <w:sz w:val="20"/>
              </w:rPr>
              <w:t xml:space="preserve">NV</w:t>
            </w:r>
          </w:p>
        </w:tc>
        <w:tc>
          <w:tcPr>
            <w:tcW w:w="1123"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5551</w:t>
            </w:r>
          </w:p>
        </w:tc>
        <w:tc>
          <w:tcPr>
            <w:tcW w:w="2620"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Roofing--All Kinds &amp; Drivers</w:t>
            </w:r>
          </w:p>
        </w:tc>
        <w:tc>
          <w:tcPr>
            <w:tcW w:w="1965"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$275,000.00</w:t>
            </w:r>
          </w:p>
        </w:tc>
        <w:tc>
          <w:tcPr>
            <w:tcW w:w="1123"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$11.694</w:t>
            </w:r>
          </w:p>
        </w:tc>
        <w:tc>
          <w:tcPr>
            <w:tcW w:w="1874"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$32,158.50</w:t>
            </w:r>
            <w:r>
              <w:rPr>
                <w:rFonts w:ascii="Arial" w:hAnsi="Arial"/>
                <w:b w:val="0"/>
                <w:i w:val="0"/>
                <w:color w:val="595959"/>
                <w:sz w:val="20"/>
              </w:rPr>
              <w:t/>
            </w:r>
          </w:p>
        </w:tc>
      </w:tr>
      <w:tr>
        <w:tc>
          <w:tcPr>
            <w:tcW w:w="655" w:type="dxa"/>
            <w:tcMar>
              <w:top w:w="80" w:type="dxa"/>
              <w:bottom w:w="80" w:type="dxa"/>
              <w:left w:w="80" w:type="dxa"/>
              <w:right w:w="80" w:type="dxa"/>
            </w:tcMar>
            <w:vAlign w:val="center"/>
          </w:tcPr>
          <w:p>
            <w:pPr>
              <w:spacing w:before="0" w:after="0"/>
            </w:pPr>
            <w:r>
              <w:rPr>
                <w:rFonts w:ascii="Arial" w:hAnsi="Arial"/>
                <w:b w:val="0"/>
                <w:i w:val="0"/>
                <w:color w:val="595959"/>
                <w:sz w:val="20"/>
              </w:rPr>
              <w:t/>
            </w:r>
            <w:r>
              <w:rPr>
                <w:rFonts w:ascii="Arial" w:hAnsi="Arial"/>
                <w:b w:val="0"/>
                <w:i w:val="0"/>
                <w:color w:val="595959"/>
                <w:sz w:val="20"/>
              </w:rPr>
              <w:t xml:space="preserve">NV</w:t>
            </w:r>
          </w:p>
        </w:tc>
        <w:tc>
          <w:tcPr>
            <w:tcW w:w="1123"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5551</w:t>
            </w:r>
          </w:p>
        </w:tc>
        <w:tc>
          <w:tcPr>
            <w:tcW w:w="2620"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Roofing – LLC Member/Manager</w:t>
            </w:r>
          </w:p>
        </w:tc>
        <w:tc>
          <w:tcPr>
            <w:tcW w:w="1965"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$36,000.00</w:t>
            </w:r>
          </w:p>
        </w:tc>
        <w:tc>
          <w:tcPr>
            <w:tcW w:w="1123"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$11.694</w:t>
            </w:r>
          </w:p>
        </w:tc>
        <w:tc>
          <w:tcPr>
            <w:tcW w:w="1874"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$4,209.84</w:t>
            </w:r>
            <w:r>
              <w:rPr>
                <w:rFonts w:ascii="Arial" w:hAnsi="Arial"/>
                <w:b w:val="0"/>
                <w:i w:val="0"/>
                <w:color w:val="595959"/>
                <w:sz w:val="20"/>
              </w:rPr>
              <w:t/>
            </w:r>
          </w:p>
        </w:tc>
      </w:tr>
      <w:tr>
        <w:tc>
          <w:tcPr>
            <w:tcW w:w="655" w:type="dxa"/>
            <w:tcMar>
              <w:top w:w="80" w:type="dxa"/>
              <w:bottom w:w="80" w:type="dxa"/>
              <w:left w:w="80" w:type="dxa"/>
              <w:right w:w="80" w:type="dxa"/>
            </w:tcMar>
            <w:vAlign w:val="center"/>
          </w:tcPr>
          <w:p>
            <w:pPr>
              <w:spacing w:before="0" w:after="0"/>
            </w:pPr>
            <w:r>
              <w:rPr>
                <w:rFonts w:ascii="Arial" w:hAnsi="Arial"/>
                <w:b w:val="0"/>
                <w:i w:val="0"/>
                <w:color w:val="595959"/>
                <w:sz w:val="20"/>
              </w:rPr>
              <w:t/>
            </w:r>
            <w:r>
              <w:rPr>
                <w:rFonts w:ascii="Arial" w:hAnsi="Arial"/>
                <w:b w:val="0"/>
                <w:i w:val="0"/>
                <w:color w:val="595959"/>
                <w:sz w:val="20"/>
              </w:rPr>
              <w:t xml:space="preserve">NV</w:t>
            </w:r>
          </w:p>
        </w:tc>
        <w:tc>
          <w:tcPr>
            <w:tcW w:w="1123"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5551</w:t>
            </w:r>
          </w:p>
        </w:tc>
        <w:tc>
          <w:tcPr>
            <w:tcW w:w="2620"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Roofing-Foreman</w:t>
            </w:r>
          </w:p>
        </w:tc>
        <w:tc>
          <w:tcPr>
            <w:tcW w:w="1965"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$36,000.00</w:t>
            </w:r>
          </w:p>
        </w:tc>
        <w:tc>
          <w:tcPr>
            <w:tcW w:w="1123"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$11.694</w:t>
            </w:r>
          </w:p>
        </w:tc>
        <w:tc>
          <w:tcPr>
            <w:tcW w:w="1874"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$4,209.84</w:t>
            </w:r>
            <w:r>
              <w:rPr>
                <w:rFonts w:ascii="Arial" w:hAnsi="Arial"/>
                <w:b w:val="0"/>
                <w:i w:val="0"/>
                <w:color w:val="595959"/>
                <w:sz w:val="20"/>
              </w:rPr>
              <w:t/>
            </w:r>
          </w:p>
        </w:tc>
      </w:tr>
      <w:tr>
        <w:tc>
          <w:tcPr>
            <w:tcW w:w="655" w:type="dxa"/>
            <w:tcMar>
              <w:top w:w="80" w:type="dxa"/>
              <w:bottom w:w="80" w:type="dxa"/>
              <w:left w:w="80" w:type="dxa"/>
              <w:right w:w="80" w:type="dxa"/>
            </w:tcMar>
            <w:vAlign w:val="center"/>
          </w:tcPr>
          <w:p>
            <w:pPr>
              <w:spacing w:before="0" w:after="0"/>
            </w:pPr>
            <w:r>
              <w:rPr>
                <w:rFonts w:ascii="Arial" w:hAnsi="Arial"/>
                <w:b w:val="0"/>
                <w:i w:val="0"/>
                <w:color w:val="595959"/>
                <w:sz w:val="20"/>
              </w:rPr>
              <w:t/>
            </w:r>
            <w:r>
              <w:rPr>
                <w:rFonts w:ascii="Arial" w:hAnsi="Arial"/>
                <w:b w:val="0"/>
                <w:i w:val="0"/>
                <w:color w:val="595959"/>
                <w:sz w:val="20"/>
              </w:rPr>
              <w:t xml:space="preserve">NV</w:t>
            </w:r>
          </w:p>
        </w:tc>
        <w:tc>
          <w:tcPr>
            <w:tcW w:w="1123"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8742</w:t>
            </w:r>
          </w:p>
        </w:tc>
        <w:tc>
          <w:tcPr>
            <w:tcW w:w="2620"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Outside Sales</w:t>
            </w:r>
          </w:p>
        </w:tc>
        <w:tc>
          <w:tcPr>
            <w:tcW w:w="1965"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$36,000.00</w:t>
            </w:r>
          </w:p>
        </w:tc>
        <w:tc>
          <w:tcPr>
            <w:tcW w:w="1123"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$0.624</w:t>
            </w:r>
          </w:p>
        </w:tc>
        <w:tc>
          <w:tcPr>
            <w:tcW w:w="1874" w:type="dxa"/>
            <w:tcMar>
              <w:top w:w="80" w:type="dxa"/>
              <w:bottom w:w="80" w:type="dxa"/>
              <w:left w:w="80" w:type="dxa"/>
              <w:right w:w="80" w:type="dxa"/>
            </w:tcMar>
            <w:vAlign w:val="center"/>
          </w:tcPr>
          <w:p>
            <w:pPr>
              <w:spacing w:before="0" w:after="0"/>
            </w:pPr>
            <w:r>
              <w:rPr>
                <w:rFonts w:ascii="Arial" w:hAnsi="Arial"/>
                <w:b w:val="0"/>
                <w:i w:val="0"/>
                <w:color w:val="595959"/>
                <w:sz w:val="20"/>
              </w:rPr>
              <w:t xml:space="preserve">$224.64</w:t>
            </w:r>
            <w:r>
              <w:rPr>
                <w:rFonts w:ascii="Arial" w:hAnsi="Arial"/>
                <w:b w:val="0"/>
                <w:i w:val="0"/>
                <w:color w:val="595959"/>
                <w:sz w:val="20"/>
              </w:rPr>
              <w:t/>
            </w:r>
          </w:p>
        </w:tc>
      </w:tr>
      <w:tr>
        <w:tc>
          <w:tcPr>
            <w:tcW w:w="7486" w:type="dxa"/>
            <w:gridSpan w:val="5"/>
            <w:shd w:val="clear" w:color="auto" w:fill="F5F5F5"/>
            <w:tcMar>
              <w:top w:w="70" w:type="dxa"/>
              <w:bottom w:w="70" w:type="dxa"/>
              <w:left w:w="60" w:type="dxa"/>
              <w:right w:w="60" w:type="dxa"/>
            </w:tcMar>
            <w:vAlign w:val="center"/>
          </w:tcPr>
          <w:p>
            <w:pPr>
              <w:spacing w:before="0" w:after="0"/>
              <w:jc w:val="right"/>
            </w:pPr>
            <w:r>
              <w:rPr>
                <w:rFonts w:ascii="Arial" w:hAnsi="Arial"/>
                <w:b/>
                <w:i w:val="0"/>
                <w:color w:val="1F3864"/>
                <w:sz w:val="20"/>
              </w:rPr>
              <w:t>Total Estimated Manual Premium</w:t>
            </w:r>
          </w:p>
        </w:tc>
        <w:tc>
          <w:tcPr>
            <w:tcW w:w="1874" w:type="dxa"/>
            <w:shd w:val="clear" w:color="auto" w:fill="F5F5F5"/>
            <w:tcMar>
              <w:top w:w="70" w:type="dxa"/>
              <w:bottom w:w="70" w:type="dxa"/>
              <w:left w:w="60" w:type="dxa"/>
              <w:right w:w="60" w:type="dxa"/>
            </w:tcMar>
            <w:vAlign w:val="center"/>
          </w:tcPr>
          <w:p>
            <w:pPr>
              <w:spacing w:before="0" w:after="0"/>
            </w:pPr>
            <w:r>
              <w:rPr>
                <w:rFonts w:ascii="Arial" w:hAnsi="Arial"/>
                <w:b/>
                <w:i w:val="0"/>
                <w:color w:val="1F3864"/>
                <w:sz w:val="20"/>
              </w:rPr>
              <w:t xml:space="preserve">$40,802.82</w:t>
            </w:r>
          </w:p>
        </w:tc>
      </w:tr>
    </w:tbl>
    <w:p>
      <w:pPr>
        <w:spacing w:before="240" w:after="120"/>
        <w:pBdr>
          <w:bottom w:val="single" w:sz="8" w:space="4" w:color="CCCCCC"/>
        </w:pBdr>
        <w:outlineLvl w:val="9"/>
      </w:pPr>
      <w:r>
        <w:rPr>
          <w:rFonts w:ascii="Arial" w:hAnsi="Arial"/>
          <w:b/>
          <w:i w:val="0"/>
          <w:color w:val="1F3864"/>
          <w:sz w:val="22"/>
        </w:rPr>
        <w:t>Self-Insured Group Disclosure</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c>
          <w:tcPr>
            <w:tcW w:type="dxa" w:w="9360"/>
            <w:shd w:val="clear" w:color="auto" w:fill="E8E8E8"/>
            <w:tcMar>
              <w:top w:w="100" w:type="dxa"/>
              <w:bottom w:w="100" w:type="dxa"/>
              <w:left w:w="130" w:type="dxa"/>
              <w:right w:w="100" w:type="dxa"/>
            </w:tcMar>
            <w:vAlign w:val="center"/>
            <w:tcBorders>
              <w:left w:val="single" w:sz="24" w:space="0" w:color="2E75B6"/>
              <w:top w:val="none" w:sz="0" w:space="0" w:color="auto"/>
              <w:bottom w:val="none" w:sz="0" w:space="0" w:color="auto"/>
              <w:right w:val="none" w:sz="0" w:space="0" w:color="auto"/>
            </w:tcBorders>
          </w:tcPr>
          <w:p>
            <w:pPr>
              <w:spacing w:before="0" w:after="0"/>
            </w:pPr>
            <w:r>
              <w:rPr>
                <w:rFonts w:ascii="Arial" w:hAnsi="Arial"/>
                <w:b w:val="0"/>
                <w:i w:val="0"/>
                <w:color w:val="595959"/>
                <w:sz w:val="19"/>
              </w:rPr>
              <w:t>BAWNSIG is a Nevada-regulated self-insured group, not a traditional insurance carrier, and therefore does not carry an AM Best financial strength rating. BAWNSIG operates under the regulatory oversight of the Nevada Division of Industrial Relations and maintains reserves in accordance with state requirements. Members of NBAIS benefit from the group’s long-standing solvency and claims-paying history as a construction industry SIG in Nevada.</w:t>
            </w:r>
          </w:p>
        </w:tc>
      </w:tr>
    </w:tbl>
    <w:p>
      <w:pPr>
        <w:sectPr>
          <w:footerReference w:type="default" r:id="rId16"/>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8"/>
              </w:rPr>
              <w:t>Next Steps &amp; Member Authorization</w:t>
            </w:r>
          </w:p>
        </w:tc>
      </w:tr>
    </w:tbl>
    <w:p>
      <w:pPr>
        <w:spacing w:before="160" w:after="160"/>
        <w:jc w:val="left"/>
      </w:pPr>
      <w:r>
        <w:rPr>
          <w:rFonts w:ascii="Arial" w:hAnsi="Arial"/>
          <w:b w:val="0"/>
          <w:i w:val="0"/>
          <w:color w:val="595959"/>
          <w:sz w:val="20"/>
        </w:rPr>
        <w:t>To bind coverage or to discuss this proposal in further detail, please contact your NBAIS producer using the information below. Please review all coverage details carefully and confirm payroll and class code accuracy prior to binding, as final premium is subject to audit.</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580"/>
        <w:gridCol w:w="200"/>
        <w:gridCol w:w="4580"/>
      </w:tblGrid>
      <w:tr>
        <w:tc>
          <w:tcPr>
            <w:tcW w:w="4580" w:type="dxa"/>
            <w:shd w:val="clear" w:color="auto" w:fill="E8E8E8"/>
            <w:tcMar>
              <w:top w:w="100" w:type="dxa"/>
              <w:bottom w:w="100" w:type="dxa"/>
              <w:left w:w="100" w:type="dxa"/>
              <w:right w:w="100" w:type="dxa"/>
            </w:tcMar>
            <w:tcBorders>
              <w:top w:val="none" w:sz="0" w:space="0" w:color="auto"/>
              <w:left w:val="none" w:sz="0" w:space="0" w:color="auto"/>
              <w:bottom w:val="none" w:sz="0" w:space="0" w:color="auto"/>
              <w:right w:val="none" w:sz="0" w:space="0" w:color="auto"/>
            </w:tcBorders>
            <w:vAlign w:val="center"/>
          </w:tcPr>
          <w:p>
            <w:pPr>
              <w:spacing w:before="0" w:after="0"/>
            </w:pPr>
            <w:r>
              <w:rPr>
                <w:rFonts w:ascii="Arial" w:hAnsi="Arial"/>
                <w:b/>
                <w:i w:val="0"/>
                <w:color w:val="1F3864"/>
                <w:sz w:val="20"/>
              </w:rPr>
              <w:t>Your NBAIS Producer</w:t>
            </w:r>
          </w:p>
          <w:p>
            <w:r>
              <w:rPr>
                <w:rFonts w:ascii="Arial" w:hAnsi="Arial"/>
                <w:b/>
                <w:i w:val="0"/>
                <w:color w:val="595959"/>
                <w:sz w:val="20"/>
              </w:rPr>
              <w:t>Dianne Slater</w:t>
            </w:r>
          </w:p>
          <w:p>
            <w:r>
              <w:rPr>
                <w:rFonts w:ascii="Arial" w:hAnsi="Arial"/>
                <w:b w:val="0"/>
                <w:i/>
                <w:color w:val="595959"/>
                <w:sz w:val="20"/>
              </w:rPr>
              <w:t>Account Manager</w:t>
            </w:r>
          </w:p>
          <w:p>
            <w:r>
              <w:rPr>
                <w:rFonts w:ascii="Arial" w:hAnsi="Arial"/>
                <w:b w:val="0"/>
                <w:i/>
                <w:color w:val="595959"/>
                <w:sz w:val="20"/>
              </w:rPr>
              <w:t>877-888-4140</w:t>
            </w:r>
          </w:p>
          <w:p>
            <w:r>
              <w:rPr>
                <w:rFonts w:ascii="Arial" w:hAnsi="Arial"/>
                <w:b w:val="0"/>
                <w:i/>
                <w:color w:val="595959"/>
                <w:sz w:val="20"/>
              </w:rPr>
              <w:t>dslater@nbainsurancesolutions.com</w:t>
            </w:r>
          </w:p>
        </w:tc>
        <w:tc>
          <w:tcPr>
            <w:tcW w:w="200" w:type="dxa"/>
            <w:tcBorders>
              <w:top w:val="none" w:sz="0" w:space="0" w:color="auto"/>
              <w:left w:val="none" w:sz="0" w:space="0" w:color="auto"/>
              <w:bottom w:val="none" w:sz="0" w:space="0" w:color="auto"/>
              <w:right w:val="none" w:sz="0" w:space="0" w:color="auto"/>
            </w:tcBorders>
            <w:vAlign w:val="center"/>
          </w:tcPr>
          <w:p>
            <w:pPr>
              <w:spacing w:before="0" w:after="0"/>
            </w:pPr>
          </w:p>
        </w:tc>
        <w:tc>
          <w:tcPr>
            <w:tcW w:w="4580" w:type="dxa"/>
            <w:shd w:val="clear" w:color="auto" w:fill="E8E8E8"/>
            <w:tcMar>
              <w:top w:w="100" w:type="dxa"/>
              <w:bottom w:w="100" w:type="dxa"/>
              <w:left w:w="100" w:type="dxa"/>
              <w:right w:w="100" w:type="dxa"/>
            </w:tcMar>
            <w:tcBorders>
              <w:top w:val="none" w:sz="0" w:space="0" w:color="auto"/>
              <w:left w:val="none" w:sz="0" w:space="0" w:color="auto"/>
              <w:bottom w:val="none" w:sz="0" w:space="0" w:color="auto"/>
              <w:right w:val="none" w:sz="0" w:space="0" w:color="auto"/>
            </w:tcBorders>
            <w:vAlign w:val="center"/>
          </w:tcPr>
          <w:p>
            <w:pPr>
              <w:spacing w:before="0" w:after="0"/>
            </w:pPr>
            <w:r>
              <w:rPr>
                <w:rFonts w:ascii="Arial" w:hAnsi="Arial"/>
                <w:b/>
                <w:i w:val="0"/>
                <w:color w:val="1F3864"/>
                <w:sz w:val="20"/>
              </w:rPr>
              <w:t>NBAIS Program Office</w:t>
            </w:r>
          </w:p>
          <w:p>
            <w:r>
              <w:rPr>
                <w:rFonts w:ascii="Arial" w:hAnsi="Arial"/>
                <w:b w:val="0"/>
                <w:i w:val="0"/>
                <w:color w:val="595959"/>
                <w:sz w:val="20"/>
              </w:rPr>
              <w:t>Nevada Builders Alliance Insurance Solutions</w:t>
            </w:r>
          </w:p>
          <w:p>
            <w:r>
              <w:rPr>
                <w:rFonts w:ascii="Arial" w:hAnsi="Arial"/>
                <w:b w:val="0"/>
                <w:i/>
                <w:color w:val="595959"/>
                <w:sz w:val="20"/>
              </w:rPr>
              <w:t>603 South Carson Street, Carson City, NV 89701</w:t>
            </w:r>
          </w:p>
          <w:p>
            <w:r>
              <w:rPr>
                <w:rFonts w:ascii="Arial" w:hAnsi="Arial"/>
                <w:b w:val="0"/>
                <w:i/>
                <w:color w:val="595959"/>
                <w:sz w:val="20"/>
              </w:rPr>
              <w:t>nbainsurancesolutions.com</w:t>
            </w:r>
          </w:p>
        </w:tc>
      </w:tr>
    </w:tbl>
    <w:p>
      <w:pPr>
        <w:spacing w:before="240" w:after="120"/>
        <w:pBdr>
          <w:bottom w:val="single" w:sz="8" w:space="4" w:color="CCCCCC"/>
        </w:pBdr>
        <w:outlineLvl w:val="9"/>
      </w:pPr>
      <w:r>
        <w:rPr>
          <w:rFonts w:ascii="Arial" w:hAnsi="Arial"/>
          <w:b/>
          <w:i w:val="0"/>
          <w:color w:val="1F3864"/>
          <w:sz w:val="22"/>
        </w:rPr>
        <w:t>Member Authorization</w:t>
      </w:r>
    </w:p>
    <w:p>
      <w:pPr>
        <w:spacing w:before="80" w:after="240"/>
        <w:jc w:val="left"/>
      </w:pPr>
      <w:r>
        <w:rPr>
          <w:rFonts w:ascii="Arial" w:hAnsi="Arial"/>
          <w:b w:val="0"/>
          <w:i w:val="0"/>
          <w:color w:val="595959"/>
          <w:sz w:val="20"/>
        </w:rPr>
        <w:t>By signing below, the undersigned acknowledges receipt of this Workers’ Compensation Insurance proposal and authorizes Nevada Builders Alliance Insurance Solutions (NBAIS) to bind coverage as described herein, effective on the policy period stated above. The undersigned confirms that the payroll, classification codes, and excluded persons listed in this proposal are accurate to the best of their knowledge and understands that final premium is subject to audit. The required initial down payment will be remitted online via the secure payment link provided upon binding.</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2340"/>
        <w:gridCol w:w="7020"/>
      </w:tblGrid>
      <w:tr>
        <w:tc>
          <w:tcPr>
            <w:tcW w:w="2340" w:type="dxa"/>
            <w:tcMar>
              <w:top w:w="80" w:type="dxa"/>
              <w:bottom w:w="80" w:type="dxa"/>
              <w:left w:w="0" w:type="dxa"/>
              <w:right w:w="60" w:type="dxa"/>
            </w:tcMar>
            <w:vAlign w:val="center"/>
          </w:tcPr>
          <w:p>
            <w:pPr>
              <w:spacing w:before="0" w:after="0"/>
            </w:pPr>
            <w:r>
              <w:rPr>
                <w:rFonts w:ascii="Arial" w:hAnsi="Arial"/>
                <w:b/>
                <w:i w:val="0"/>
                <w:color w:val="1F3864"/>
                <w:sz w:val="20"/>
              </w:rPr>
              <w:t>By</w:t>
            </w:r>
          </w:p>
        </w:tc>
        <w:tc>
          <w:tcPr>
            <w:tcW w:w="7020" w:type="dxa"/>
            <w:tcMar>
              <w:top w:w="80" w:type="dxa"/>
              <w:bottom w:w="80" w:type="dxa"/>
              <w:left w:w="60" w:type="dxa"/>
              <w:right w:w="0" w:type="dxa"/>
            </w:tcMar>
            <w:vAlign w:val="center"/>
            <w:tcBorders>
              <w:bottom w:val="single" w:sz="6" w:space="0" w:color="000000"/>
            </w:tcBorders>
          </w:tcPr>
          <w:p>
            <w:pPr>
              <w:spacing w:before="0" w:after="0"/>
            </w:pPr>
            <w:r/>
          </w:p>
        </w:tc>
      </w:tr>
      <w:tr>
        <w:tc>
          <w:tcPr>
            <w:tcW w:w="2340" w:type="dxa"/>
            <w:tcMar>
              <w:top w:w="80" w:type="dxa"/>
              <w:bottom w:w="80" w:type="dxa"/>
              <w:left w:w="0" w:type="dxa"/>
              <w:right w:w="60" w:type="dxa"/>
            </w:tcMar>
            <w:vAlign w:val="center"/>
          </w:tcPr>
          <w:p>
            <w:pPr>
              <w:spacing w:before="0" w:after="0"/>
            </w:pPr>
            <w:r>
              <w:rPr>
                <w:rFonts w:ascii="Arial" w:hAnsi="Arial"/>
                <w:b/>
                <w:i w:val="0"/>
                <w:color w:val="1F3864"/>
                <w:sz w:val="20"/>
              </w:rPr>
              <w:t>Print Name</w:t>
            </w:r>
          </w:p>
        </w:tc>
        <w:tc>
          <w:tcPr>
            <w:tcW w:w="7020" w:type="dxa"/>
            <w:tcMar>
              <w:top w:w="80" w:type="dxa"/>
              <w:bottom w:w="80" w:type="dxa"/>
              <w:left w:w="60" w:type="dxa"/>
              <w:right w:w="0" w:type="dxa"/>
            </w:tcMar>
            <w:vAlign w:val="center"/>
            <w:tcBorders>
              <w:bottom w:val="single" w:sz="6" w:space="0" w:color="000000"/>
            </w:tcBorders>
          </w:tcPr>
          <w:p>
            <w:pPr>
              <w:spacing w:before="0" w:after="0"/>
            </w:pPr>
            <w:r/>
          </w:p>
        </w:tc>
      </w:tr>
      <w:tr>
        <w:tc>
          <w:tcPr>
            <w:tcW w:w="2340" w:type="dxa"/>
            <w:tcMar>
              <w:top w:w="80" w:type="dxa"/>
              <w:bottom w:w="80" w:type="dxa"/>
              <w:left w:w="0" w:type="dxa"/>
              <w:right w:w="60" w:type="dxa"/>
            </w:tcMar>
            <w:vAlign w:val="center"/>
          </w:tcPr>
          <w:p>
            <w:pPr>
              <w:spacing w:before="0" w:after="0"/>
            </w:pPr>
            <w:r>
              <w:rPr>
                <w:rFonts w:ascii="Arial" w:hAnsi="Arial"/>
                <w:b/>
                <w:i w:val="0"/>
                <w:color w:val="1F3864"/>
                <w:sz w:val="20"/>
              </w:rPr>
              <w:t>Title</w:t>
            </w:r>
          </w:p>
        </w:tc>
        <w:tc>
          <w:tcPr>
            <w:tcW w:w="7020" w:type="dxa"/>
            <w:tcMar>
              <w:top w:w="80" w:type="dxa"/>
              <w:bottom w:w="80" w:type="dxa"/>
              <w:left w:w="60" w:type="dxa"/>
              <w:right w:w="0" w:type="dxa"/>
            </w:tcMar>
            <w:vAlign w:val="center"/>
            <w:tcBorders>
              <w:bottom w:val="single" w:sz="6" w:space="0" w:color="000000"/>
            </w:tcBorders>
          </w:tcPr>
          <w:p>
            <w:pPr>
              <w:spacing w:before="0" w:after="0"/>
            </w:pPr>
            <w:r/>
          </w:p>
        </w:tc>
      </w:tr>
      <w:tr>
        <w:tc>
          <w:tcPr>
            <w:tcW w:w="2340" w:type="dxa"/>
            <w:tcMar>
              <w:top w:w="80" w:type="dxa"/>
              <w:bottom w:w="80" w:type="dxa"/>
              <w:left w:w="0" w:type="dxa"/>
              <w:right w:w="60" w:type="dxa"/>
            </w:tcMar>
            <w:vAlign w:val="center"/>
          </w:tcPr>
          <w:p>
            <w:pPr>
              <w:spacing w:before="0" w:after="0"/>
            </w:pPr>
            <w:r>
              <w:rPr>
                <w:rFonts w:ascii="Arial" w:hAnsi="Arial"/>
                <w:b/>
                <w:i w:val="0"/>
                <w:color w:val="1F3864"/>
                <w:sz w:val="20"/>
              </w:rPr>
              <w:t>Date</w:t>
            </w:r>
          </w:p>
        </w:tc>
        <w:tc>
          <w:tcPr>
            <w:tcW w:w="7020" w:type="dxa"/>
            <w:tcMar>
              <w:top w:w="80" w:type="dxa"/>
              <w:bottom w:w="80" w:type="dxa"/>
              <w:left w:w="60" w:type="dxa"/>
              <w:right w:w="0" w:type="dxa"/>
            </w:tcMar>
            <w:vAlign w:val="center"/>
            <w:tcBorders>
              <w:bottom w:val="single" w:sz="6" w:space="0" w:color="000000"/>
            </w:tcBorders>
          </w:tcPr>
          <w:p>
            <w:pPr>
              <w:spacing w:before="0" w:after="0"/>
            </w:pPr>
            <w:r/>
          </w:p>
        </w:tc>
      </w:tr>
    </w:tbl>
    <w:p>
      <w:pPr>
        <w:spacing w:before="320" w:after="80"/>
        <w:jc w:val="left"/>
      </w:pPr>
      <w:r>
        <w:rPr>
          <w:rFonts w:ascii="Arial" w:hAnsi="Arial"/>
          <w:b w:val="0"/>
          <w:i/>
          <w:color w:val="595959"/>
          <w:sz w:val="17"/>
        </w:rPr>
        <w:t>This proposal is not a binder or guarantee of coverage. All coverage is subject to underwriting approval, policy terms, conditions, and exclusions. Premium estimates are subject to final payroll audit. NBA Insurance Solutions, LLC is an insurance program administered on behalf of Nevada Builders Alliance members.</w:t>
      </w:r>
    </w:p>
    <w:p>
      <w:pPr>
        <w:sectPr>
          <w:footerReference w:type="default" r:id="rId17"/>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8"/>
              </w:rPr>
              <w:t>Coverage Recommendations</w:t>
            </w:r>
          </w:p>
        </w:tc>
      </w:tr>
    </w:tbl>
    <w:p>
      <w:pPr>
        <w:spacing w:before="160" w:after="160"/>
      </w:pPr>
      <w:r>
        <w:rPr>
          <w:rFonts w:ascii="Arial" w:hAnsi="Arial"/>
          <w:b w:val="0"/>
          <w:i/>
          <w:color w:val="595959"/>
          <w:sz w:val="19"/>
        </w:rPr>
        <w:t>The following list identifies common coverage areas for your consideration. Please review with your NBAIS producer to determine which lines are recommended, currently insured, or not applicable to your operation.</w:t>
      </w:r>
    </w:p>
    <w:p>
      <w:pPr>
        <w:spacing w:before="280" w:after="0"/>
        <w:pBdr>
          <w:bottom w:val="single" w:sz="8" w:space="4" w:color="CCCCCC"/>
        </w:pBdr>
        <w:outlineLvl w:val="9"/>
      </w:pPr>
      <w:r>
        <w:rPr>
          <w:rFonts w:ascii="Arial" w:hAnsi="Arial"/>
          <w:b/>
          <w:i w:val="0"/>
          <w:color w:val="1F3864"/>
          <w:sz w:val="24"/>
        </w:rPr>
        <w:t>Commercial Lines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Property Coverages</w:t>
            </w:r>
          </w:p>
          <w:p>
            <w:pPr>
              <w:spacing w:before="40" w:after="40"/>
              <w:ind w:left="200"/>
            </w:pPr>
            <w:r>
              <w:rPr>
                <w:rFonts w:ascii="Arial" w:hAnsi="Arial"/>
                <w:b w:val="0"/>
                <w:i w:val="0"/>
                <w:color w:val="595959"/>
                <w:sz w:val="18"/>
              </w:rPr>
              <w:t>•  Building / Business Personal Property</w:t>
            </w:r>
          </w:p>
          <w:p>
            <w:pPr>
              <w:spacing w:before="40" w:after="40"/>
              <w:ind w:left="200"/>
            </w:pPr>
            <w:r>
              <w:rPr>
                <w:rFonts w:ascii="Arial" w:hAnsi="Arial"/>
                <w:b w:val="0"/>
                <w:i w:val="0"/>
                <w:color w:val="595959"/>
                <w:sz w:val="18"/>
              </w:rPr>
              <w:t>•  Business Income &amp; Extra Expense</w:t>
            </w:r>
          </w:p>
          <w:p>
            <w:pPr>
              <w:spacing w:before="40" w:after="40"/>
              <w:ind w:left="200"/>
            </w:pPr>
            <w:r>
              <w:rPr>
                <w:rFonts w:ascii="Arial" w:hAnsi="Arial"/>
                <w:b w:val="0"/>
                <w:i w:val="0"/>
                <w:color w:val="595959"/>
                <w:sz w:val="18"/>
              </w:rPr>
              <w:t>•  Equipment Breakdown</w:t>
            </w:r>
          </w:p>
          <w:p>
            <w:pPr>
              <w:spacing w:before="40" w:after="40"/>
              <w:ind w:left="200"/>
            </w:pPr>
            <w:r>
              <w:rPr>
                <w:rFonts w:ascii="Arial" w:hAnsi="Arial"/>
                <w:b w:val="0"/>
                <w:i w:val="0"/>
                <w:color w:val="595959"/>
                <w:sz w:val="18"/>
              </w:rPr>
              <w:t>•  Inland Marine / Contractors Equipment</w:t>
            </w:r>
          </w:p>
          <w:p>
            <w:pPr>
              <w:spacing w:before="40" w:after="40"/>
              <w:ind w:left="200"/>
            </w:pPr>
            <w:r>
              <w:rPr>
                <w:rFonts w:ascii="Arial" w:hAnsi="Arial"/>
                <w:b w:val="0"/>
                <w:i w:val="0"/>
                <w:color w:val="595959"/>
                <w:sz w:val="18"/>
              </w:rPr>
              <w:t>•  Installation Floater</w:t>
            </w:r>
          </w:p>
          <w:p>
            <w:pPr>
              <w:spacing w:before="40" w:after="40"/>
              <w:ind w:left="200"/>
            </w:pPr>
            <w:r>
              <w:rPr>
                <w:rFonts w:ascii="Arial" w:hAnsi="Arial"/>
                <w:b w:val="0"/>
                <w:i w:val="0"/>
                <w:color w:val="595959"/>
                <w:sz w:val="18"/>
              </w:rPr>
              <w:t>•  Builders Risk</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Liability Coverages</w:t>
            </w:r>
          </w:p>
          <w:p>
            <w:pPr>
              <w:spacing w:before="40" w:after="40"/>
              <w:ind w:left="200"/>
            </w:pPr>
            <w:r>
              <w:rPr>
                <w:rFonts w:ascii="Arial" w:hAnsi="Arial"/>
                <w:b w:val="0"/>
                <w:i w:val="0"/>
                <w:color w:val="595959"/>
                <w:sz w:val="18"/>
              </w:rPr>
              <w:t>•  Commercial General Liability</w:t>
            </w:r>
          </w:p>
          <w:p>
            <w:pPr>
              <w:spacing w:before="40" w:after="40"/>
              <w:ind w:left="200"/>
            </w:pPr>
            <w:r>
              <w:rPr>
                <w:rFonts w:ascii="Arial" w:hAnsi="Arial"/>
                <w:b w:val="0"/>
                <w:i w:val="0"/>
                <w:color w:val="595959"/>
                <w:sz w:val="18"/>
              </w:rPr>
              <w:t>•  Products &amp; Completed Operations</w:t>
            </w:r>
          </w:p>
          <w:p>
            <w:pPr>
              <w:spacing w:before="40" w:after="40"/>
              <w:ind w:left="200"/>
            </w:pPr>
            <w:r>
              <w:rPr>
                <w:rFonts w:ascii="Arial" w:hAnsi="Arial"/>
                <w:b w:val="0"/>
                <w:i w:val="0"/>
                <w:color w:val="595959"/>
                <w:sz w:val="18"/>
              </w:rPr>
              <w:t>•  Contractual Liability</w:t>
            </w:r>
          </w:p>
          <w:p>
            <w:pPr>
              <w:spacing w:before="40" w:after="40"/>
              <w:ind w:left="200"/>
            </w:pPr>
            <w:r>
              <w:rPr>
                <w:rFonts w:ascii="Arial" w:hAnsi="Arial"/>
                <w:b w:val="0"/>
                <w:i w:val="0"/>
                <w:color w:val="595959"/>
                <w:sz w:val="18"/>
              </w:rPr>
              <w:t>•  Personal &amp; Advertising Injury</w:t>
            </w:r>
          </w:p>
        </w:tc>
      </w:tr>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Cyber / Identity Theft / Crime</w:t>
            </w:r>
          </w:p>
          <w:p>
            <w:pPr>
              <w:spacing w:before="40" w:after="40"/>
              <w:ind w:left="200"/>
            </w:pPr>
            <w:r>
              <w:rPr>
                <w:rFonts w:ascii="Arial" w:hAnsi="Arial"/>
                <w:b w:val="0"/>
                <w:i w:val="0"/>
                <w:color w:val="595959"/>
                <w:sz w:val="18"/>
              </w:rPr>
              <w:t>•  Cyber Liability</w:t>
            </w:r>
          </w:p>
          <w:p>
            <w:pPr>
              <w:spacing w:before="40" w:after="40"/>
              <w:ind w:left="200"/>
            </w:pPr>
            <w:r>
              <w:rPr>
                <w:rFonts w:ascii="Arial" w:hAnsi="Arial"/>
                <w:b w:val="0"/>
                <w:i w:val="0"/>
                <w:color w:val="595959"/>
                <w:sz w:val="18"/>
              </w:rPr>
              <w:t>•  Data Breach / Privacy Liability</w:t>
            </w:r>
          </w:p>
          <w:p>
            <w:pPr>
              <w:spacing w:before="40" w:after="40"/>
              <w:ind w:left="200"/>
            </w:pPr>
            <w:r>
              <w:rPr>
                <w:rFonts w:ascii="Arial" w:hAnsi="Arial"/>
                <w:b w:val="0"/>
                <w:i w:val="0"/>
                <w:color w:val="595959"/>
                <w:sz w:val="18"/>
              </w:rPr>
              <w:t>•  Identity Theft Protection</w:t>
            </w:r>
          </w:p>
          <w:p>
            <w:pPr>
              <w:spacing w:before="40" w:after="40"/>
              <w:ind w:left="200"/>
            </w:pPr>
            <w:r>
              <w:rPr>
                <w:rFonts w:ascii="Arial" w:hAnsi="Arial"/>
                <w:b w:val="0"/>
                <w:i w:val="0"/>
                <w:color w:val="595959"/>
                <w:sz w:val="18"/>
              </w:rPr>
              <w:t>•  Commercial Crime / Employee Dishonesty</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Automobile Coverage</w:t>
            </w:r>
          </w:p>
          <w:p>
            <w:pPr>
              <w:spacing w:before="40" w:after="40"/>
              <w:ind w:left="200"/>
            </w:pPr>
            <w:r>
              <w:rPr>
                <w:rFonts w:ascii="Arial" w:hAnsi="Arial"/>
                <w:b w:val="0"/>
                <w:i w:val="0"/>
                <w:color w:val="595959"/>
                <w:sz w:val="18"/>
              </w:rPr>
              <w:t>•  Commercial Auto Liability</w:t>
            </w:r>
          </w:p>
          <w:p>
            <w:pPr>
              <w:spacing w:before="40" w:after="40"/>
              <w:ind w:left="200"/>
            </w:pPr>
            <w:r>
              <w:rPr>
                <w:rFonts w:ascii="Arial" w:hAnsi="Arial"/>
                <w:b w:val="0"/>
                <w:i w:val="0"/>
                <w:color w:val="595959"/>
                <w:sz w:val="18"/>
              </w:rPr>
              <w:t>•  Physical Damage (Comp &amp; Collision)</w:t>
            </w:r>
          </w:p>
          <w:p>
            <w:pPr>
              <w:spacing w:before="40" w:after="40"/>
              <w:ind w:left="200"/>
            </w:pPr>
            <w:r>
              <w:rPr>
                <w:rFonts w:ascii="Arial" w:hAnsi="Arial"/>
                <w:b w:val="0"/>
                <w:i w:val="0"/>
                <w:color w:val="595959"/>
                <w:sz w:val="18"/>
              </w:rPr>
              <w:t>•  Hired &amp; Non-Owned Auto</w:t>
            </w:r>
          </w:p>
          <w:p>
            <w:pPr>
              <w:spacing w:before="40" w:after="40"/>
              <w:ind w:left="200"/>
            </w:pPr>
            <w:r>
              <w:rPr>
                <w:rFonts w:ascii="Arial" w:hAnsi="Arial"/>
                <w:b w:val="0"/>
                <w:i w:val="0"/>
                <w:color w:val="595959"/>
                <w:sz w:val="18"/>
              </w:rPr>
              <w:t>•  Motor Truck Cargo</w:t>
            </w:r>
          </w:p>
        </w:tc>
      </w:tr>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Workers’ Compensation Coverages</w:t>
            </w:r>
          </w:p>
          <w:p>
            <w:pPr>
              <w:spacing w:before="40" w:after="40"/>
              <w:ind w:left="200"/>
            </w:pPr>
            <w:r>
              <w:rPr>
                <w:rFonts w:ascii="Arial" w:hAnsi="Arial"/>
                <w:b w:val="0"/>
                <w:i w:val="0"/>
                <w:color w:val="595959"/>
                <w:sz w:val="18"/>
              </w:rPr>
              <w:t>•  Workers’ Compensation — Statutory</w:t>
            </w:r>
          </w:p>
          <w:p>
            <w:pPr>
              <w:spacing w:before="40" w:after="40"/>
              <w:ind w:left="200"/>
            </w:pPr>
            <w:r>
              <w:rPr>
                <w:rFonts w:ascii="Arial" w:hAnsi="Arial"/>
                <w:b w:val="0"/>
                <w:i w:val="0"/>
                <w:color w:val="595959"/>
                <w:sz w:val="18"/>
              </w:rPr>
              <w:t>•  Employers’ Liability</w:t>
            </w:r>
          </w:p>
          <w:p>
            <w:pPr>
              <w:spacing w:before="40" w:after="40"/>
              <w:ind w:left="200"/>
            </w:pPr>
            <w:r>
              <w:rPr>
                <w:rFonts w:ascii="Arial" w:hAnsi="Arial"/>
                <w:b w:val="0"/>
                <w:i w:val="0"/>
                <w:color w:val="595959"/>
                <w:sz w:val="18"/>
              </w:rPr>
              <w:t>•  Stop Gap / Employers Liability (Monopolistic States)</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Umbrella / Excess Liability</w:t>
            </w:r>
          </w:p>
          <w:p>
            <w:pPr>
              <w:spacing w:before="40" w:after="40"/>
              <w:ind w:left="200"/>
            </w:pPr>
            <w:r>
              <w:rPr>
                <w:rFonts w:ascii="Arial" w:hAnsi="Arial"/>
                <w:b w:val="0"/>
                <w:i w:val="0"/>
                <w:color w:val="595959"/>
                <w:sz w:val="18"/>
              </w:rPr>
              <w:t>•  Commercial Umbrella</w:t>
            </w:r>
          </w:p>
          <w:p>
            <w:pPr>
              <w:spacing w:before="40" w:after="40"/>
              <w:ind w:left="200"/>
            </w:pPr>
            <w:r>
              <w:rPr>
                <w:rFonts w:ascii="Arial" w:hAnsi="Arial"/>
                <w:b w:val="0"/>
                <w:i w:val="0"/>
                <w:color w:val="595959"/>
                <w:sz w:val="18"/>
              </w:rPr>
              <w:t>•  Excess Liability</w:t>
            </w:r>
          </w:p>
        </w:tc>
      </w:tr>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Directors &amp; Officers / EPL / Fiduciary</w:t>
            </w:r>
          </w:p>
          <w:p>
            <w:pPr>
              <w:spacing w:before="40" w:after="40"/>
              <w:ind w:left="200"/>
            </w:pPr>
            <w:r>
              <w:rPr>
                <w:rFonts w:ascii="Arial" w:hAnsi="Arial"/>
                <w:b w:val="0"/>
                <w:i w:val="0"/>
                <w:color w:val="595959"/>
                <w:sz w:val="18"/>
              </w:rPr>
              <w:t>•  Directors &amp; Officers Liability</w:t>
            </w:r>
          </w:p>
          <w:p>
            <w:pPr>
              <w:spacing w:before="40" w:after="40"/>
              <w:ind w:left="200"/>
            </w:pPr>
            <w:r>
              <w:rPr>
                <w:rFonts w:ascii="Arial" w:hAnsi="Arial"/>
                <w:b w:val="0"/>
                <w:i w:val="0"/>
                <w:color w:val="595959"/>
                <w:sz w:val="18"/>
              </w:rPr>
              <w:t>•  Employment Practices Liability (EPLI)</w:t>
            </w:r>
          </w:p>
          <w:p>
            <w:pPr>
              <w:spacing w:before="40" w:after="40"/>
              <w:ind w:left="200"/>
            </w:pPr>
            <w:r>
              <w:rPr>
                <w:rFonts w:ascii="Arial" w:hAnsi="Arial"/>
                <w:b w:val="0"/>
                <w:i w:val="0"/>
                <w:color w:val="595959"/>
                <w:sz w:val="18"/>
              </w:rPr>
              <w:t>•  Fiduciary Liability</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Errors &amp; Omissions / Professional</w:t>
            </w:r>
          </w:p>
          <w:p>
            <w:pPr>
              <w:spacing w:before="40" w:after="40"/>
              <w:ind w:left="200"/>
            </w:pPr>
            <w:r>
              <w:rPr>
                <w:rFonts w:ascii="Arial" w:hAnsi="Arial"/>
                <w:b w:val="0"/>
                <w:i w:val="0"/>
                <w:color w:val="595959"/>
                <w:sz w:val="18"/>
              </w:rPr>
              <w:t>•  Professional Liability / E&amp;O</w:t>
            </w:r>
          </w:p>
          <w:p>
            <w:pPr>
              <w:spacing w:before="40" w:after="40"/>
              <w:ind w:left="200"/>
            </w:pPr>
            <w:r>
              <w:rPr>
                <w:rFonts w:ascii="Arial" w:hAnsi="Arial"/>
                <w:b w:val="0"/>
                <w:i w:val="0"/>
                <w:color w:val="595959"/>
                <w:sz w:val="18"/>
              </w:rPr>
              <w:t>•  Contractors Professional Liability</w:t>
            </w:r>
          </w:p>
          <w:p>
            <w:pPr>
              <w:spacing w:before="40" w:after="40"/>
              <w:ind w:left="200"/>
            </w:pPr>
            <w:r>
              <w:rPr>
                <w:rFonts w:ascii="Arial" w:hAnsi="Arial"/>
                <w:b w:val="0"/>
                <w:i w:val="0"/>
                <w:color w:val="595959"/>
                <w:sz w:val="18"/>
              </w:rPr>
              <w:t>•  Design-Build Professional Liability</w:t>
            </w:r>
          </w:p>
        </w:tc>
      </w:tr>
    </w:tbl>
    <w:p>
      <w:pPr>
        <w:sectPr>
          <w:footerReference w:type="default" r:id="rId18"/>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6"/>
              </w:rPr>
              <w:t>Coverage Recommendations (continued)</w:t>
            </w:r>
          </w:p>
        </w:tc>
      </w:tr>
    </w:tbl>
    <w:p>
      <w:pPr>
        <w:spacing w:before="280" w:after="0"/>
        <w:pBdr>
          <w:bottom w:val="single" w:sz="8" w:space="4" w:color="CCCCCC"/>
        </w:pBdr>
        <w:outlineLvl w:val="9"/>
      </w:pPr>
      <w:r>
        <w:rPr>
          <w:rFonts w:ascii="Arial" w:hAnsi="Arial"/>
          <w:b/>
          <w:i w:val="0"/>
          <w:color w:val="1F3864"/>
          <w:sz w:val="24"/>
        </w:rPr>
        <w:t>Commercial Lines (continued)</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Wind / Hail, Earthquake, Flood</w:t>
            </w:r>
          </w:p>
          <w:p>
            <w:pPr>
              <w:spacing w:before="40" w:after="40"/>
              <w:ind w:left="200"/>
            </w:pPr>
            <w:r>
              <w:rPr>
                <w:rFonts w:ascii="Arial" w:hAnsi="Arial"/>
                <w:b w:val="0"/>
                <w:i w:val="0"/>
                <w:color w:val="595959"/>
                <w:sz w:val="18"/>
              </w:rPr>
              <w:t>•  Wind &amp; Hail Coverage</w:t>
            </w:r>
          </w:p>
          <w:p>
            <w:pPr>
              <w:spacing w:before="40" w:after="40"/>
              <w:ind w:left="200"/>
            </w:pPr>
            <w:r>
              <w:rPr>
                <w:rFonts w:ascii="Arial" w:hAnsi="Arial"/>
                <w:b w:val="0"/>
                <w:i w:val="0"/>
                <w:color w:val="595959"/>
                <w:sz w:val="18"/>
              </w:rPr>
              <w:t>•  Earthquake Coverage</w:t>
            </w:r>
          </w:p>
          <w:p>
            <w:pPr>
              <w:spacing w:before="40" w:after="40"/>
              <w:ind w:left="200"/>
            </w:pPr>
            <w:r>
              <w:rPr>
                <w:rFonts w:ascii="Arial" w:hAnsi="Arial"/>
                <w:b w:val="0"/>
                <w:i w:val="0"/>
                <w:color w:val="595959"/>
                <w:sz w:val="18"/>
              </w:rPr>
              <w:t>•  Flood Coverage (NFIP or Private)</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Foreign Coverages</w:t>
            </w:r>
          </w:p>
          <w:p>
            <w:pPr>
              <w:spacing w:before="40" w:after="40"/>
              <w:ind w:left="200"/>
            </w:pPr>
            <w:r>
              <w:rPr>
                <w:rFonts w:ascii="Arial" w:hAnsi="Arial"/>
                <w:b w:val="0"/>
                <w:i w:val="0"/>
                <w:color w:val="595959"/>
                <w:sz w:val="18"/>
              </w:rPr>
              <w:t>•  Foreign Voluntary Workers’ Compensation</w:t>
            </w:r>
          </w:p>
          <w:p>
            <w:pPr>
              <w:spacing w:before="40" w:after="40"/>
              <w:ind w:left="200"/>
            </w:pPr>
            <w:r>
              <w:rPr>
                <w:rFonts w:ascii="Arial" w:hAnsi="Arial"/>
                <w:b w:val="0"/>
                <w:i w:val="0"/>
                <w:color w:val="595959"/>
                <w:sz w:val="18"/>
              </w:rPr>
              <w:t>•  Foreign General Liability</w:t>
            </w:r>
          </w:p>
          <w:p>
            <w:pPr>
              <w:spacing w:before="40" w:after="40"/>
              <w:ind w:left="200"/>
            </w:pPr>
            <w:r>
              <w:rPr>
                <w:rFonts w:ascii="Arial" w:hAnsi="Arial"/>
                <w:b w:val="0"/>
                <w:i w:val="0"/>
                <w:color w:val="595959"/>
                <w:sz w:val="18"/>
              </w:rPr>
              <w:t>•  Foreign Auto</w:t>
            </w:r>
          </w:p>
          <w:p>
            <w:pPr>
              <w:spacing w:before="40" w:after="40"/>
              <w:ind w:left="200"/>
            </w:pPr>
            <w:r>
              <w:rPr>
                <w:rFonts w:ascii="Arial" w:hAnsi="Arial"/>
                <w:b w:val="0"/>
                <w:i w:val="0"/>
                <w:color w:val="595959"/>
                <w:sz w:val="18"/>
              </w:rPr>
              <w:t>•  Foreign Package Policy</w:t>
            </w:r>
          </w:p>
        </w:tc>
      </w:tr>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Pollution Liability</w:t>
            </w:r>
          </w:p>
          <w:p>
            <w:pPr>
              <w:spacing w:before="40" w:after="40"/>
              <w:ind w:left="200"/>
            </w:pPr>
            <w:r>
              <w:rPr>
                <w:rFonts w:ascii="Arial" w:hAnsi="Arial"/>
                <w:b w:val="0"/>
                <w:i w:val="0"/>
                <w:color w:val="595959"/>
                <w:sz w:val="18"/>
              </w:rPr>
              <w:t>•  Contractors Pollution Liability</w:t>
            </w:r>
          </w:p>
          <w:p>
            <w:pPr>
              <w:spacing w:before="40" w:after="40"/>
              <w:ind w:left="200"/>
            </w:pPr>
            <w:r>
              <w:rPr>
                <w:rFonts w:ascii="Arial" w:hAnsi="Arial"/>
                <w:b w:val="0"/>
                <w:i w:val="0"/>
                <w:color w:val="595959"/>
                <w:sz w:val="18"/>
              </w:rPr>
              <w:t>•  Environmental Impairment Liability</w:t>
            </w:r>
          </w:p>
          <w:p>
            <w:pPr>
              <w:spacing w:before="40" w:after="40"/>
              <w:ind w:left="200"/>
            </w:pPr>
            <w:r>
              <w:rPr>
                <w:rFonts w:ascii="Arial" w:hAnsi="Arial"/>
                <w:b w:val="0"/>
                <w:i w:val="0"/>
                <w:color w:val="595959"/>
                <w:sz w:val="18"/>
              </w:rPr>
              <w:t>•  Site Pollution Legal Liability</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tc>
      </w:tr>
    </w:tbl>
    <w:p>
      <w:pPr>
        <w:spacing w:before="280" w:after="0"/>
        <w:pBdr>
          <w:bottom w:val="single" w:sz="8" w:space="4" w:color="CCCCCC"/>
        </w:pBdr>
        <w:outlineLvl w:val="9"/>
      </w:pPr>
      <w:r>
        <w:rPr>
          <w:rFonts w:ascii="Arial" w:hAnsi="Arial"/>
          <w:b/>
          <w:i w:val="0"/>
          <w:color w:val="1F3864"/>
          <w:sz w:val="24"/>
        </w:rPr>
        <w:t>Personal Lines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Personal Insurance</w:t>
            </w:r>
          </w:p>
          <w:p>
            <w:pPr>
              <w:spacing w:before="40" w:after="40"/>
              <w:ind w:left="200"/>
            </w:pPr>
            <w:r>
              <w:rPr>
                <w:rFonts w:ascii="Arial" w:hAnsi="Arial"/>
                <w:b w:val="0"/>
                <w:i w:val="0"/>
                <w:color w:val="595959"/>
                <w:sz w:val="18"/>
              </w:rPr>
              <w:t>•  Automobile</w:t>
            </w:r>
          </w:p>
          <w:p>
            <w:pPr>
              <w:spacing w:before="40" w:after="40"/>
              <w:ind w:left="200"/>
            </w:pPr>
            <w:r>
              <w:rPr>
                <w:rFonts w:ascii="Arial" w:hAnsi="Arial"/>
                <w:b w:val="0"/>
                <w:i w:val="0"/>
                <w:color w:val="595959"/>
                <w:sz w:val="18"/>
              </w:rPr>
              <w:t>•  Home / Homeowners</w:t>
            </w:r>
          </w:p>
          <w:p>
            <w:pPr>
              <w:spacing w:before="40" w:after="40"/>
              <w:ind w:left="200"/>
            </w:pPr>
            <w:r>
              <w:rPr>
                <w:rFonts w:ascii="Arial" w:hAnsi="Arial"/>
                <w:b w:val="0"/>
                <w:i w:val="0"/>
                <w:color w:val="595959"/>
                <w:sz w:val="18"/>
              </w:rPr>
              <w:t>•  Flood / Earthquake</w:t>
            </w:r>
          </w:p>
          <w:p>
            <w:pPr>
              <w:spacing w:before="40" w:after="40"/>
              <w:ind w:left="200"/>
            </w:pPr>
            <w:r>
              <w:rPr>
                <w:rFonts w:ascii="Arial" w:hAnsi="Arial"/>
                <w:b w:val="0"/>
                <w:i w:val="0"/>
                <w:color w:val="595959"/>
                <w:sz w:val="18"/>
              </w:rPr>
              <w:t>•  Personal Umbrella</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560" w:after="40"/>
              <w:ind w:left="200"/>
            </w:pPr>
            <w:r>
              <w:rPr>
                <w:rFonts w:ascii="Arial" w:hAnsi="Arial"/>
                <w:b w:val="0"/>
                <w:i w:val="0"/>
                <w:color w:val="595959"/>
                <w:sz w:val="18"/>
              </w:rPr>
              <w:t>•  Farm &amp; Ranch</w:t>
            </w:r>
          </w:p>
          <w:p>
            <w:pPr>
              <w:spacing w:before="40" w:after="40"/>
              <w:ind w:left="200"/>
            </w:pPr>
            <w:r>
              <w:rPr>
                <w:rFonts w:ascii="Arial" w:hAnsi="Arial"/>
                <w:b w:val="0"/>
                <w:i w:val="0"/>
                <w:color w:val="595959"/>
                <w:sz w:val="18"/>
              </w:rPr>
              <w:t>•  Watercraft / Recreational Vehicles</w:t>
            </w:r>
          </w:p>
          <w:p>
            <w:pPr>
              <w:spacing w:before="40" w:after="40"/>
              <w:ind w:left="200"/>
            </w:pPr>
            <w:r>
              <w:rPr>
                <w:rFonts w:ascii="Arial" w:hAnsi="Arial"/>
                <w:b w:val="0"/>
                <w:i w:val="0"/>
                <w:color w:val="595959"/>
                <w:sz w:val="18"/>
              </w:rPr>
              <w:t>•  Personal Articles Floater</w:t>
            </w:r>
          </w:p>
        </w:tc>
      </w:tr>
    </w:tbl>
    <w:p>
      <w:pPr>
        <w:spacing w:before="280" w:after="0"/>
        <w:pBdr>
          <w:bottom w:val="single" w:sz="8" w:space="4" w:color="CCCCCC"/>
        </w:pBdr>
        <w:outlineLvl w:val="9"/>
      </w:pPr>
      <w:r>
        <w:rPr>
          <w:rFonts w:ascii="Arial" w:hAnsi="Arial"/>
          <w:b/>
          <w:i w:val="0"/>
          <w:color w:val="1F3864"/>
          <w:sz w:val="24"/>
        </w:rPr>
        <w:t>Bond Recommendations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Surety &amp; Bonds</w:t>
            </w:r>
          </w:p>
          <w:p>
            <w:pPr>
              <w:spacing w:before="40" w:after="40"/>
              <w:ind w:left="200"/>
            </w:pPr>
            <w:r>
              <w:rPr>
                <w:rFonts w:ascii="Arial" w:hAnsi="Arial"/>
                <w:b w:val="0"/>
                <w:i w:val="0"/>
                <w:color w:val="595959"/>
                <w:sz w:val="18"/>
              </w:rPr>
              <w:t>•  Contract Bond</w:t>
            </w:r>
          </w:p>
          <w:p>
            <w:pPr>
              <w:spacing w:before="40" w:after="40"/>
              <w:ind w:left="200"/>
            </w:pPr>
            <w:r>
              <w:rPr>
                <w:rFonts w:ascii="Arial" w:hAnsi="Arial"/>
                <w:b w:val="0"/>
                <w:i w:val="0"/>
                <w:color w:val="595959"/>
                <w:sz w:val="18"/>
              </w:rPr>
              <w:t>•  Court Bond</w:t>
            </w:r>
          </w:p>
          <w:p>
            <w:pPr>
              <w:spacing w:before="40" w:after="40"/>
              <w:ind w:left="200"/>
            </w:pPr>
            <w:r>
              <w:rPr>
                <w:rFonts w:ascii="Arial" w:hAnsi="Arial"/>
                <w:b w:val="0"/>
                <w:i w:val="0"/>
                <w:color w:val="595959"/>
                <w:sz w:val="18"/>
              </w:rPr>
              <w:t>•  Fidelity Bond</w:t>
            </w:r>
          </w:p>
          <w:p>
            <w:pPr>
              <w:spacing w:before="40" w:after="40"/>
              <w:ind w:left="200"/>
            </w:pPr>
            <w:r>
              <w:rPr>
                <w:rFonts w:ascii="Arial" w:hAnsi="Arial"/>
                <w:b w:val="0"/>
                <w:i w:val="0"/>
                <w:color w:val="595959"/>
                <w:sz w:val="18"/>
              </w:rPr>
              <w:t>•  Financial Institution Bond</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560" w:after="40"/>
              <w:ind w:left="200"/>
            </w:pPr>
            <w:r>
              <w:rPr>
                <w:rFonts w:ascii="Arial" w:hAnsi="Arial"/>
                <w:b w:val="0"/>
                <w:i w:val="0"/>
                <w:color w:val="595959"/>
                <w:sz w:val="18"/>
              </w:rPr>
              <w:t>•  License &amp; Permit Bond</w:t>
            </w:r>
          </w:p>
          <w:p>
            <w:pPr>
              <w:spacing w:before="40" w:after="40"/>
              <w:ind w:left="200"/>
            </w:pPr>
            <w:r>
              <w:rPr>
                <w:rFonts w:ascii="Arial" w:hAnsi="Arial"/>
                <w:b w:val="0"/>
                <w:i w:val="0"/>
                <w:color w:val="595959"/>
                <w:sz w:val="18"/>
              </w:rPr>
              <w:t>•  Probate Bond</w:t>
            </w:r>
          </w:p>
          <w:p>
            <w:pPr>
              <w:spacing w:before="40" w:after="40"/>
              <w:ind w:left="200"/>
            </w:pPr>
            <w:r>
              <w:rPr>
                <w:rFonts w:ascii="Arial" w:hAnsi="Arial"/>
                <w:b w:val="0"/>
                <w:i w:val="0"/>
                <w:color w:val="595959"/>
                <w:sz w:val="18"/>
              </w:rPr>
              <w:t>•  Public Official Bond</w:t>
            </w:r>
          </w:p>
          <w:p>
            <w:pPr>
              <w:spacing w:before="40" w:after="40"/>
              <w:ind w:left="200"/>
            </w:pPr>
            <w:r>
              <w:rPr>
                <w:rFonts w:ascii="Arial" w:hAnsi="Arial"/>
                <w:b w:val="0"/>
                <w:i w:val="0"/>
                <w:color w:val="595959"/>
                <w:sz w:val="18"/>
              </w:rPr>
              <w:t>•  Surety Bond</w:t>
            </w:r>
          </w:p>
        </w:tc>
      </w:tr>
    </w:tbl>
    <w:p>
      <w:pPr>
        <w:sectPr>
          <w:footerReference w:type="default" r:id="rId19"/>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8"/>
              </w:rPr>
              <w:t>Employee Benefits Recommendations</w:t>
            </w:r>
          </w:p>
        </w:tc>
      </w:tr>
    </w:tbl>
    <w:p>
      <w:pPr>
        <w:spacing w:before="160" w:after="160"/>
        <w:jc w:val="left"/>
      </w:pPr>
      <w:r>
        <w:rPr>
          <w:rFonts w:ascii="Arial" w:hAnsi="Arial"/>
          <w:b w:val="0"/>
          <w:i/>
          <w:color w:val="595959"/>
          <w:sz w:val="19"/>
        </w:rPr>
        <w:t>Group benefits, life planning, and retirement plan services available through NBAIS for member consideration.</w:t>
      </w:r>
    </w:p>
    <w:p>
      <w:pPr>
        <w:spacing w:before="280" w:after="0"/>
        <w:pBdr>
          <w:bottom w:val="single" w:sz="8" w:space="4" w:color="CCCCCC"/>
        </w:pBdr>
        <w:outlineLvl w:val="9"/>
      </w:pPr>
      <w:r>
        <w:rPr>
          <w:rFonts w:ascii="Arial" w:hAnsi="Arial"/>
          <w:b/>
          <w:i w:val="0"/>
          <w:color w:val="1F3864"/>
          <w:sz w:val="24"/>
        </w:rPr>
        <w:t>Group Benefits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Health &amp; Welfare</w:t>
            </w:r>
          </w:p>
          <w:p>
            <w:pPr>
              <w:spacing w:before="40" w:after="40"/>
              <w:ind w:left="200"/>
            </w:pPr>
            <w:r>
              <w:rPr>
                <w:rFonts w:ascii="Arial" w:hAnsi="Arial"/>
                <w:b w:val="0"/>
                <w:i w:val="0"/>
                <w:color w:val="595959"/>
                <w:sz w:val="18"/>
              </w:rPr>
              <w:t>•  HR Solutions</w:t>
            </w:r>
          </w:p>
          <w:p>
            <w:pPr>
              <w:spacing w:before="40" w:after="40"/>
              <w:ind w:left="200"/>
            </w:pPr>
            <w:r>
              <w:rPr>
                <w:rFonts w:ascii="Arial" w:hAnsi="Arial"/>
                <w:b w:val="0"/>
                <w:i w:val="0"/>
                <w:color w:val="595959"/>
                <w:sz w:val="18"/>
              </w:rPr>
              <w:t>•  Group Medical</w:t>
            </w:r>
          </w:p>
          <w:p>
            <w:pPr>
              <w:spacing w:before="40" w:after="40"/>
              <w:ind w:left="200"/>
            </w:pPr>
            <w:r>
              <w:rPr>
                <w:rFonts w:ascii="Arial" w:hAnsi="Arial"/>
                <w:b w:val="0"/>
                <w:i w:val="0"/>
                <w:color w:val="595959"/>
                <w:sz w:val="18"/>
              </w:rPr>
              <w:t>•  Group Dental</w:t>
            </w:r>
          </w:p>
          <w:p>
            <w:pPr>
              <w:spacing w:before="40" w:after="40"/>
              <w:ind w:left="200"/>
            </w:pPr>
            <w:r>
              <w:rPr>
                <w:rFonts w:ascii="Arial" w:hAnsi="Arial"/>
                <w:b w:val="0"/>
                <w:i w:val="0"/>
                <w:color w:val="595959"/>
                <w:sz w:val="18"/>
              </w:rPr>
              <w:t>•  Vision</w:t>
            </w:r>
          </w:p>
          <w:p>
            <w:pPr>
              <w:spacing w:before="40" w:after="40"/>
              <w:ind w:left="200"/>
            </w:pPr>
            <w:r>
              <w:rPr>
                <w:rFonts w:ascii="Arial" w:hAnsi="Arial"/>
                <w:b w:val="0"/>
                <w:i w:val="0"/>
                <w:color w:val="595959"/>
                <w:sz w:val="18"/>
              </w:rPr>
              <w:t>•  Group Life and Accidental Death &amp; Dismemberment (AD&amp;D)</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Disability &amp; Supplemental</w:t>
            </w:r>
          </w:p>
          <w:p>
            <w:pPr>
              <w:spacing w:before="40" w:after="40"/>
              <w:ind w:left="200"/>
            </w:pPr>
            <w:r>
              <w:rPr>
                <w:rFonts w:ascii="Arial" w:hAnsi="Arial"/>
                <w:b w:val="0"/>
                <w:i w:val="0"/>
                <w:color w:val="595959"/>
                <w:sz w:val="18"/>
              </w:rPr>
              <w:t>•  Long Term Care</w:t>
            </w:r>
          </w:p>
          <w:p>
            <w:pPr>
              <w:spacing w:before="40" w:after="40"/>
              <w:ind w:left="200"/>
            </w:pPr>
            <w:r>
              <w:rPr>
                <w:rFonts w:ascii="Arial" w:hAnsi="Arial"/>
                <w:b w:val="0"/>
                <w:i w:val="0"/>
                <w:color w:val="595959"/>
                <w:sz w:val="18"/>
              </w:rPr>
              <w:t>•  Short Term Disability</w:t>
            </w:r>
          </w:p>
          <w:p>
            <w:pPr>
              <w:spacing w:before="40" w:after="40"/>
              <w:ind w:left="200"/>
            </w:pPr>
            <w:r>
              <w:rPr>
                <w:rFonts w:ascii="Arial" w:hAnsi="Arial"/>
                <w:b w:val="0"/>
                <w:i w:val="0"/>
                <w:color w:val="595959"/>
                <w:sz w:val="18"/>
              </w:rPr>
              <w:t>•  Section 125 Cafeteria Plans</w:t>
            </w:r>
          </w:p>
          <w:p>
            <w:pPr>
              <w:spacing w:before="40" w:after="40"/>
              <w:ind w:left="200"/>
            </w:pPr>
            <w:r>
              <w:rPr>
                <w:rFonts w:ascii="Arial" w:hAnsi="Arial"/>
                <w:b w:val="0"/>
                <w:i w:val="0"/>
                <w:color w:val="595959"/>
                <w:sz w:val="18"/>
              </w:rPr>
              <w:t>•  Individual Medical / Dental</w:t>
            </w:r>
          </w:p>
        </w:tc>
      </w:tr>
    </w:tbl>
    <w:p>
      <w:pPr>
        <w:spacing w:before="280" w:after="0"/>
        <w:pBdr>
          <w:bottom w:val="single" w:sz="8" w:space="4" w:color="CCCCCC"/>
        </w:pBdr>
        <w:outlineLvl w:val="9"/>
      </w:pPr>
      <w:r>
        <w:rPr>
          <w:rFonts w:ascii="Arial" w:hAnsi="Arial"/>
          <w:b/>
          <w:i w:val="0"/>
          <w:color w:val="1F3864"/>
          <w:sz w:val="24"/>
        </w:rPr>
        <w:t>Life Department</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40" w:after="40"/>
              <w:ind w:left="200"/>
            </w:pPr>
            <w:r>
              <w:rPr>
                <w:rFonts w:ascii="Arial" w:hAnsi="Arial"/>
                <w:b w:val="0"/>
                <w:i w:val="0"/>
                <w:color w:val="595959"/>
                <w:sz w:val="18"/>
              </w:rPr>
              <w:t>•  Business Planning</w:t>
            </w:r>
          </w:p>
          <w:p>
            <w:pPr>
              <w:spacing w:before="40" w:after="40"/>
              <w:ind w:left="200"/>
            </w:pPr>
            <w:r>
              <w:rPr>
                <w:rFonts w:ascii="Arial" w:hAnsi="Arial"/>
                <w:b w:val="0"/>
                <w:i w:val="0"/>
                <w:color w:val="595959"/>
                <w:sz w:val="18"/>
              </w:rPr>
              <w:t>•  Estate Planning</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tc>
      </w:tr>
    </w:tbl>
    <w:p>
      <w:pPr>
        <w:spacing w:before="280" w:after="0"/>
        <w:pBdr>
          <w:bottom w:val="single" w:sz="8" w:space="4" w:color="CCCCCC"/>
        </w:pBdr>
        <w:outlineLvl w:val="9"/>
      </w:pPr>
      <w:r>
        <w:rPr>
          <w:rFonts w:ascii="Arial" w:hAnsi="Arial"/>
          <w:b/>
          <w:i w:val="0"/>
          <w:color w:val="1F3864"/>
          <w:sz w:val="24"/>
        </w:rPr>
        <w:t>Retirement Plan Solutions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40" w:after="40"/>
              <w:ind w:left="200"/>
            </w:pPr>
            <w:r>
              <w:rPr>
                <w:rFonts w:ascii="Arial" w:hAnsi="Arial"/>
                <w:b w:val="0"/>
                <w:i w:val="0"/>
                <w:color w:val="595959"/>
                <w:sz w:val="18"/>
              </w:rPr>
              <w:t>•  Qualified Plans</w:t>
            </w:r>
          </w:p>
          <w:p>
            <w:pPr>
              <w:spacing w:before="40" w:after="40"/>
              <w:ind w:left="200"/>
            </w:pPr>
            <w:r>
              <w:rPr>
                <w:rFonts w:ascii="Arial" w:hAnsi="Arial"/>
                <w:b w:val="0"/>
                <w:i w:val="0"/>
                <w:color w:val="595959"/>
                <w:sz w:val="18"/>
              </w:rPr>
              <w:t>•  Non-Qualified Plans</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tc>
      </w:tr>
    </w:tbl>
    <w:p>
      <w:pPr>
        <w:spacing w:before="280" w:after="0"/>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c>
          <w:tcPr>
            <w:tcW w:type="dxa" w:w="9360"/>
            <w:shd w:val="clear" w:color="auto" w:fill="EBF3FF"/>
            <w:tcMar>
              <w:top w:w="120" w:type="dxa"/>
              <w:bottom w:w="120" w:type="dxa"/>
              <w:left w:w="160" w:type="dxa"/>
              <w:right w:w="120" w:type="dxa"/>
            </w:tcMar>
            <w:vAlign w:val="center"/>
            <w:tcBorders>
              <w:left w:val="single" w:sz="36" w:space="0" w:color="1F3864"/>
              <w:top w:val="none" w:sz="0" w:space="0" w:color="auto"/>
              <w:bottom w:val="none" w:sz="0" w:space="0" w:color="auto"/>
              <w:right w:val="none" w:sz="0" w:space="0" w:color="auto"/>
            </w:tcBorders>
          </w:tcPr>
          <w:p>
            <w:pPr>
              <w:spacing w:before="0" w:after="0"/>
            </w:pPr>
            <w:r>
              <w:rPr>
                <w:rFonts w:ascii="Arial" w:hAnsi="Arial"/>
                <w:b/>
                <w:i w:val="0"/>
                <w:color w:val="1F3864"/>
                <w:sz w:val="18"/>
              </w:rPr>
              <w:t xml:space="preserve">Discuss with your producer. </w:t>
            </w:r>
            <w:r>
              <w:rPr>
                <w:rFonts w:ascii="Arial" w:hAnsi="Arial"/>
                <w:b w:val="0"/>
                <w:i w:val="0"/>
                <w:color w:val="1F3864"/>
                <w:sz w:val="18"/>
              </w:rPr>
              <w:t>Your NBAIS producer can help you assess which of these coverage lines apply to your operation and identify any potential gaps in your current insurance program.</w:t>
            </w:r>
          </w:p>
        </w:tc>
      </w:tr>
    </w:tbl>
    <w:p>
      <w:pPr>
        <w:spacing w:before="80" w:after="0"/>
      </w:pPr>
    </w:p>
    <w:sectPr w:rsidR="00FC693F" w:rsidRPr="0006063C" w:rsidSect="00034616">
      <w:footerReference w:type="default" r:id="rId20"/>
      <w:pgSz w:w="12240" w:h="15840"/>
      <w:pgMar w:top="1440" w:right="1440" w:bottom="144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80"/>
      <w:jc w:val="center"/>
      <w:pBdr>
        <w:top w:val="single" w:sz="12" w:space="4" w:color="1F3864"/>
      </w:pBdr>
    </w:pPr>
    <w:r>
      <w:rPr>
        <w:rFonts w:ascii="Arial" w:hAnsi="Arial"/>
        <w:b w:val="0"/>
        <w:i/>
        <w:color w:val="595959"/>
        <w:sz w:val="17"/>
      </w:rPr>
      <w:t>CONFIDENTIAL — This proposal is intended solely for the use of the named insured and their authorized representatives.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 xml:space="preserve">NBAIS Workers’ Compensation Proposal · Integrity Roofing · Confidential</w:t>
    </w:r>
    <w:r>
      <w:tab/>
    </w:r>
    <w:r>
      <w:rPr>
        <w:rFonts w:ascii="Arial" w:hAnsi="Arial"/>
        <w:b w:val="0"/>
        <w:i w:val="0"/>
        <w:color w:val="595959"/>
        <w:sz w:val="15"/>
      </w:rPr>
      <w:t>Cover Letter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 xml:space="preserve">NBAIS Workers’ Compensation Proposal · Integrity Roofing · Confidential</w:t>
    </w:r>
    <w:r>
      <w:tab/>
    </w:r>
    <w:r>
      <w:rPr>
        <w:rFonts w:ascii="Arial" w:hAnsi="Arial"/>
        <w:b w:val="0"/>
        <w:i w:val="0"/>
        <w:color w:val="595959"/>
        <w:sz w:val="15"/>
      </w:rPr>
      <w:t>Premium Summary</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 xml:space="preserve">NBAIS Workers’ Compensation Proposal · Integrity Roofing · Confidential</w:t>
    </w:r>
    <w:r>
      <w:tab/>
    </w:r>
    <w:r>
      <w:rPr>
        <w:rFonts w:ascii="Arial" w:hAnsi="Arial"/>
        <w:b w:val="0"/>
        <w:i w:val="0"/>
        <w:color w:val="595959"/>
        <w:sz w:val="15"/>
      </w:rPr>
      <w:t>Policy Summary</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 xml:space="preserve">NBAIS Workers’ Compensation Proposal · Integrity Roofing · Confidential</w:t>
    </w:r>
    <w:r>
      <w:tab/>
    </w:r>
    <w:r>
      <w:rPr>
        <w:rFonts w:ascii="Arial" w:hAnsi="Arial"/>
        <w:b w:val="0"/>
        <w:i w:val="0"/>
        <w:color w:val="595959"/>
        <w:sz w:val="15"/>
      </w:rPr>
      <w:t>Policy Details</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 xml:space="preserve">NBAIS Workers’ Compensation Proposal · Integrity Roofing · Confidential</w:t>
    </w:r>
    <w:r>
      <w:tab/>
    </w:r>
    <w:r>
      <w:rPr>
        <w:rFonts w:ascii="Arial" w:hAnsi="Arial"/>
        <w:b w:val="0"/>
        <w:i w:val="0"/>
        <w:color w:val="595959"/>
        <w:sz w:val="15"/>
      </w:rPr>
      <w:t>Next Steps &amp; Authorization</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 xml:space="preserve">NBAIS Workers’ Compensation Proposal · Integrity Roofing · Confidential</w:t>
    </w:r>
    <w:r>
      <w:tab/>
    </w:r>
    <w:r>
      <w:rPr>
        <w:rFonts w:ascii="Arial" w:hAnsi="Arial"/>
        <w:b w:val="0"/>
        <w:i w:val="0"/>
        <w:color w:val="595959"/>
        <w:sz w:val="15"/>
      </w:rPr>
      <w:t>Coverage Recommendations (1 of 3)</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 xml:space="preserve">NBAIS Workers’ Compensation Proposal · Integrity Roofing · Confidential</w:t>
    </w:r>
    <w:r>
      <w:tab/>
    </w:r>
    <w:r>
      <w:rPr>
        <w:rFonts w:ascii="Arial" w:hAnsi="Arial"/>
        <w:b w:val="0"/>
        <w:i w:val="0"/>
        <w:color w:val="595959"/>
        <w:sz w:val="15"/>
      </w:rPr>
      <w:t>Coverage Recommendations (2 of 3)</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 xml:space="preserve">NBAIS Workers’ Compensation Proposal · Integrity Roofing · Confidential</w:t>
    </w:r>
    <w:r>
      <w:tab/>
    </w:r>
    <w:r>
      <w:rPr>
        <w:rFonts w:ascii="Arial" w:hAnsi="Arial"/>
        <w:b w:val="0"/>
        <w:i w:val="0"/>
        <w:color w:val="595959"/>
        <w:sz w:val="15"/>
      </w:rPr>
      <w:t>Coverage Recommendations (3 of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240" w:type="dxa"/>
    </w:tblPr>
    <w:tblGrid>
      <w:gridCol w:w="12240"/>
    </w:tblGrid>
    <w:tr>
      <w:trPr>
        <w:trHeight w:val="460" w:hRule="exact"/>
      </w:trPr>
      <w:tc>
        <w:tcPr>
          <w:tcW w:type="dxa" w:w="12240"/>
          <w:shd w:val="clear" w:color="auto" w:fill="1F3864"/>
          <w:tcMar>
            <w:top w:w="0" w:type="dxa"/>
            <w:bottom w:w="0" w:type="dxa"/>
            <w:left w:w="0" w:type="dxa"/>
            <w:right w:w="0" w:type="dxa"/>
          </w:tcMar>
          <w:vAlign w:val="top"/>
        </w:tcPr>
        <w:p>
          <w:pPr>
            <w:spacing w:before="0" w:after="0"/>
            <w:jc w:val="left"/>
          </w:pP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60"/>
      <w:pBdr>
        <w:bottom w:val="single" w:sz="4" w:space="4" w:color="AAAAAA"/>
      </w:pBdr>
      <w:tabs>
        <w:tab w:val="right" w:pos="9360"/>
      </w:tabs>
    </w:pPr>
    <w:r>
      <w:drawing>
        <wp:inline xmlns:a="http://schemas.openxmlformats.org/drawingml/2006/main" xmlns:pic="http://schemas.openxmlformats.org/drawingml/2006/picture">
          <wp:extent cx="1173113" cy="355600"/>
          <wp:docPr id="1" name="Picture 1"/>
          <wp:cNvGraphicFramePr>
            <a:graphicFrameLocks noChangeAspect="1"/>
          </wp:cNvGraphicFramePr>
          <a:graphic>
            <a:graphicData uri="http://schemas.openxmlformats.org/drawingml/2006/picture">
              <pic:pic>
                <pic:nvPicPr>
                  <pic:cNvPr id="0" name="logo_horizontal.png"/>
                  <pic:cNvPicPr/>
                </pic:nvPicPr>
                <pic:blipFill>
                  <a:blip r:embed="rId1"/>
                  <a:stretch>
                    <a:fillRect/>
                  </a:stretch>
                </pic:blipFill>
                <pic:spPr>
                  <a:xfrm>
                    <a:off x="0" y="0"/>
                    <a:ext cx="1173113" cy="355600"/>
                  </a:xfrm>
                  <a:prstGeom prst="rect"/>
                </pic:spPr>
              </pic:pic>
            </a:graphicData>
          </a:graphic>
        </wp:inline>
      </w:drawing>
    </w:r>
    <w:r>
      <w:tab/>
    </w:r>
    <w:r>
      <w:rPr>
        <w:rFonts w:ascii="Arial" w:hAnsi="Arial"/>
        <w:b w:val="0"/>
        <w:i/>
        <w:color w:val="595959"/>
        <w:sz w:val="18"/>
      </w:rPr>
      <w:t>Workers’ Compensation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