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4738"/>
      </w:tblGrid>
      <w:tr>
        <w:trPr>
          <w:trHeight w:val="460" w:hRule="exact"/>
        </w:trPr>
        <w:tc>
          <w:tcPr>
            <w:tcW w:type="dxa" w:w="14738"/>
            <w:shd w:val="clear" w:color="auto" w:fill="1F3864"/>
            <w:tcMar>
              <w:top w:w="0" w:type="dxa"/>
              <w:bottom w:w="0" w:type="dxa"/>
              <w:left w:w="0" w:type="dxa"/>
              <w:right w:w="0" w:type="dxa"/>
            </w:tcMar>
          </w:tcPr>
          <w:p>
            <w:pPr>
              <w:spacing w:before="0" w:after="0"/>
            </w:pPr>
          </w:p>
        </w:tc>
      </w:tr>
    </w:tbl>
    <w:p>
      <w:pPr>
        <w:spacing w:before="280" w:after="80"/>
        <w:ind w:left="792"/>
      </w:pPr>
      <w:r>
        <w:rPr>
          <w:rFonts w:ascii="Arial" w:hAnsi="Arial"/>
          <w:b w:val="0"/>
          <w:i/>
          <w:color w:val="595959"/>
          <w:sz w:val="18"/>
        </w:rPr>
        <w:t>Nevada Builders Alliance Insurance Solutions</w:t>
      </w:r>
    </w:p>
    <w:p>
      <w:pPr>
        <w:spacing w:before="400" w:after="400"/>
        <w:jc w:val="center"/>
      </w:pPr>
      <w:r>
        <w:rPr>
          <w:rFonts w:ascii="Arial" w:hAnsi="Arial"/>
          <w:b w:val="0"/>
          <w:i w:val="0"/>
          <w:color w:val="1F3864"/>
          <w:sz w:val="20"/>
        </w:rPr>
        <w:t>{@stackedLogoBase64}</w:t>
      </w:r>
    </w:p>
    <w:p>
      <w:pPr>
        <w:spacing w:before="240" w:after="160"/>
        <w:jc w:val="center"/>
      </w:pPr>
      <w:r>
        <w:rPr>
          <w:rFonts w:ascii="Arial" w:hAnsi="Arial"/>
          <w:b/>
          <w:i w:val="0"/>
          <w:color w:val="1F3864"/>
          <w:sz w:val="60"/>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7369"/>
        <w:gridCol w:w="7369"/>
      </w:tblGrid>
      <w:tr>
        <w:tc>
          <w:tcPr>
            <w:tcW w:type="dxa" w:w="7369"/>
            <w:tcW w:w="3729" w:type="dxa"/>
            <w:tcMar>
              <w:top w:w="40" w:type="dxa"/>
              <w:bottom w:w="40" w:type="dxa"/>
              <w:left w:w="80" w:type="dxa"/>
              <w:right w:w="60" w:type="dxa"/>
            </w:tcMar>
          </w:tcPr>
          <w:p>
            <w:pPr>
              <w:jc w:val="right"/>
            </w:pPr>
            <w:r>
              <w:rPr>
                <w:rFonts w:ascii="Arial" w:hAnsi="Arial"/>
                <w:b/>
                <w:i w:val="0"/>
                <w:color w:val="1F3864"/>
                <w:sz w:val="20"/>
              </w:rPr>
              <w:t>Prepared For</w:t>
            </w:r>
          </w:p>
        </w:tc>
        <w:tc>
          <w:tcPr>
            <w:tcW w:type="dxa" w:w="7369"/>
            <w:tcW w:w="6927" w:type="dxa"/>
            <w:tcMar>
              <w:top w:w="40" w:type="dxa"/>
              <w:bottom w:w="40" w:type="dxa"/>
              <w:left w:w="60" w:type="dxa"/>
              <w:right w:w="80" w:type="dxa"/>
            </w:tcMar>
          </w:tcPr>
          <w:p>
            <w:r>
              <w:rPr>
                <w:rFonts w:ascii="Arial" w:hAnsi="Arial"/>
                <w:b w:val="0"/>
                <w:i w:val="0"/>
                <w:color w:val="595959"/>
                <w:sz w:val="20"/>
              </w:rPr>
              <w:t>{memberName}</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Policy Period</w:t>
            </w:r>
          </w:p>
        </w:tc>
        <w:tc>
          <w:tcPr>
            <w:tcW w:type="dxa" w:w="7369"/>
            <w:tcW w:w="6927" w:type="dxa"/>
            <w:tcMar>
              <w:top w:w="40" w:type="dxa"/>
              <w:bottom w:w="40" w:type="dxa"/>
              <w:left w:w="60" w:type="dxa"/>
              <w:right w:w="80" w:type="dxa"/>
            </w:tcMar>
          </w:tcPr>
          <w:p>
            <w:r>
              <w:rPr>
                <w:rFonts w:ascii="Arial" w:hAnsi="Arial"/>
                <w:b w:val="0"/>
                <w:i w:val="0"/>
                <w:color w:val="595959"/>
                <w:sz w:val="20"/>
              </w:rPr>
              <w:t>{policyPeriod}</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Prepared By</w:t>
            </w:r>
          </w:p>
        </w:tc>
        <w:tc>
          <w:tcPr>
            <w:tcW w:type="dxa" w:w="7369"/>
            <w:tcW w:w="6927" w:type="dxa"/>
            <w:tcMar>
              <w:top w:w="40" w:type="dxa"/>
              <w:bottom w:w="40" w:type="dxa"/>
              <w:left w:w="60" w:type="dxa"/>
              <w:right w:w="80" w:type="dxa"/>
            </w:tcMar>
          </w:tcPr>
          <w:p>
            <w:r>
              <w:rPr>
                <w:rFonts w:ascii="Arial" w:hAnsi="Arial"/>
                <w:b w:val="0"/>
                <w:i w:val="0"/>
                <w:color w:val="595959"/>
                <w:sz w:val="20"/>
              </w:rPr>
              <w:t>Dianne Slater</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Date</w:t>
            </w:r>
          </w:p>
        </w:tc>
        <w:tc>
          <w:tcPr>
            <w:tcW w:type="dxa" w:w="7369"/>
            <w:tcW w:w="6927" w:type="dxa"/>
            <w:tcMar>
              <w:top w:w="40" w:type="dxa"/>
              <w:bottom w:w="40" w:type="dxa"/>
              <w:left w:w="60" w:type="dxa"/>
              <w:right w:w="80" w:type="dxa"/>
            </w:tcMar>
          </w:tcPr>
          <w:p>
            <w:r>
              <w:rPr>
                <w:rFonts w:ascii="Arial" w:hAnsi="Arial"/>
                <w:b w:val="0"/>
                <w:i w:val="0"/>
                <w:color w:val="595959"/>
                <w:sz w:val="20"/>
              </w:rPr>
              <w:t>{quoteDate}</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Program</w:t>
            </w:r>
          </w:p>
        </w:tc>
        <w:tc>
          <w:tcPr>
            <w:tcW w:type="dxa" w:w="7369"/>
            <w:tcW w:w="6927" w:type="dxa"/>
            <w:tcMar>
              <w:top w:w="40" w:type="dxa"/>
              <w:bottom w:w="40" w:type="dxa"/>
              <w:left w:w="60" w:type="dxa"/>
              <w:right w:w="80" w:type="dxa"/>
            </w:tcMar>
          </w:tcPr>
          <w:p>
            <w:r>
              <w:rPr>
                <w:rFonts w:ascii="Arial" w:hAnsi="Arial"/>
                <w:b w:val="0"/>
                <w:i w:val="0"/>
                <w:color w:val="595959"/>
                <w:sz w:val="20"/>
              </w:rPr>
              <w:t>Nevada Builders Alliance — NBAIS Member Program</w:t>
            </w:r>
          </w:p>
        </w:tc>
      </w:tr>
    </w:tbl>
    <w:p>
      <w:pPr>
        <w:spacing w:before="0" w:after="0"/>
      </w:pPr>
    </w:p>
    <w:p>
      <w:pPr>
        <w:spacing w:before="0" w:after="0"/>
      </w:pPr>
    </w:p>
    <w:p>
      <w:pPr>
        <w:spacing w:before="0" w:after="0"/>
      </w:pPr>
    </w:p>
    <w:p>
      <w:pPr>
        <w:spacing w:before="0" w:after="0"/>
      </w:pPr>
    </w:p>
    <w:p>
      <w:pPr>
        <w:spacing w:before="400" w:after="0"/>
        <w:jc w:val="center"/>
        <w:pBdr>
          <w:top w:val="single" w:sz="12" w:space="4" w:color="1F3864"/>
        </w:pBdr>
      </w:pPr>
      <w:r>
        <w:rPr>
          <w:rFonts w:ascii="Arial" w:hAnsi="Arial"/>
          <w:b w:val="0"/>
          <w:i/>
          <w:color w:val="595959"/>
          <w:sz w:val="17"/>
        </w:rPr>
        <w:t>Confidential — Prepared for the named member’s exclusive use</w:t>
      </w:r>
    </w:p>
    <w:p>
      <w:pPr>
        <w:sectPr>
          <w:headerReference w:type="first" r:id="rId9"/>
          <w:footerReference w:type="first" r:id="rId10"/>
          <w:pgSz w:w="17618" w:h="22800"/>
          <w:pgMar w:top="0" w:right="0" w:bottom="0" w:left="0" w:header="720" w:footer="720" w:gutter="0"/>
          <w:cols w:space="720"/>
          <w:titlePg/>
          <w:docGrid w:linePitch="360"/>
        </w:sectPr>
      </w:pPr>
    </w:p>
    <w:p>
      <w:pPr>
        <w:shd w:val="clear" w:color="auto" w:fill="1F3864"/>
        <w:spacing w:before="0" w:after="0"/>
        <w:ind w:left="280"/>
      </w:pPr>
      <w:r>
        <w:rPr>
          <w:rFonts w:ascii="Arial" w:hAnsi="Arial"/>
          <w:b/>
          <w:i w:val="0"/>
          <w:color w:val="FFFFFF"/>
          <w:sz w:val="28"/>
        </w:rPr>
        <w:t>Table of Contents</w:t>
      </w:r>
    </w:p>
    <w:p>
      <w:pPr>
        <w:spacing w:before="160" w:after="0"/>
      </w:pPr>
    </w:p>
    <w:p>
      <w:pPr>
        <w:spacing w:before="0" w:after="0"/>
      </w:pPr>
      <w:r>
        <w:fldChar w:fldCharType="begin"/>
        <w:instrText xml:space="preserve"> TOC \o "1-3" \h \z \u </w:instrText>
        <w:fldChar w:fldCharType="separate"/>
        <w:fldChar w:fldCharType="end"/>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ectPr>
          <w:headerReference w:type="default" r:id="rId11"/>
          <w:footerReference w:type="default" r:id="rId12"/>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Cover Letter</w:t>
      </w: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Solutions (NBAIS), we are pleased to present this Workers’ Compensation Insurance Proposal for your review. This proposal has been prepared specifically for your business based on the information provided and the Nevada Builders Alliance Member Program administered through NBAIS.</w:t>
      </w:r>
    </w:p>
    <w:p>
      <w:pPr>
        <w:spacing w:before="0" w:after="120"/>
        <w:jc w:val="left"/>
      </w:pPr>
      <w:r>
        <w:rPr>
          <w:rFonts w:ascii="Arial" w:hAnsi="Arial"/>
          <w:b w:val="0"/>
          <w:i w:val="0"/>
          <w:color w:val="595959"/>
          <w:sz w:val="20"/>
        </w:rPr>
        <w:t>The NBAIS Workers’ Compensation program is administered through the Builders Association of Western Nevada Self-Insured Group (BAWNSIG), a Nevada state-regulated self-insured group offering competitive rates and comprehensive coverage for member businesses.</w:t>
      </w:r>
    </w:p>
    <w:p>
      <w:pPr>
        <w:spacing w:before="240" w:after="120"/>
        <w:pBdr>
          <w:bottom w:val="single" w:sz="8" w:space="4" w:color="CCCCCC"/>
        </w:pBdr>
      </w:pPr>
      <w:r>
        <w:rPr>
          <w:rFonts w:ascii="Arial" w:hAnsi="Arial"/>
          <w:b/>
          <w:i w:val="0"/>
          <w:color w:val="1F3864"/>
          <w:sz w:val="22"/>
        </w:rPr>
        <w:t>Program highlights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Competitive rates designed for Nevada Builders Alliance members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Nevada statutory Workers’ Compensation coverage — Part I</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Employers’ Liability coverage — Part II, up to $1,000,000 per occurrence</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Program managed by Lusense, an experienced WC program administrator</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Secure online payment portal for convenient premium payment</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Your estimated Workers’ Compensation premium for the policy period.</w:t>
      </w:r>
    </w:p>
    <w:p>
      <w:pPr>
        <w:spacing w:before="40" w:after="40"/>
        <w:ind w:left="360"/>
      </w:pPr>
      <w:r>
        <w:rPr>
          <w:rFonts w:ascii="Arial" w:hAnsi="Arial"/>
          <w:b w:val="0"/>
          <w:i w:val="0"/>
          <w:color w:val="595959"/>
          <w:sz w:val="20"/>
        </w:rPr>
        <w:t xml:space="preserve">•  </w:t>
      </w:r>
      <w:r>
        <w:rPr>
          <w:rFonts w:ascii="Arial" w:hAnsi="Arial"/>
          <w:b/>
          <w:i w:val="0"/>
          <w:color w:val="595959"/>
          <w:sz w:val="20"/>
        </w:rPr>
        <w:t>Coverage Details</w:t>
      </w:r>
      <w:r>
        <w:rPr>
          <w:rFonts w:ascii="Arial" w:hAnsi="Arial"/>
          <w:b w:val="0"/>
          <w:i w:val="0"/>
          <w:color w:val="595959"/>
          <w:sz w:val="20"/>
        </w:rPr>
        <w:t xml:space="preserve"> — Policy terms, carrier information, coverage limits, and class schedule.</w:t>
      </w:r>
    </w:p>
    <w:p>
      <w:pPr>
        <w:spacing w:before="40" w:after="40"/>
        <w:ind w:left="360"/>
      </w:pPr>
      <w:r>
        <w:rPr>
          <w:rFonts w:ascii="Arial" w:hAnsi="Arial"/>
          <w:b w:val="0"/>
          <w:i w:val="0"/>
          <w:color w:val="595959"/>
          <w:sz w:val="20"/>
        </w:rPr>
        <w:t xml:space="preserve">•  </w:t>
      </w:r>
      <w:r>
        <w:rPr>
          <w:rFonts w:ascii="Arial" w:hAnsi="Arial"/>
          <w:b/>
          <w:i w:val="0"/>
          <w:color w:val="595959"/>
          <w:sz w:val="20"/>
        </w:rPr>
        <w:t>Next Steps &amp; Authorization</w:t>
      </w:r>
      <w:r>
        <w:rPr>
          <w:rFonts w:ascii="Arial" w:hAnsi="Arial"/>
          <w:b w:val="0"/>
          <w:i w:val="0"/>
          <w:color w:val="595959"/>
          <w:sz w:val="20"/>
        </w:rPr>
        <w:t xml:space="preserve"> — Instructions for binding coverage and member authorization.</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Additional insurance lines available through NBAIS.</w:t>
      </w:r>
    </w:p>
    <w:p>
      <w:pPr>
        <w:sectPr>
          <w:footerReference w:type="default" r:id="rId13"/>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Premium Summary</w:t>
      </w:r>
    </w:p>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16034"/>
            <w:gridSpan w:val="2"/>
            <w:shd w:val="clear" w:color="auto" w:fill="1F3864"/>
            <w:tcMar>
              <w:top w:w="80" w:type="dxa"/>
              <w:bottom w:w="80" w:type="dxa"/>
              <w:left w:w="100" w:type="dxa"/>
              <w:right w:w="80" w:type="dxa"/>
            </w:tcMar>
          </w:tcPr>
          <w:p>
            <w:r>
              <w:rPr>
                <w:rFonts w:ascii="Arial" w:hAnsi="Arial"/>
                <w:b/>
                <w:i w:val="0"/>
                <w:color w:val="FFFFFF"/>
                <w:sz w:val="22"/>
              </w:rPr>
              <w:t>Coverage at a Glance</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Insured</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{memberName}</w:t>
            </w:r>
          </w:p>
        </w:tc>
      </w:tr>
      <w:tr>
        <w:tc>
          <w:tcPr>
            <w:tcW w:type="dxa" w:w="8017"/>
            <w:tcW w:w="4049" w:type="dxa"/>
            <w:tcMar>
              <w:top w:w="60" w:type="dxa"/>
              <w:bottom w:w="60" w:type="dxa"/>
              <w:left w:w="80" w:type="dxa"/>
              <w:right w:w="60" w:type="dxa"/>
            </w:tcMar>
          </w:tcPr>
          <w:p>
            <w:r>
              <w:rPr>
                <w:rFonts w:ascii="Arial" w:hAnsi="Arial"/>
                <w:b/>
                <w:i w:val="0"/>
                <w:color w:val="1F3864"/>
                <w:sz w:val="20"/>
              </w:rPr>
              <w:t>Policy Period</w:t>
            </w:r>
          </w:p>
        </w:tc>
        <w:tc>
          <w:tcPr>
            <w:tcW w:type="dxa" w:w="8017"/>
            <w:tcW w:w="6607" w:type="dxa"/>
            <w:tcMar>
              <w:top w:w="60" w:type="dxa"/>
              <w:bottom w:w="60" w:type="dxa"/>
              <w:left w:w="80" w:type="dxa"/>
              <w:right w:w="60" w:type="dxa"/>
            </w:tcMar>
          </w:tcPr>
          <w:p>
            <w:r>
              <w:rPr>
                <w:rFonts w:ascii="Arial" w:hAnsi="Arial"/>
                <w:b w:val="0"/>
                <w:i w:val="0"/>
                <w:color w:val="595959"/>
                <w:sz w:val="20"/>
              </w:rPr>
              <w:t>{policyPeriod}</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Coverage</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Workers’ Compensation — Statutory (Nevada) / Employers’ Liability</w:t>
            </w:r>
          </w:p>
        </w:tc>
      </w:tr>
      <w:tr>
        <w:tc>
          <w:tcPr>
            <w:tcW w:type="dxa" w:w="8017"/>
            <w:tcW w:w="4049" w:type="dxa"/>
            <w:tcMar>
              <w:top w:w="60" w:type="dxa"/>
              <w:bottom w:w="60" w:type="dxa"/>
              <w:left w:w="80" w:type="dxa"/>
              <w:right w:w="60" w:type="dxa"/>
            </w:tcMar>
          </w:tcPr>
          <w:p>
            <w:r>
              <w:rPr>
                <w:rFonts w:ascii="Arial" w:hAnsi="Arial"/>
                <w:b/>
                <w:i w:val="0"/>
                <w:color w:val="1F3864"/>
                <w:sz w:val="20"/>
              </w:rPr>
              <w:t>Employers’ Liability Limits</w:t>
            </w:r>
          </w:p>
        </w:tc>
        <w:tc>
          <w:tcPr>
            <w:tcW w:type="dxa" w:w="8017"/>
            <w:tcW w:w="6607" w:type="dxa"/>
            <w:tcMar>
              <w:top w:w="60" w:type="dxa"/>
              <w:bottom w:w="60" w:type="dxa"/>
              <w:left w:w="80" w:type="dxa"/>
              <w:right w:w="60" w:type="dxa"/>
            </w:tcMar>
          </w:tcPr>
          <w:p>
            <w:r>
              <w:rPr>
                <w:rFonts w:ascii="Arial" w:hAnsi="Arial"/>
                <w:b w:val="0"/>
                <w:i w:val="0"/>
                <w:color w:val="595959"/>
                <w:sz w:val="20"/>
              </w:rPr>
              <w:t>$1,000,000 Each Accident / $1,000,000 Disease – Each Employee / $1,000,000 Disease – Policy Limit</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Program</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Nevada Builders Alliance — NBAIS Member Program</w:t>
            </w:r>
          </w:p>
        </w:tc>
      </w:tr>
      <w:tr>
        <w:tc>
          <w:tcPr>
            <w:tcW w:type="dxa" w:w="8017"/>
            <w:tcW w:w="4049" w:type="dxa"/>
            <w:tcMar>
              <w:top w:w="60" w:type="dxa"/>
              <w:bottom w:w="60" w:type="dxa"/>
              <w:left w:w="80" w:type="dxa"/>
              <w:right w:w="60" w:type="dxa"/>
            </w:tcMar>
          </w:tcPr>
          <w:p>
            <w:r>
              <w:rPr>
                <w:rFonts w:ascii="Arial" w:hAnsi="Arial"/>
                <w:b/>
                <w:i w:val="0"/>
                <w:color w:val="1F3864"/>
                <w:sz w:val="20"/>
              </w:rPr>
              <w:t>Carrier</w:t>
            </w:r>
          </w:p>
        </w:tc>
        <w:tc>
          <w:tcPr>
            <w:tcW w:type="dxa" w:w="8017"/>
            <w:tcW w:w="6607" w:type="dxa"/>
            <w:tcMar>
              <w:top w:w="60" w:type="dxa"/>
              <w:bottom w:w="60" w:type="dxa"/>
              <w:left w:w="80" w:type="dxa"/>
              <w:right w:w="60" w:type="dxa"/>
            </w:tcMar>
          </w:tcPr>
          <w:p>
            <w:r>
              <w:rPr>
                <w:rFonts w:ascii="Arial" w:hAnsi="Arial"/>
                <w:b w:val="0"/>
                <w:i w:val="0"/>
                <w:color w:val="595959"/>
                <w:sz w:val="20"/>
              </w:rPr>
              <w:t>Builders Association of Western Nevada Self-Insured Group (BAWNSIG)</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Est. Premium</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{estPremium} (subject to final audit)</w:t>
            </w:r>
          </w:p>
        </w:tc>
      </w:tr>
      <w:tr>
        <w:tc>
          <w:tcPr>
            <w:tcW w:type="dxa" w:w="8017"/>
            <w:tcW w:w="4049" w:type="dxa"/>
            <w:tcMar>
              <w:top w:w="60" w:type="dxa"/>
              <w:bottom w:w="60" w:type="dxa"/>
              <w:left w:w="80" w:type="dxa"/>
              <w:right w:w="60" w:type="dxa"/>
            </w:tcMar>
          </w:tcPr>
          <w:p>
            <w:r>
              <w:rPr>
                <w:rFonts w:ascii="Arial" w:hAnsi="Arial"/>
                <w:b/>
                <w:i w:val="0"/>
                <w:color w:val="1F3864"/>
                <w:sz w:val="20"/>
              </w:rPr>
              <w:t>Surplus Contribution (8%)</w:t>
            </w:r>
          </w:p>
        </w:tc>
        <w:tc>
          <w:tcPr>
            <w:tcW w:type="dxa" w:w="8017"/>
            <w:tcW w:w="6607" w:type="dxa"/>
            <w:tcMar>
              <w:top w:w="60" w:type="dxa"/>
              <w:bottom w:w="60" w:type="dxa"/>
              <w:left w:w="80" w:type="dxa"/>
              <w:right w:w="60" w:type="dxa"/>
            </w:tcMar>
          </w:tcPr>
          <w:p>
            <w:r>
              <w:rPr>
                <w:rFonts w:ascii="Arial" w:hAnsi="Arial"/>
                <w:b w:val="0"/>
                <w:i w:val="0"/>
                <w:color w:val="595959"/>
                <w:sz w:val="20"/>
              </w:rPr>
              <w:t>{surplusContribution}</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Employers’ Liability Fee</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{employersLiabilityFee}</w:t>
            </w:r>
          </w:p>
        </w:tc>
      </w:tr>
      <w:tr>
        <w:tc>
          <w:tcPr>
            <w:tcW w:type="dxa" w:w="8017"/>
            <w:shd w:val="clear" w:color="auto" w:fill="EBF3FB"/>
            <w:tcMar>
              <w:top w:w="80" w:type="dxa"/>
              <w:bottom w:w="80" w:type="dxa"/>
              <w:left w:w="80" w:type="dxa"/>
              <w:right w:w="60" w:type="dxa"/>
            </w:tcMar>
          </w:tcPr>
          <w:p>
            <w:r>
              <w:rPr>
                <w:rFonts w:ascii="Arial" w:hAnsi="Arial"/>
                <w:b/>
                <w:i w:val="0"/>
                <w:color w:val="1F3864"/>
                <w:sz w:val="22"/>
              </w:rPr>
              <w:t>Total Estimated Cost</w:t>
            </w:r>
          </w:p>
        </w:tc>
        <w:tc>
          <w:tcPr>
            <w:tcW w:type="dxa" w:w="8017"/>
            <w:shd w:val="clear" w:color="auto" w:fill="EBF3FB"/>
            <w:tcMar>
              <w:top w:w="80" w:type="dxa"/>
              <w:bottom w:w="80" w:type="dxa"/>
              <w:left w:w="80" w:type="dxa"/>
              <w:right w:w="60" w:type="dxa"/>
            </w:tcMar>
          </w:tcPr>
          <w:p>
            <w:r>
              <w:rPr>
                <w:rFonts w:ascii="Arial" w:hAnsi="Arial"/>
                <w:b/>
                <w:i w:val="0"/>
                <w:color w:val="1F3864"/>
                <w:sz w:val="22"/>
              </w:rPr>
              <w:t>{totalEstimatedPremium}</w:t>
            </w:r>
          </w:p>
        </w:tc>
      </w:tr>
      <w:tr>
        <w:tc>
          <w:tcPr>
            <w:tcW w:type="dxa" w:w="8017"/>
            <w:tcMar>
              <w:top w:w="60" w:type="dxa"/>
              <w:bottom w:w="60" w:type="dxa"/>
              <w:left w:w="80" w:type="dxa"/>
              <w:right w:w="60" w:type="dxa"/>
            </w:tcMar>
          </w:tcPr>
          <w:p>
            <w:r>
              <w:rPr>
                <w:rFonts w:ascii="Arial" w:hAnsi="Arial"/>
                <w:b/>
                <w:i w:val="0"/>
                <w:color w:val="1F3864"/>
                <w:sz w:val="20"/>
              </w:rPr>
              <w:t>Initial Down Payment</w:t>
            </w:r>
          </w:p>
        </w:tc>
        <w:tc>
          <w:tcPr>
            <w:tcW w:type="dxa" w:w="8017"/>
            <w:tcMar>
              <w:top w:w="60" w:type="dxa"/>
              <w:bottom w:w="60" w:type="dxa"/>
              <w:left w:w="80" w:type="dxa"/>
              <w:right w:w="60" w:type="dxa"/>
            </w:tcMar>
          </w:tcPr>
          <w:p>
            <w:r>
              <w:rPr>
                <w:rFonts w:ascii="Arial" w:hAnsi="Arial"/>
                <w:b w:val="0"/>
                <w:i w:val="0"/>
                <w:color w:val="595959"/>
                <w:sz w:val="20"/>
              </w:rPr>
              <w:t>{downPayment} (25% — new business). Balance payable online via secure payment link provided upon binding.</w:t>
            </w:r>
          </w:p>
        </w:tc>
      </w:tr>
    </w:tbl>
    <w:p>
      <w:pPr>
        <w:shd w:val="clear" w:color="auto" w:fill="1F3864"/>
        <w:spacing w:before="0" w:after="0"/>
        <w:ind w:left="280"/>
      </w:pPr>
      <w:r>
        <w:rPr>
          <w:rFonts w:ascii="Arial" w:hAnsi="Arial"/>
          <w:b/>
          <w:i w:val="0"/>
          <w:color w:val="FFFFFF"/>
          <w:sz w:val="26"/>
        </w:rPr>
        <w:t>Coverage Details — Workers’ Compensation</w:t>
      </w:r>
    </w:p>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Carrier</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Builders Association of Western Nevada Self-Insured Group (BAWNSIG)</w:t>
            </w:r>
          </w:p>
        </w:tc>
      </w:tr>
      <w:tr>
        <w:tc>
          <w:tcPr>
            <w:tcW w:type="dxa" w:w="8017"/>
            <w:tcW w:w="3729" w:type="dxa"/>
            <w:tcMar>
              <w:top w:w="60" w:type="dxa"/>
              <w:bottom w:w="60" w:type="dxa"/>
              <w:left w:w="80" w:type="dxa"/>
              <w:right w:w="60" w:type="dxa"/>
            </w:tcMar>
          </w:tcPr>
          <w:p>
            <w:r>
              <w:rPr>
                <w:rFonts w:ascii="Arial" w:hAnsi="Arial"/>
                <w:b/>
                <w:i w:val="0"/>
                <w:color w:val="1F3864"/>
                <w:sz w:val="20"/>
              </w:rPr>
              <w:t>Program Manager</w:t>
            </w:r>
          </w:p>
        </w:tc>
        <w:tc>
          <w:tcPr>
            <w:tcW w:type="dxa" w:w="8017"/>
            <w:tcW w:w="6927" w:type="dxa"/>
            <w:tcMar>
              <w:top w:w="60" w:type="dxa"/>
              <w:bottom w:w="60" w:type="dxa"/>
              <w:left w:w="80" w:type="dxa"/>
              <w:right w:w="60" w:type="dxa"/>
            </w:tcMar>
          </w:tcPr>
          <w:p>
            <w:r>
              <w:rPr>
                <w:rFonts w:ascii="Arial" w:hAnsi="Arial"/>
                <w:b w:val="0"/>
                <w:i w:val="0"/>
                <w:color w:val="595959"/>
                <w:sz w:val="20"/>
              </w:rPr>
              <w:t>Lusense</w:t>
            </w:r>
          </w:p>
        </w:tc>
      </w:tr>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Financial Strength</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8017"/>
            <w:tcW w:w="3729" w:type="dxa"/>
            <w:tcMar>
              <w:top w:w="60" w:type="dxa"/>
              <w:bottom w:w="60" w:type="dxa"/>
              <w:left w:w="80" w:type="dxa"/>
              <w:right w:w="60" w:type="dxa"/>
            </w:tcMar>
          </w:tcPr>
          <w:p>
            <w:r>
              <w:rPr>
                <w:rFonts w:ascii="Arial" w:hAnsi="Arial"/>
                <w:b/>
                <w:i w:val="0"/>
                <w:color w:val="1F3864"/>
                <w:sz w:val="20"/>
              </w:rPr>
              <w:t>Policy Period</w:t>
            </w:r>
          </w:p>
        </w:tc>
        <w:tc>
          <w:tcPr>
            <w:tcW w:type="dxa" w:w="8017"/>
            <w:tcW w:w="6927" w:type="dxa"/>
            <w:tcMar>
              <w:top w:w="60" w:type="dxa"/>
              <w:bottom w:w="60" w:type="dxa"/>
              <w:left w:w="80" w:type="dxa"/>
              <w:right w:w="60" w:type="dxa"/>
            </w:tcMar>
          </w:tcPr>
          <w:p>
            <w:r>
              <w:rPr>
                <w:rFonts w:ascii="Arial" w:hAnsi="Arial"/>
                <w:b w:val="0"/>
                <w:i w:val="0"/>
                <w:color w:val="595959"/>
                <w:sz w:val="20"/>
              </w:rPr>
              <w:t>{policyPeriod}</w:t>
            </w:r>
          </w:p>
        </w:tc>
      </w:tr>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Coverage</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Workers’ Compensation</w:t>
            </w:r>
          </w:p>
        </w:tc>
      </w:tr>
      <w:tr>
        <w:tc>
          <w:tcPr>
            <w:tcW w:type="dxa" w:w="8017"/>
            <w:tcW w:w="3729" w:type="dxa"/>
            <w:tcMar>
              <w:top w:w="60" w:type="dxa"/>
              <w:bottom w:w="60" w:type="dxa"/>
              <w:left w:w="80" w:type="dxa"/>
              <w:right w:w="60" w:type="dxa"/>
            </w:tcMar>
          </w:tcPr>
          <w:p>
            <w:r>
              <w:rPr>
                <w:rFonts w:ascii="Arial" w:hAnsi="Arial"/>
                <w:b/>
                <w:i w:val="0"/>
                <w:color w:val="1F3864"/>
                <w:sz w:val="20"/>
              </w:rPr>
              <w:t>States Covered</w:t>
            </w:r>
          </w:p>
        </w:tc>
        <w:tc>
          <w:tcPr>
            <w:tcW w:type="dxa" w:w="8017"/>
            <w:tcW w:w="6927" w:type="dxa"/>
            <w:tcMar>
              <w:top w:w="60" w:type="dxa"/>
              <w:bottom w:w="60" w:type="dxa"/>
              <w:left w:w="80" w:type="dxa"/>
              <w:right w:w="60" w:type="dxa"/>
            </w:tcMa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shd w:val="clear" w:color="auto" w:fill="1F3864"/>
            <w:tcMar>
              <w:top w:w="70" w:type="dxa"/>
              <w:bottom w:w="70" w:type="dxa"/>
              <w:left w:w="80" w:type="dxa"/>
              <w:right w:w="60" w:type="dxa"/>
            </w:tcMar>
          </w:tcPr>
          <w:p>
            <w:r>
              <w:rPr>
                <w:rFonts w:ascii="Arial" w:hAnsi="Arial"/>
                <w:b/>
                <w:color w:val="FFFFFF"/>
                <w:sz w:val="20"/>
              </w:rPr>
              <w:t>Coverage</w:t>
            </w:r>
          </w:p>
        </w:tc>
        <w:tc>
          <w:tcPr>
            <w:tcW w:type="dxa" w:w="8017"/>
            <w:shd w:val="clear" w:color="auto" w:fill="1F3864"/>
            <w:tcMar>
              <w:top w:w="70" w:type="dxa"/>
              <w:bottom w:w="70" w:type="dxa"/>
              <w:left w:w="80" w:type="dxa"/>
              <w:right w:w="60" w:type="dxa"/>
            </w:tcMar>
          </w:tcPr>
          <w:p>
            <w:r>
              <w:rPr>
                <w:rFonts w:ascii="Arial" w:hAnsi="Arial"/>
                <w:b/>
                <w:color w:val="FFFFFF"/>
                <w:sz w:val="20"/>
              </w:rPr>
              <w:t>Limit</w:t>
            </w:r>
          </w:p>
        </w:tc>
      </w:tr>
      <w:tr>
        <w:tc>
          <w:tcPr>
            <w:tcW w:type="dxa" w:w="8017"/>
            <w:tcW w:w="6926" w:type="dxa"/>
            <w:tcMar>
              <w:top w:w="60" w:type="dxa"/>
              <w:bottom w:w="60" w:type="dxa"/>
              <w:left w:w="80" w:type="dxa"/>
              <w:right w:w="60" w:type="dxa"/>
            </w:tcMar>
            <w:shd w:val="clear" w:color="auto" w:fill="F5F5F5"/>
          </w:tcPr>
          <w:p>
            <w:r>
              <w:rPr>
                <w:rFonts w:ascii="Arial" w:hAnsi="Arial"/>
                <w:b w:val="0"/>
                <w:i w:val="0"/>
                <w:color w:val="595959"/>
                <w:sz w:val="20"/>
              </w:rPr>
              <w:t>Part I — Workers’ Compensation</w:t>
            </w:r>
          </w:p>
        </w:tc>
        <w:tc>
          <w:tcPr>
            <w:tcW w:type="dxa" w:w="8017"/>
            <w:tcW w:w="3730" w:type="dxa"/>
            <w:tcMar>
              <w:top w:w="60" w:type="dxa"/>
              <w:bottom w:w="60" w:type="dxa"/>
              <w:left w:w="80" w:type="dxa"/>
              <w:right w:w="60" w:type="dxa"/>
            </w:tcMar>
            <w:shd w:val="clear" w:color="auto" w:fill="F5F5F5"/>
          </w:tcPr>
          <w:p>
            <w:r>
              <w:rPr>
                <w:rFonts w:ascii="Arial" w:hAnsi="Arial"/>
                <w:b w:val="0"/>
                <w:i w:val="0"/>
                <w:color w:val="595959"/>
                <w:sz w:val="20"/>
              </w:rPr>
              <w:t>Statutory per State of Nevada</w:t>
            </w:r>
          </w:p>
        </w:tc>
      </w:tr>
      <w:tr>
        <w:tc>
          <w:tcPr>
            <w:tcW w:type="dxa" w:w="8017"/>
            <w:tcW w:w="6926" w:type="dxa"/>
            <w:tcMar>
              <w:top w:w="60" w:type="dxa"/>
              <w:bottom w:w="60" w:type="dxa"/>
              <w:left w:w="80" w:type="dxa"/>
              <w:right w:w="60" w:type="dxa"/>
            </w:tcMar>
          </w:tcPr>
          <w:p>
            <w:r>
              <w:rPr>
                <w:rFonts w:ascii="Arial" w:hAnsi="Arial"/>
                <w:b w:val="0"/>
                <w:i w:val="0"/>
                <w:color w:val="595959"/>
                <w:sz w:val="20"/>
              </w:rPr>
              <w:t>Part II — Employers’ Liability: Each Accident</w:t>
            </w:r>
          </w:p>
        </w:tc>
        <w:tc>
          <w:tcPr>
            <w:tcW w:type="dxa" w:w="8017"/>
            <w:tcW w:w="3730" w:type="dxa"/>
            <w:tcMar>
              <w:top w:w="60" w:type="dxa"/>
              <w:bottom w:w="60" w:type="dxa"/>
              <w:left w:w="80" w:type="dxa"/>
              <w:right w:w="60" w:type="dxa"/>
            </w:tcMar>
          </w:tcPr>
          <w:p>
            <w:r>
              <w:rPr>
                <w:rFonts w:ascii="Arial" w:hAnsi="Arial"/>
                <w:b w:val="0"/>
                <w:i w:val="0"/>
                <w:color w:val="595959"/>
                <w:sz w:val="20"/>
              </w:rPr>
              <w:t>$1,000,000</w:t>
            </w:r>
          </w:p>
        </w:tc>
      </w:tr>
      <w:tr>
        <w:tc>
          <w:tcPr>
            <w:tcW w:type="dxa" w:w="8017"/>
            <w:tcW w:w="6926" w:type="dxa"/>
            <w:tcMar>
              <w:top w:w="60" w:type="dxa"/>
              <w:bottom w:w="60" w:type="dxa"/>
              <w:left w:w="80" w:type="dxa"/>
              <w:right w:w="60" w:type="dxa"/>
            </w:tcMar>
            <w:shd w:val="clear" w:color="auto" w:fill="F5F5F5"/>
          </w:tcPr>
          <w:p>
            <w:r>
              <w:rPr>
                <w:rFonts w:ascii="Arial" w:hAnsi="Arial"/>
                <w:b w:val="0"/>
                <w:i w:val="0"/>
                <w:color w:val="595959"/>
                <w:sz w:val="20"/>
              </w:rPr>
              <w:t>Part II — Employers’ Liability: Disease – Each Employee</w:t>
            </w:r>
          </w:p>
        </w:tc>
        <w:tc>
          <w:tcPr>
            <w:tcW w:type="dxa" w:w="8017"/>
            <w:tcW w:w="3730" w:type="dxa"/>
            <w:tcMar>
              <w:top w:w="60" w:type="dxa"/>
              <w:bottom w:w="60" w:type="dxa"/>
              <w:left w:w="80" w:type="dxa"/>
              <w:right w:w="60" w:type="dxa"/>
            </w:tcMar>
            <w:shd w:val="clear" w:color="auto" w:fill="F5F5F5"/>
          </w:tcPr>
          <w:p>
            <w:r>
              <w:rPr>
                <w:rFonts w:ascii="Arial" w:hAnsi="Arial"/>
                <w:b w:val="0"/>
                <w:i w:val="0"/>
                <w:color w:val="595959"/>
                <w:sz w:val="20"/>
              </w:rPr>
              <w:t>$1,000,000</w:t>
            </w:r>
          </w:p>
        </w:tc>
      </w:tr>
      <w:tr>
        <w:tc>
          <w:tcPr>
            <w:tcW w:type="dxa" w:w="8017"/>
            <w:tcW w:w="6926" w:type="dxa"/>
            <w:tcMar>
              <w:top w:w="60" w:type="dxa"/>
              <w:bottom w:w="60" w:type="dxa"/>
              <w:left w:w="80" w:type="dxa"/>
              <w:right w:w="60" w:type="dxa"/>
            </w:tcMar>
          </w:tcPr>
          <w:p>
            <w:r>
              <w:rPr>
                <w:rFonts w:ascii="Arial" w:hAnsi="Arial"/>
                <w:b w:val="0"/>
                <w:i w:val="0"/>
                <w:color w:val="595959"/>
                <w:sz w:val="20"/>
              </w:rPr>
              <w:t>Part II — Employers’ Liability: Disease – Policy Limit</w:t>
            </w:r>
          </w:p>
        </w:tc>
        <w:tc>
          <w:tcPr>
            <w:tcW w:type="dxa" w:w="8017"/>
            <w:tcW w:w="3730" w:type="dxa"/>
            <w:tcMar>
              <w:top w:w="60" w:type="dxa"/>
              <w:bottom w:w="60" w:type="dxa"/>
              <w:left w:w="80" w:type="dxa"/>
              <w:right w:w="60" w:type="dxa"/>
            </w:tcMa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jc w:val="left"/>
      </w:pPr>
      <w:r>
        <w:rPr>
          <w:rFonts w:ascii="Arial" w:hAnsi="Arial"/>
          <w:b w:val="0"/>
          <w:i w:val="0"/>
          <w:color w:val="595959"/>
          <w:sz w:val="20"/>
        </w:rPr>
        <w:t>A surplus contribution of 8% of the estimated premium is required for participation in the BAWNSIG self-insured group. This contribution is held in reserve and is not considered an insurance premium. It may be refundable upon cancellation per program terms.</w:t>
      </w:r>
    </w:p>
    <w:p>
      <w:pPr>
        <w:sectPr>
          <w:footerReference w:type="default" r:id="rId14"/>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6"/>
        </w:rPr>
        <w:t>Coverage Details (continued)</w:t>
      </w:r>
    </w:p>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2672"/>
        <w:gridCol w:w="2672"/>
        <w:gridCol w:w="2672"/>
        <w:gridCol w:w="2672"/>
        <w:gridCol w:w="2672"/>
        <w:gridCol w:w="2672"/>
      </w:tblGrid>
      <w:tr>
        <w:tc>
          <w:tcPr>
            <w:tcW w:type="dxa" w:w="2672"/>
            <w:tcW w:w="745" w:type="dxa"/>
            <w:shd w:val="clear" w:color="auto" w:fill="1F3864"/>
            <w:tcMar>
              <w:top w:w="70" w:type="dxa"/>
              <w:bottom w:w="70" w:type="dxa"/>
              <w:left w:w="60" w:type="dxa"/>
              <w:right w:w="60" w:type="dxa"/>
            </w:tcMar>
          </w:tcPr>
          <w:p>
            <w:r>
              <w:rPr>
                <w:rFonts w:ascii="Arial" w:hAnsi="Arial"/>
                <w:b/>
                <w:i w:val="0"/>
                <w:color w:val="FFFFFF"/>
                <w:sz w:val="18"/>
              </w:rPr>
              <w:t>State</w:t>
            </w:r>
          </w:p>
        </w:tc>
        <w:tc>
          <w:tcPr>
            <w:tcW w:type="dxa" w:w="2672"/>
            <w:tcW w:w="1278" w:type="dxa"/>
            <w:shd w:val="clear" w:color="auto" w:fill="1F3864"/>
            <w:tcMar>
              <w:top w:w="70" w:type="dxa"/>
              <w:bottom w:w="70" w:type="dxa"/>
              <w:left w:w="60" w:type="dxa"/>
              <w:right w:w="60" w:type="dxa"/>
            </w:tcMar>
          </w:tcPr>
          <w:p>
            <w:r>
              <w:rPr>
                <w:rFonts w:ascii="Arial" w:hAnsi="Arial"/>
                <w:b/>
                <w:i w:val="0"/>
                <w:color w:val="FFFFFF"/>
                <w:sz w:val="18"/>
              </w:rPr>
              <w:t>Class Code</w:t>
            </w:r>
          </w:p>
        </w:tc>
        <w:tc>
          <w:tcPr>
            <w:tcW w:type="dxa" w:w="2672"/>
            <w:tcW w:w="2983" w:type="dxa"/>
            <w:shd w:val="clear" w:color="auto" w:fill="1F3864"/>
            <w:tcMar>
              <w:top w:w="70" w:type="dxa"/>
              <w:bottom w:w="70" w:type="dxa"/>
              <w:left w:w="60" w:type="dxa"/>
              <w:right w:w="60" w:type="dxa"/>
            </w:tcMar>
          </w:tcPr>
          <w:p>
            <w:r>
              <w:rPr>
                <w:rFonts w:ascii="Arial" w:hAnsi="Arial"/>
                <w:b/>
                <w:i w:val="0"/>
                <w:color w:val="FFFFFF"/>
                <w:sz w:val="18"/>
              </w:rPr>
              <w:t>Description</w:t>
            </w:r>
          </w:p>
        </w:tc>
        <w:tc>
          <w:tcPr>
            <w:tcW w:type="dxa" w:w="2672"/>
            <w:tcW w:w="2237" w:type="dxa"/>
            <w:shd w:val="clear" w:color="auto" w:fill="1F3864"/>
            <w:tcMar>
              <w:top w:w="70" w:type="dxa"/>
              <w:bottom w:w="70" w:type="dxa"/>
              <w:left w:w="60" w:type="dxa"/>
              <w:right w:w="60" w:type="dxa"/>
            </w:tcMar>
          </w:tcPr>
          <w:p>
            <w:r>
              <w:rPr>
                <w:rFonts w:ascii="Arial" w:hAnsi="Arial"/>
                <w:b/>
                <w:i w:val="0"/>
                <w:color w:val="FFFFFF"/>
                <w:sz w:val="18"/>
              </w:rPr>
              <w:t>Est. Annual Payroll</w:t>
            </w:r>
          </w:p>
        </w:tc>
        <w:tc>
          <w:tcPr>
            <w:tcW w:type="dxa" w:w="2672"/>
            <w:tcW w:w="1278" w:type="dxa"/>
            <w:shd w:val="clear" w:color="auto" w:fill="1F3864"/>
            <w:tcMar>
              <w:top w:w="70" w:type="dxa"/>
              <w:bottom w:w="70" w:type="dxa"/>
              <w:left w:w="60" w:type="dxa"/>
              <w:right w:w="60" w:type="dxa"/>
            </w:tcMar>
          </w:tcPr>
          <w:p>
            <w:r>
              <w:rPr>
                <w:rFonts w:ascii="Arial" w:hAnsi="Arial"/>
                <w:b/>
                <w:i w:val="0"/>
                <w:color w:val="FFFFFF"/>
                <w:sz w:val="18"/>
              </w:rPr>
              <w:t>Rate</w:t>
            </w:r>
          </w:p>
        </w:tc>
        <w:tc>
          <w:tcPr>
            <w:tcW w:type="dxa" w:w="2672"/>
            <w:tcW w:w="2135" w:type="dxa"/>
            <w:shd w:val="clear" w:color="auto" w:fill="1F3864"/>
            <w:tcMar>
              <w:top w:w="70" w:type="dxa"/>
              <w:bottom w:w="70" w:type="dxa"/>
              <w:left w:w="60" w:type="dxa"/>
              <w:right w:w="60" w:type="dxa"/>
            </w:tcMar>
          </w:tcPr>
          <w:p>
            <w:r>
              <w:rPr>
                <w:rFonts w:ascii="Arial" w:hAnsi="Arial"/>
                <w:b/>
                <w:i w:val="0"/>
                <w:color w:val="FFFFFF"/>
                <w:sz w:val="18"/>
              </w:rPr>
              <w:t>Est. Premium</w:t>
            </w:r>
          </w:p>
        </w:tc>
      </w:tr>
      <w:tr>
        <w:tc>
          <w:tcPr>
            <w:tcW w:type="dxa" w:w="2672"/>
            <w:tcW w:w="745" w:type="dxa"/>
            <w:tcMar>
              <w:top w:w="60" w:type="dxa"/>
              <w:bottom w:w="60" w:type="dxa"/>
              <w:left w:w="60" w:type="dxa"/>
              <w:right w:w="60" w:type="dxa"/>
            </w:tcMar>
          </w:tcPr>
          <w:p>
            <w:r>
              <w:rPr>
                <w:rFonts w:ascii="Arial" w:hAnsi="Arial"/>
                <w:b w:val="0"/>
                <w:i w:val="0"/>
                <w:color w:val="595959"/>
                <w:sz w:val="20"/>
              </w:rPr>
              <w:t>{#classSchedule}</w:t>
            </w:r>
          </w:p>
          <w:p>
            <w:r>
              <w:rPr>
                <w:rFonts w:ascii="Arial" w:hAnsi="Arial"/>
                <w:b w:val="0"/>
                <w:i w:val="0"/>
                <w:color w:val="595959"/>
                <w:sz w:val="20"/>
              </w:rPr>
              <w:t>{state}</w:t>
            </w:r>
          </w:p>
        </w:tc>
        <w:tc>
          <w:tcPr>
            <w:tcW w:type="dxa" w:w="2672"/>
            <w:tcW w:w="1278" w:type="dxa"/>
            <w:tcMar>
              <w:top w:w="60" w:type="dxa"/>
              <w:bottom w:w="60" w:type="dxa"/>
              <w:left w:w="60" w:type="dxa"/>
              <w:right w:w="60" w:type="dxa"/>
            </w:tcMar>
          </w:tcPr>
          <w:p>
            <w:r>
              <w:rPr>
                <w:rFonts w:ascii="Arial" w:hAnsi="Arial"/>
                <w:b w:val="0"/>
                <w:i w:val="0"/>
                <w:color w:val="595959"/>
                <w:sz w:val="20"/>
              </w:rPr>
              <w:t>{classCode}</w:t>
            </w:r>
          </w:p>
        </w:tc>
        <w:tc>
          <w:tcPr>
            <w:tcW w:type="dxa" w:w="2672"/>
            <w:tcW w:w="2983" w:type="dxa"/>
            <w:tcMar>
              <w:top w:w="60" w:type="dxa"/>
              <w:bottom w:w="60" w:type="dxa"/>
              <w:left w:w="60" w:type="dxa"/>
              <w:right w:w="60" w:type="dxa"/>
            </w:tcMar>
          </w:tcPr>
          <w:p>
            <w:r>
              <w:rPr>
                <w:rFonts w:ascii="Arial" w:hAnsi="Arial"/>
                <w:b w:val="0"/>
                <w:i w:val="0"/>
                <w:color w:val="595959"/>
                <w:sz w:val="20"/>
              </w:rPr>
              <w:t>{classDescription}</w:t>
            </w:r>
          </w:p>
        </w:tc>
        <w:tc>
          <w:tcPr>
            <w:tcW w:type="dxa" w:w="2672"/>
            <w:tcW w:w="2237" w:type="dxa"/>
            <w:tcMar>
              <w:top w:w="60" w:type="dxa"/>
              <w:bottom w:w="60" w:type="dxa"/>
              <w:left w:w="60" w:type="dxa"/>
              <w:right w:w="60" w:type="dxa"/>
            </w:tcMar>
          </w:tcPr>
          <w:p>
            <w:r>
              <w:rPr>
                <w:rFonts w:ascii="Arial" w:hAnsi="Arial"/>
                <w:b w:val="0"/>
                <w:i w:val="0"/>
                <w:color w:val="595959"/>
                <w:sz w:val="20"/>
              </w:rPr>
              <w:t>{estAnnualPayroll}</w:t>
            </w:r>
          </w:p>
        </w:tc>
        <w:tc>
          <w:tcPr>
            <w:tcW w:type="dxa" w:w="2672"/>
            <w:tcW w:w="1278" w:type="dxa"/>
            <w:tcMar>
              <w:top w:w="60" w:type="dxa"/>
              <w:bottom w:w="60" w:type="dxa"/>
              <w:left w:w="60" w:type="dxa"/>
              <w:right w:w="60" w:type="dxa"/>
            </w:tcMar>
          </w:tcPr>
          <w:p>
            <w:r>
              <w:rPr>
                <w:rFonts w:ascii="Arial" w:hAnsi="Arial"/>
                <w:b w:val="0"/>
                <w:i w:val="0"/>
                <w:color w:val="595959"/>
                <w:sz w:val="20"/>
              </w:rPr>
              <w:t>{rate}</w:t>
            </w:r>
          </w:p>
        </w:tc>
        <w:tc>
          <w:tcPr>
            <w:tcW w:type="dxa" w:w="2672"/>
            <w:tcW w:w="2135" w:type="dxa"/>
            <w:tcMar>
              <w:top w:w="60" w:type="dxa"/>
              <w:bottom w:w="60" w:type="dxa"/>
              <w:left w:w="60" w:type="dxa"/>
              <w:right w:w="60" w:type="dxa"/>
            </w:tcMa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13360"/>
            <w:tcW w:w="745" w:type="dxa"/>
            <w:gridSpan w:val="5"/>
            <w:shd w:val="clear" w:color="auto" w:fill="F5F5F5"/>
            <w:tcMar>
              <w:top w:w="70" w:type="dxa"/>
              <w:bottom w:w="70" w:type="dxa"/>
              <w:left w:w="60" w:type="dxa"/>
              <w:right w:w="60" w:type="dxa"/>
            </w:tcMar>
          </w:tcPr>
          <w:p>
            <w:pPr>
              <w:jc w:val="right"/>
            </w:pPr>
            <w:r>
              <w:rPr>
                <w:rFonts w:ascii="Arial" w:hAnsi="Arial"/>
                <w:b/>
                <w:i w:val="0"/>
                <w:color w:val="1F3864"/>
                <w:sz w:val="20"/>
              </w:rPr>
              <w:t>Total Estimated Premium</w:t>
            </w:r>
          </w:p>
        </w:tc>
        <w:tc>
          <w:tcPr>
            <w:tcW w:type="dxa" w:w="2672"/>
            <w:tcW w:w="2135" w:type="dxa"/>
            <w:shd w:val="clear" w:color="auto" w:fill="F5F5F5"/>
            <w:tcMar>
              <w:top w:w="70" w:type="dxa"/>
              <w:bottom w:w="70" w:type="dxa"/>
              <w:left w:w="60" w:type="dxa"/>
              <w:right w:w="60" w:type="dxa"/>
            </w:tcMa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shd w:val="clear" w:color="auto" w:fill="1F3864"/>
            <w:tcMar>
              <w:top w:w="70" w:type="dxa"/>
              <w:bottom w:w="70" w:type="dxa"/>
              <w:left w:w="80" w:type="dxa"/>
              <w:right w:w="60" w:type="dxa"/>
            </w:tcMar>
          </w:tcPr>
          <w:p>
            <w:r>
              <w:rPr>
                <w:rFonts w:ascii="Arial" w:hAnsi="Arial"/>
                <w:b/>
                <w:color w:val="FFFFFF"/>
                <w:sz w:val="20"/>
              </w:rPr>
              <w:t>Name</w:t>
            </w:r>
          </w:p>
        </w:tc>
        <w:tc>
          <w:tcPr>
            <w:tcW w:type="dxa" w:w="8017"/>
            <w:shd w:val="clear" w:color="auto" w:fill="1F3864"/>
            <w:tcMar>
              <w:top w:w="70" w:type="dxa"/>
              <w:bottom w:w="70" w:type="dxa"/>
              <w:left w:w="80" w:type="dxa"/>
              <w:right w:w="60" w:type="dxa"/>
            </w:tcMar>
          </w:tcPr>
          <w:p>
            <w:r>
              <w:rPr>
                <w:rFonts w:ascii="Arial" w:hAnsi="Arial"/>
                <w:b/>
                <w:color w:val="FFFFFF"/>
                <w:sz w:val="20"/>
              </w:rPr>
              <w:t>Election Form</w:t>
            </w:r>
          </w:p>
        </w:tc>
      </w:tr>
      <w:tr>
        <w:tc>
          <w:tcPr>
            <w:tcW w:type="dxa" w:w="8017"/>
            <w:tcW w:w="5328" w:type="dxa"/>
            <w:tcMar>
              <w:top w:w="60" w:type="dxa"/>
              <w:bottom w:w="60" w:type="dxa"/>
              <w:left w:w="80" w:type="dxa"/>
              <w:right w:w="60" w:type="dxa"/>
            </w:tcMar>
          </w:tcPr>
          <w:p>
            <w:r>
              <w:rPr>
                <w:rFonts w:ascii="Arial" w:hAnsi="Arial"/>
                <w:b w:val="0"/>
                <w:i w:val="0"/>
                <w:color w:val="595959"/>
                <w:sz w:val="20"/>
              </w:rPr>
              <w:t>{#excludedPersons}</w:t>
            </w:r>
          </w:p>
          <w:p>
            <w:r>
              <w:rPr>
                <w:rFonts w:ascii="Arial" w:hAnsi="Arial"/>
                <w:b w:val="0"/>
                <w:i w:val="0"/>
                <w:color w:val="595959"/>
                <w:sz w:val="20"/>
              </w:rPr>
              <w:t>{name}</w:t>
            </w:r>
          </w:p>
        </w:tc>
        <w:tc>
          <w:tcPr>
            <w:tcW w:type="dxa" w:w="8017"/>
            <w:tcW w:w="5328" w:type="dxa"/>
            <w:tcMar>
              <w:top w:w="60" w:type="dxa"/>
              <w:bottom w:w="60" w:type="dxa"/>
              <w:left w:w="80" w:type="dxa"/>
              <w:right w:w="60" w:type="dxa"/>
            </w:tcMa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p>
      <w:pPr>
        <w:spacing w:before="80" w:after="80"/>
        <w:ind w:left="280"/>
        <w:shd w:val="clear" w:color="auto" w:fill="F5F5F5"/>
      </w:pPr>
      <w:r>
        <w:rPr>
          <w:rFonts w:ascii="Arial" w:hAnsi="Arial"/>
          <w:b w:val="0"/>
          <w:i w:val="0"/>
          <w:color w:val="595959"/>
          <w:sz w:val="18"/>
        </w:rPr>
        <w:t>BAWNSIG is a Nevada state-regulated self-insured group, not an insurance company. Coverage is provided through the group’s self-insurance fund. This program is not guaranteed by the Nevada Insurance Guaranty Association. Members should review the program disclosure statement for full details regarding the self-insured group structure, surplus requirements, and financial stability.</w:t>
      </w:r>
    </w:p>
    <w:p>
      <w:pPr>
        <w:sectPr>
          <w:footerReference w:type="default" r:id="rId15"/>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Next Steps &amp; Member Authorization</w:t>
      </w:r>
    </w:p>
    <w:p>
      <w:pPr>
        <w:spacing w:before="160" w:after="160"/>
        <w:jc w:val="left"/>
      </w:pPr>
      <w:r>
        <w:rPr>
          <w:rFonts w:ascii="Arial" w:hAnsi="Arial"/>
          <w:b w:val="0"/>
          <w:i w:val="0"/>
          <w:color w:val="595959"/>
          <w:sz w:val="20"/>
        </w:rPr>
        <w:t>To bind coverage under the NBAIS Workers’ Compensation program, please review this proposal, complete the Member Authorization below, and return it to your NBAIS producer. Coverage will be bound upon receipt of the signed authorization and initial down payment.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tcW w:w="5328" w:type="dxa"/>
            <w:shd w:val="clear" w:color="auto" w:fill="F5F5F5"/>
            <w:tcMar>
              <w:top w:w="100" w:type="dxa"/>
              <w:bottom w:w="100" w:type="dxa"/>
              <w:left w:w="100" w:type="dxa"/>
              <w:right w:w="100" w:type="dxa"/>
            </w:tcMa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8017"/>
            <w:tcW w:w="5328" w:type="dxa"/>
            <w:shd w:val="clear" w:color="auto" w:fill="F5F5F5"/>
            <w:tcMar>
              <w:top w:w="100" w:type="dxa"/>
              <w:bottom w:w="100" w:type="dxa"/>
              <w:left w:w="100" w:type="dxa"/>
              <w:right w:w="100" w:type="dxa"/>
            </w:tcMa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authorized representative of the named member acknowledges receipt of this Workers’ Compensation Insurance Proposal and authorizes NBAIS to bind coverage as outlined herein. The undersigned confirms that all information provided in connection with this application is accurate and complete to the best of their knowledge.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2664" w:type="dxa"/>
            <w:tcMar>
              <w:top w:w="80" w:type="dxa"/>
              <w:bottom w:w="80" w:type="dxa"/>
              <w:left w:w="0" w:type="dxa"/>
              <w:right w:w="60" w:type="dxa"/>
            </w:tcMar>
          </w:tcPr>
          <w:p>
            <w:r>
              <w:rPr>
                <w:rFonts w:ascii="Arial" w:hAnsi="Arial"/>
                <w:b/>
                <w:i w:val="0"/>
                <w:color w:val="1F3864"/>
                <w:sz w:val="20"/>
              </w:rPr>
              <w:t>By (Signature)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Print Name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Title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Date</w:t>
            </w:r>
          </w:p>
        </w:tc>
        <w:tc>
          <w:tcPr>
            <w:tcW w:type="dxa" w:w="8017"/>
            <w:tcW w:w="7992" w:type="dxa"/>
            <w:tcMar>
              <w:top w:w="80" w:type="dxa"/>
              <w:bottom w:w="80" w:type="dxa"/>
              <w:left w:w="60" w:type="dxa"/>
              <w:right w:w="0" w:type="dxa"/>
            </w:tcMar>
            <w:tcBorders>
              <w:bottom w:val="single" w:sz="6" w:space="0" w:color="CCCCCC"/>
            </w:tcBorders>
          </w:tcPr>
          <w:p>
            <w:r/>
          </w:p>
        </w:tc>
      </w:tr>
    </w:tbl>
    <w:p>
      <w:pPr>
        <w:spacing w:before="320" w:after="80"/>
        <w:jc w:val="left"/>
      </w:pPr>
      <w:r>
        <w:rPr>
          <w:rFonts w:ascii="Arial" w:hAnsi="Arial"/>
          <w:b w:val="0"/>
          <w:i/>
          <w:color w:val="595959"/>
          <w:sz w:val="17"/>
        </w:rPr>
        <w:t>This proposal is not a guarantee of coverage. Final rates are subject to underwriting approval and audit. Coverage is effective only upon receipt of signed authorization and initial premium payment.</w:t>
      </w:r>
    </w:p>
    <w:p>
      <w:pPr>
        <w:sectPr>
          <w:footerReference w:type="default" r:id="rId16"/>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Coverage Recommendations</w:t>
      </w:r>
    </w:p>
    <w:p>
      <w:pPr>
        <w:spacing w:before="160" w:after="160"/>
      </w:pPr>
      <w:r>
        <w:rPr>
          <w:rFonts w:ascii="Arial" w:hAnsi="Arial"/>
          <w:b w:val="0"/>
          <w:i/>
          <w:color w:val="595959"/>
          <w:sz w:val="19"/>
        </w:rPr>
        <w:t>The following list identifies common coverage areas for businesses like yours. Your NBAIS producer can help you assess your specific needs and obtain quotes for any of the coverages listed below.</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Commercial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Flood (NFIP or Private Market)</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 (CGL)</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Liquor Liability</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Non-Owned &amp; Hired Auto Liability</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 &amp; Data Breach Response</w:t>
            </w:r>
          </w:p>
          <w:p>
            <w:pPr>
              <w:spacing w:before="40" w:after="40"/>
              <w:ind w:left="200"/>
            </w:pPr>
            <w:r>
              <w:rPr>
                <w:rFonts w:ascii="Arial" w:hAnsi="Arial"/>
                <w:b w:val="0"/>
                <w:i w:val="0"/>
                <w:color w:val="595959"/>
                <w:sz w:val="18"/>
              </w:rPr>
              <w:t>•  Employee Theft / Crime</w:t>
            </w:r>
          </w:p>
          <w:p>
            <w:pPr>
              <w:spacing w:before="40" w:after="40"/>
              <w:ind w:left="200"/>
            </w:pPr>
            <w:r>
              <w:rPr>
                <w:rFonts w:ascii="Arial" w:hAnsi="Arial"/>
                <w:b w:val="0"/>
                <w:i w:val="0"/>
                <w:color w:val="595959"/>
                <w:sz w:val="18"/>
              </w:rPr>
              <w:t>•  Social Engineering / Funds Transfer Fraud</w:t>
            </w:r>
          </w:p>
          <w:p>
            <w:pPr>
              <w:spacing w:before="40" w:after="40"/>
              <w:ind w:left="200"/>
            </w:pPr>
            <w:r>
              <w:rPr>
                <w:rFonts w:ascii="Arial" w:hAnsi="Arial"/>
                <w:b w:val="0"/>
                <w:i w:val="0"/>
                <w:color w:val="595959"/>
                <w:sz w:val="18"/>
              </w:rPr>
              <w:t>•  Identity Theft Protection</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 Owned Vehicles</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Carrier / Truckers Liability</w:t>
            </w:r>
          </w:p>
          <w:p>
            <w:pPr>
              <w:spacing w:before="40" w:after="40"/>
              <w:ind w:left="200"/>
            </w:pPr>
            <w:r>
              <w:rPr>
                <w:rFonts w:ascii="Arial" w:hAnsi="Arial"/>
                <w:b w:val="0"/>
                <w:i w:val="0"/>
                <w:color w:val="595959"/>
                <w:sz w:val="18"/>
              </w:rPr>
              <w:t>•  Auto Physical Damage</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Statutory Workers’ Compensation (NV) — current page</w:t>
            </w:r>
          </w:p>
          <w:p>
            <w:pPr>
              <w:spacing w:before="40" w:after="40"/>
              <w:ind w:left="200"/>
            </w:pPr>
            <w:r>
              <w:rPr>
                <w:rFonts w:ascii="Arial" w:hAnsi="Arial"/>
                <w:b w:val="0"/>
                <w:i w:val="0"/>
                <w:color w:val="595959"/>
                <w:sz w:val="18"/>
              </w:rPr>
              <w:t>•  Stop-Gap Employers’ Liability (monopolistic states)</w:t>
            </w:r>
          </w:p>
          <w:p>
            <w:pPr>
              <w:spacing w:before="40" w:after="40"/>
              <w:ind w:left="200"/>
            </w:pPr>
            <w:r>
              <w:rPr>
                <w:rFonts w:ascii="Arial" w:hAnsi="Arial"/>
                <w:b w:val="0"/>
                <w:i w:val="0"/>
                <w:color w:val="595959"/>
                <w:sz w:val="18"/>
              </w:rPr>
              <w:t>•  Voluntary Compensation &amp; Employers’ Liability</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 (follow-form)</w:t>
            </w:r>
          </w:p>
          <w:p>
            <w:pPr>
              <w:spacing w:before="40" w:after="40"/>
              <w:ind w:left="200"/>
            </w:pPr>
            <w:r>
              <w:rPr>
                <w:rFonts w:ascii="Arial" w:hAnsi="Arial"/>
                <w:b w:val="0"/>
                <w:i w:val="0"/>
                <w:color w:val="595959"/>
                <w:sz w:val="18"/>
              </w:rPr>
              <w:t>•  High-Limit Excess Towers</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w:t>
            </w:r>
          </w:p>
          <w:p>
            <w:pPr>
              <w:spacing w:before="40" w:after="40"/>
              <w:ind w:left="200"/>
            </w:pPr>
            <w:r>
              <w:rPr>
                <w:rFonts w:ascii="Arial" w:hAnsi="Arial"/>
                <w:b w:val="0"/>
                <w:i w:val="0"/>
                <w:color w:val="595959"/>
                <w:sz w:val="18"/>
              </w:rPr>
              <w:t>•  Fiduciary Liability</w:t>
            </w:r>
          </w:p>
          <w:p>
            <w:pPr>
              <w:spacing w:before="40" w:after="40"/>
              <w:ind w:left="200"/>
            </w:pPr>
            <w:r>
              <w:rPr>
                <w:rFonts w:ascii="Arial" w:hAnsi="Arial"/>
                <w:b w:val="0"/>
                <w:i w:val="0"/>
                <w:color w:val="595959"/>
                <w:sz w:val="18"/>
              </w:rPr>
              <w:t>•  Wage &amp; Hour Defense</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Design-Build Professional</w:t>
            </w:r>
          </w:p>
          <w:p>
            <w:pPr>
              <w:spacing w:before="40" w:after="40"/>
              <w:ind w:left="200"/>
            </w:pPr>
            <w:r>
              <w:rPr>
                <w:rFonts w:ascii="Arial" w:hAnsi="Arial"/>
                <w:b w:val="0"/>
                <w:i w:val="0"/>
                <w:color w:val="595959"/>
                <w:sz w:val="18"/>
              </w:rPr>
              <w:t>•  Technology E&amp;O</w:t>
            </w:r>
          </w:p>
        </w:tc>
      </w:tr>
    </w:tbl>
    <w:p>
      <w:pPr>
        <w:sectPr>
          <w:footerReference w:type="default" r:id="rId17"/>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6"/>
        </w:rPr>
        <w:t>Coverage Recommendations (continued)</w:t>
      </w:r>
    </w:p>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Wind / Hail Coverage</w:t>
            </w:r>
          </w:p>
          <w:p>
            <w:pPr>
              <w:spacing w:before="40" w:after="40"/>
              <w:ind w:left="200"/>
            </w:pPr>
            <w:r>
              <w:rPr>
                <w:rFonts w:ascii="Arial" w:hAnsi="Arial"/>
                <w:b w:val="0"/>
                <w:i w:val="0"/>
                <w:color w:val="595959"/>
                <w:sz w:val="18"/>
              </w:rPr>
              <w:t>•  Standalone Windstorm / Hail</w:t>
            </w:r>
          </w:p>
          <w:p>
            <w:pPr>
              <w:spacing w:before="40" w:after="40"/>
              <w:ind w:left="200"/>
            </w:pPr>
            <w:r>
              <w:rPr>
                <w:rFonts w:ascii="Arial" w:hAnsi="Arial"/>
                <w:b w:val="0"/>
                <w:i w:val="0"/>
                <w:color w:val="595959"/>
                <w:sz w:val="18"/>
              </w:rPr>
              <w:t>•  Parametric Wind Insurance</w:t>
            </w:r>
          </w:p>
          <w:p>
            <w:pPr>
              <w:spacing w:before="40" w:after="40"/>
              <w:ind w:left="200"/>
            </w:pPr>
            <w:r>
              <w:rPr>
                <w:rFonts w:ascii="Arial" w:hAnsi="Arial"/>
                <w:b w:val="0"/>
                <w:i w:val="0"/>
                <w:color w:val="595959"/>
                <w:sz w:val="18"/>
              </w:rPr>
              <w:t>•  Builder’s Risk — Wind Extension</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Workers’ Compensation</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Voluntary Compensation</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Storage Tank Liability</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Homeowners / Renters Insurance</w:t>
            </w:r>
          </w:p>
          <w:p>
            <w:pPr>
              <w:spacing w:before="40" w:after="40"/>
              <w:ind w:left="200"/>
            </w:pPr>
            <w:r>
              <w:rPr>
                <w:rFonts w:ascii="Arial" w:hAnsi="Arial"/>
                <w:b w:val="0"/>
                <w:i w:val="0"/>
                <w:color w:val="595959"/>
                <w:sz w:val="18"/>
              </w:rPr>
              <w:t>•  High-Value Home (agreed value)</w:t>
            </w:r>
          </w:p>
          <w:p>
            <w:pPr>
              <w:spacing w:before="40" w:after="40"/>
              <w:ind w:left="200"/>
            </w:pPr>
            <w:r>
              <w:rPr>
                <w:rFonts w:ascii="Arial" w:hAnsi="Arial"/>
                <w:b w:val="0"/>
                <w:i w:val="0"/>
                <w:color w:val="595959"/>
                <w:sz w:val="18"/>
              </w:rPr>
              <w:t>•  Personal Umbrella</w:t>
            </w:r>
          </w:p>
          <w:p>
            <w:pPr>
              <w:spacing w:before="40" w:after="40"/>
              <w:ind w:left="200"/>
            </w:pPr>
            <w:r>
              <w:rPr>
                <w:rFonts w:ascii="Arial" w:hAnsi="Arial"/>
                <w:b w:val="0"/>
                <w:i w:val="0"/>
                <w:color w:val="595959"/>
                <w:sz w:val="18"/>
              </w:rPr>
              <w:t>•  Valuable Articles / Collections</w:t>
            </w:r>
          </w:p>
          <w:p>
            <w:pPr>
              <w:spacing w:before="40" w:after="40"/>
              <w:ind w:left="200"/>
            </w:pPr>
            <w:r>
              <w:rPr>
                <w:rFonts w:ascii="Arial" w:hAnsi="Arial"/>
                <w:b w:val="0"/>
                <w:i w:val="0"/>
                <w:color w:val="595959"/>
                <w:sz w:val="18"/>
              </w:rPr>
              <w:t>•  Watercraft</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Farm &amp; Ranch</w:t>
            </w:r>
          </w:p>
          <w:p>
            <w:pPr>
              <w:spacing w:before="40" w:after="40"/>
              <w:ind w:left="200"/>
            </w:pPr>
            <w:r>
              <w:rPr>
                <w:rFonts w:ascii="Arial" w:hAnsi="Arial"/>
                <w:b w:val="0"/>
                <w:i w:val="0"/>
                <w:color w:val="595959"/>
                <w:sz w:val="18"/>
              </w:rPr>
              <w:t>•  Farm Owners Coverage</w:t>
            </w:r>
          </w:p>
          <w:p>
            <w:pPr>
              <w:spacing w:before="40" w:after="40"/>
              <w:ind w:left="200"/>
            </w:pPr>
            <w:r>
              <w:rPr>
                <w:rFonts w:ascii="Arial" w:hAnsi="Arial"/>
                <w:b w:val="0"/>
                <w:i w:val="0"/>
                <w:color w:val="595959"/>
                <w:sz w:val="18"/>
              </w:rPr>
              <w:t>•  Ranch Liability</w:t>
            </w:r>
          </w:p>
          <w:p>
            <w:pPr>
              <w:spacing w:before="40" w:after="40"/>
              <w:ind w:left="200"/>
            </w:pPr>
            <w:r>
              <w:rPr>
                <w:rFonts w:ascii="Arial" w:hAnsi="Arial"/>
                <w:b w:val="0"/>
                <w:i w:val="0"/>
                <w:color w:val="595959"/>
                <w:sz w:val="18"/>
              </w:rPr>
              <w:t>•  Crop / Livestock Coverage</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Performance &amp; Payment Bonds</w:t>
            </w:r>
          </w:p>
          <w:p>
            <w:pPr>
              <w:spacing w:before="40" w:after="40"/>
              <w:ind w:left="200"/>
            </w:pPr>
            <w:r>
              <w:rPr>
                <w:rFonts w:ascii="Arial" w:hAnsi="Arial"/>
                <w:b w:val="0"/>
                <w:i w:val="0"/>
                <w:color w:val="595959"/>
                <w:sz w:val="18"/>
              </w:rPr>
              <w:t>•  Bid Bonds</w:t>
            </w:r>
          </w:p>
          <w:p>
            <w:pPr>
              <w:spacing w:before="40" w:after="40"/>
              <w:ind w:left="200"/>
            </w:pPr>
            <w:r>
              <w:rPr>
                <w:rFonts w:ascii="Arial" w:hAnsi="Arial"/>
                <w:b w:val="0"/>
                <w:i w:val="0"/>
                <w:color w:val="595959"/>
                <w:sz w:val="18"/>
              </w:rPr>
              <w:t>•  Subdivision / Site Improvement Bonds</w:t>
            </w:r>
          </w:p>
          <w:p>
            <w:pPr>
              <w:spacing w:before="40" w:after="40"/>
              <w:ind w:left="200"/>
            </w:pPr>
            <w:r>
              <w:rPr>
                <w:rFonts w:ascii="Arial" w:hAnsi="Arial"/>
                <w:b w:val="0"/>
                <w:i w:val="0"/>
                <w:color w:val="595959"/>
                <w:sz w:val="18"/>
              </w:rPr>
              <w:t>•  Supply Bonds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License &amp; Permit Bonds</w:t>
            </w:r>
          </w:p>
          <w:p>
            <w:pPr>
              <w:spacing w:before="40" w:after="40"/>
              <w:ind w:left="200"/>
            </w:pPr>
            <w:r>
              <w:rPr>
                <w:rFonts w:ascii="Arial" w:hAnsi="Arial"/>
                <w:b w:val="0"/>
                <w:i w:val="0"/>
                <w:color w:val="595959"/>
                <w:sz w:val="18"/>
              </w:rPr>
              <w:t>•  Contractor License Bonds</w:t>
            </w:r>
          </w:p>
          <w:p>
            <w:pPr>
              <w:spacing w:before="40" w:after="40"/>
              <w:ind w:left="200"/>
            </w:pPr>
            <w:r>
              <w:rPr>
                <w:rFonts w:ascii="Arial" w:hAnsi="Arial"/>
                <w:b w:val="0"/>
                <w:i w:val="0"/>
                <w:color w:val="595959"/>
                <w:sz w:val="18"/>
              </w:rPr>
              <w:t>•  Permit Bonds</w:t>
            </w:r>
          </w:p>
          <w:p>
            <w:pPr>
              <w:spacing w:before="40" w:after="40"/>
              <w:ind w:left="200"/>
            </w:pPr>
            <w:r>
              <w:rPr>
                <w:rFonts w:ascii="Arial" w:hAnsi="Arial"/>
                <w:b w:val="0"/>
                <w:i w:val="0"/>
                <w:color w:val="595959"/>
                <w:sz w:val="18"/>
              </w:rPr>
              <w:t>•  Court / Fiduciary Bonds</w:t>
            </w:r>
          </w:p>
          <w:p>
            <w:pPr>
              <w:spacing w:before="40" w:after="40"/>
              <w:ind w:left="200"/>
            </w:pPr>
            <w:r>
              <w:rPr>
                <w:rFonts w:ascii="Arial" w:hAnsi="Arial"/>
                <w:b w:val="0"/>
                <w:i w:val="0"/>
                <w:color w:val="595959"/>
                <w:sz w:val="18"/>
              </w:rPr>
              <w:t>•  Commercial Blanket Bonds</w:t>
            </w:r>
          </w:p>
        </w:tc>
      </w:tr>
    </w:tbl>
    <w:p>
      <w:pPr>
        <w:sectPr>
          <w:footerReference w:type="default" r:id="rId18"/>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Employee Benefits Recommendations</w:t>
      </w:r>
    </w:p>
    <w:p>
      <w:pPr>
        <w:spacing w:before="160" w:after="160"/>
        <w:jc w:val="left"/>
      </w:pPr>
      <w:r>
        <w:rPr>
          <w:rFonts w:ascii="Arial" w:hAnsi="Arial"/>
          <w:b w:val="0"/>
          <w:i/>
          <w:color w:val="595959"/>
          <w:sz w:val="19"/>
        </w:rPr>
        <w:t>NBAIS can connect you with specialists for group benefits, life insurance, and retirement planning. The following is an overview of available employee benefit programs.</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Group Health Insurance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Group Vision</w:t>
            </w:r>
          </w:p>
          <w:p>
            <w:pPr>
              <w:spacing w:before="40" w:after="40"/>
              <w:ind w:left="200"/>
            </w:pPr>
            <w:r>
              <w:rPr>
                <w:rFonts w:ascii="Arial" w:hAnsi="Arial"/>
                <w:b w:val="0"/>
                <w:i w:val="0"/>
                <w:color w:val="595959"/>
                <w:sz w:val="18"/>
              </w:rPr>
              <w:t>•  Flexible Spending Accounts (FSA)</w:t>
            </w:r>
          </w:p>
          <w:p>
            <w:pPr>
              <w:spacing w:before="40" w:after="40"/>
              <w:ind w:left="200"/>
            </w:pPr>
            <w:r>
              <w:rPr>
                <w:rFonts w:ascii="Arial" w:hAnsi="Arial"/>
                <w:b w:val="0"/>
                <w:i w:val="0"/>
                <w:color w:val="595959"/>
                <w:sz w:val="18"/>
              </w:rPr>
              <w:t>•  Health Reimbursement Arrangements (HRA)</w:t>
            </w:r>
          </w:p>
          <w:p>
            <w:pPr>
              <w:spacing w:before="40" w:after="40"/>
              <w:ind w:left="200"/>
            </w:pPr>
            <w:r>
              <w:rPr>
                <w:rFonts w:ascii="Arial" w:hAnsi="Arial"/>
                <w:b w:val="0"/>
                <w:i w:val="0"/>
                <w:color w:val="595959"/>
                <w:sz w:val="18"/>
              </w:rPr>
              <w:t>•  Health Savings Accounts (HSA)</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Short-Term Disability</w:t>
            </w:r>
          </w:p>
          <w:p>
            <w:pPr>
              <w:spacing w:before="40" w:after="40"/>
              <w:ind w:left="200"/>
            </w:pPr>
            <w:r>
              <w:rPr>
                <w:rFonts w:ascii="Arial" w:hAnsi="Arial"/>
                <w:b w:val="0"/>
                <w:i w:val="0"/>
                <w:color w:val="595959"/>
                <w:sz w:val="18"/>
              </w:rPr>
              <w:t>•  Long-Term Disability</w:t>
            </w:r>
          </w:p>
          <w:p>
            <w:pPr>
              <w:spacing w:before="40" w:after="40"/>
              <w:ind w:left="200"/>
            </w:pPr>
            <w:r>
              <w:rPr>
                <w:rFonts w:ascii="Arial" w:hAnsi="Arial"/>
                <w:b w:val="0"/>
                <w:i w:val="0"/>
                <w:color w:val="595959"/>
                <w:sz w:val="18"/>
              </w:rPr>
              <w:t>•  Group Accident Insurance</w:t>
            </w:r>
          </w:p>
          <w:p>
            <w:pPr>
              <w:spacing w:before="40" w:after="40"/>
              <w:ind w:left="200"/>
            </w:pPr>
            <w:r>
              <w:rPr>
                <w:rFonts w:ascii="Arial" w:hAnsi="Arial"/>
                <w:b w:val="0"/>
                <w:i w:val="0"/>
                <w:color w:val="595959"/>
                <w:sz w:val="18"/>
              </w:rPr>
              <w:t>•  Critical Illness Coverage</w:t>
            </w:r>
          </w:p>
          <w:p>
            <w:pPr>
              <w:spacing w:before="40" w:after="40"/>
              <w:ind w:left="200"/>
            </w:pPr>
            <w:r>
              <w:rPr>
                <w:rFonts w:ascii="Arial" w:hAnsi="Arial"/>
                <w:b w:val="0"/>
                <w:i w:val="0"/>
                <w:color w:val="595959"/>
                <w:sz w:val="18"/>
              </w:rPr>
              <w:t>•  Hospital Indemnity</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Business Planning</w:t>
            </w:r>
          </w:p>
          <w:p>
            <w:pPr>
              <w:spacing w:before="40" w:after="40"/>
              <w:ind w:left="200"/>
            </w:pPr>
            <w:r>
              <w:rPr>
                <w:rFonts w:ascii="Arial" w:hAnsi="Arial"/>
                <w:b w:val="0"/>
                <w:i w:val="0"/>
                <w:color w:val="595959"/>
                <w:sz w:val="18"/>
              </w:rPr>
              <w:t>•  Key Person Life Insurance</w:t>
            </w:r>
          </w:p>
          <w:p>
            <w:pPr>
              <w:spacing w:before="40" w:after="40"/>
              <w:ind w:left="200"/>
            </w:pPr>
            <w:r>
              <w:rPr>
                <w:rFonts w:ascii="Arial" w:hAnsi="Arial"/>
                <w:b w:val="0"/>
                <w:i w:val="0"/>
                <w:color w:val="595959"/>
                <w:sz w:val="18"/>
              </w:rPr>
              <w:t>•  Buy-Sell Agreement Funding</w:t>
            </w:r>
          </w:p>
          <w:p>
            <w:pPr>
              <w:spacing w:before="40" w:after="40"/>
              <w:ind w:left="200"/>
            </w:pPr>
            <w:r>
              <w:rPr>
                <w:rFonts w:ascii="Arial" w:hAnsi="Arial"/>
                <w:b w:val="0"/>
                <w:i w:val="0"/>
                <w:color w:val="595959"/>
                <w:sz w:val="18"/>
              </w:rPr>
              <w:t>•  Business Continuation Planning</w:t>
            </w:r>
          </w:p>
          <w:p>
            <w:pPr>
              <w:spacing w:before="40" w:after="40"/>
              <w:ind w:left="200"/>
            </w:pPr>
            <w:r>
              <w:rPr>
                <w:rFonts w:ascii="Arial" w:hAnsi="Arial"/>
                <w:b w:val="0"/>
                <w:i w:val="0"/>
                <w:color w:val="595959"/>
                <w:sz w:val="18"/>
              </w:rPr>
              <w:t>•  Executive Bonus Plans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Estate Planning</w:t>
            </w:r>
          </w:p>
          <w:p>
            <w:pPr>
              <w:spacing w:before="40" w:after="40"/>
              <w:ind w:left="200"/>
            </w:pPr>
            <w:r>
              <w:rPr>
                <w:rFonts w:ascii="Arial" w:hAnsi="Arial"/>
                <w:b w:val="0"/>
                <w:i w:val="0"/>
                <w:color w:val="595959"/>
                <w:sz w:val="18"/>
              </w:rPr>
              <w:t>•  Individual Life Insurance</w:t>
            </w:r>
          </w:p>
          <w:p>
            <w:pPr>
              <w:spacing w:before="40" w:after="40"/>
              <w:ind w:left="200"/>
            </w:pPr>
            <w:r>
              <w:rPr>
                <w:rFonts w:ascii="Arial" w:hAnsi="Arial"/>
                <w:b w:val="0"/>
                <w:i w:val="0"/>
                <w:color w:val="595959"/>
                <w:sz w:val="18"/>
              </w:rPr>
              <w:t>•  Survivorship / Second-to-Die Policies</w:t>
            </w:r>
          </w:p>
          <w:p>
            <w:pPr>
              <w:spacing w:before="40" w:after="40"/>
              <w:ind w:left="200"/>
            </w:pPr>
            <w:r>
              <w:rPr>
                <w:rFonts w:ascii="Arial" w:hAnsi="Arial"/>
                <w:b w:val="0"/>
                <w:i w:val="0"/>
                <w:color w:val="595959"/>
                <w:sz w:val="18"/>
              </w:rPr>
              <w:t>•  Irrevocable Life Insurance Trust (ILIT)</w:t>
            </w:r>
          </w:p>
          <w:p>
            <w:pPr>
              <w:spacing w:before="40" w:after="40"/>
              <w:ind w:left="200"/>
            </w:pPr>
            <w:r>
              <w:rPr>
                <w:rFonts w:ascii="Arial" w:hAnsi="Arial"/>
                <w:b w:val="0"/>
                <w:i w:val="0"/>
                <w:color w:val="595959"/>
                <w:sz w:val="18"/>
              </w:rPr>
              <w:t>•  Charitable Giving Strategies</w:t>
            </w: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Qualified Plans</w:t>
            </w:r>
          </w:p>
          <w:p>
            <w:pPr>
              <w:spacing w:before="40" w:after="40"/>
              <w:ind w:left="200"/>
            </w:pPr>
            <w:r>
              <w:rPr>
                <w:rFonts w:ascii="Arial" w:hAnsi="Arial"/>
                <w:b w:val="0"/>
                <w:i w:val="0"/>
                <w:color w:val="595959"/>
                <w:sz w:val="18"/>
              </w:rPr>
              <w:t>•  401(k) Plan Design &amp; Administration</w:t>
            </w:r>
          </w:p>
          <w:p>
            <w:pPr>
              <w:spacing w:before="40" w:after="40"/>
              <w:ind w:left="200"/>
            </w:pPr>
            <w:r>
              <w:rPr>
                <w:rFonts w:ascii="Arial" w:hAnsi="Arial"/>
                <w:b w:val="0"/>
                <w:i w:val="0"/>
                <w:color w:val="595959"/>
                <w:sz w:val="18"/>
              </w:rPr>
              <w:t>•  SIMPLE IRA</w:t>
            </w:r>
          </w:p>
          <w:p>
            <w:pPr>
              <w:spacing w:before="40" w:after="40"/>
              <w:ind w:left="200"/>
            </w:pPr>
            <w:r>
              <w:rPr>
                <w:rFonts w:ascii="Arial" w:hAnsi="Arial"/>
                <w:b w:val="0"/>
                <w:i w:val="0"/>
                <w:color w:val="595959"/>
                <w:sz w:val="18"/>
              </w:rPr>
              <w:t>•  SEP IRA</w:t>
            </w:r>
          </w:p>
          <w:p>
            <w:pPr>
              <w:spacing w:before="40" w:after="40"/>
              <w:ind w:left="200"/>
            </w:pPr>
            <w:r>
              <w:rPr>
                <w:rFonts w:ascii="Arial" w:hAnsi="Arial"/>
                <w:b w:val="0"/>
                <w:i w:val="0"/>
                <w:color w:val="595959"/>
                <w:sz w:val="18"/>
              </w:rPr>
              <w:t>•  Defined Benefit / Pension Plans</w:t>
            </w:r>
          </w:p>
          <w:p>
            <w:pPr>
              <w:spacing w:before="40" w:after="40"/>
              <w:ind w:left="200"/>
            </w:pPr>
            <w:r>
              <w:rPr>
                <w:rFonts w:ascii="Arial" w:hAnsi="Arial"/>
                <w:b w:val="0"/>
                <w:i w:val="0"/>
                <w:color w:val="595959"/>
                <w:sz w:val="18"/>
              </w:rPr>
              <w:t>•  Profit-Sharing Plans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Non-Qualified Plans</w:t>
            </w:r>
          </w:p>
          <w:p>
            <w:pPr>
              <w:spacing w:before="40" w:after="40"/>
              <w:ind w:left="200"/>
            </w:pPr>
            <w:r>
              <w:rPr>
                <w:rFonts w:ascii="Arial" w:hAnsi="Arial"/>
                <w:b w:val="0"/>
                <w:i w:val="0"/>
                <w:color w:val="595959"/>
                <w:sz w:val="18"/>
              </w:rPr>
              <w:t>•  Deferred Compensation Plans</w:t>
            </w:r>
          </w:p>
          <w:p>
            <w:pPr>
              <w:spacing w:before="40" w:after="40"/>
              <w:ind w:left="200"/>
            </w:pPr>
            <w:r>
              <w:rPr>
                <w:rFonts w:ascii="Arial" w:hAnsi="Arial"/>
                <w:b w:val="0"/>
                <w:i w:val="0"/>
                <w:color w:val="595959"/>
                <w:sz w:val="18"/>
              </w:rPr>
              <w:t>•  Executive Supplemental Retirement (SERP)</w:t>
            </w:r>
          </w:p>
          <w:p>
            <w:pPr>
              <w:spacing w:before="40" w:after="40"/>
              <w:ind w:left="200"/>
            </w:pPr>
            <w:r>
              <w:rPr>
                <w:rFonts w:ascii="Arial" w:hAnsi="Arial"/>
                <w:b w:val="0"/>
                <w:i w:val="0"/>
                <w:color w:val="595959"/>
                <w:sz w:val="18"/>
              </w:rPr>
              <w:t>•  Split-Dollar Life Insurance</w:t>
            </w:r>
          </w:p>
        </w:tc>
      </w:tr>
    </w:tbl>
    <w:p>
      <w:pPr>
        <w:spacing w:before="280" w:after="80"/>
        <w:ind w:left="280" w:right="280"/>
        <w:shd w:val="clear" w:color="auto" w:fill="EBF3FB"/>
      </w:pPr>
      <w:r>
        <w:rPr>
          <w:rFonts w:ascii="Arial" w:hAnsi="Arial"/>
          <w:b w:val="0"/>
          <w:i/>
          <w:color w:val="1F3864"/>
          <w:sz w:val="18"/>
        </w:rPr>
        <w:t>Your NBAIS producer can help you assess your employee benefits needs and develop a comprehensive program. Contact Dianne Slater to schedule a benefits review.</w:t>
      </w:r>
    </w:p>
    <w:sectPr w:rsidR="00FC693F" w:rsidRPr="0006063C" w:rsidSect="00034616">
      <w:footerReference w:type="default" r:id="rId19"/>
      <w:pgSz w:w="17618" w:h="22800"/>
      <w:pgMar w:top="720" w:right="792" w:bottom="720" w:left="79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Table of Contents</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16" w:space="4" w:color="1F3864"/>
      </w:pBdr>
      <w:tabs>
        <w:tab w:val="right" w:pos="10656"/>
      </w:tabs>
    </w:pPr>
    <w:r>
      <w:rPr>
        <w:rFonts w:ascii="Arial" w:hAnsi="Arial"/>
        <w:b/>
        <w:i w:val="0"/>
        <w:color w:val="1F3864"/>
        <w:sz w:val="24"/>
      </w:rPr>
      <w:t>NBAIS</w:t>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