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4680"/>
        <w:gridCol w:w="4680"/>
      </w:tblGrid>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Prepared For</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{memberName}</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Policy Period</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{policyPeriod}</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Prepared By</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Dianne Slater</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Date</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{quoteDate}</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Program</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720" w:footer="720" w:gutter="0"/>
          <w:cols w:space="720"/>
          <w:titlePg/>
          <w:docGrid w:linePitch="360"/>
        </w:sectPr>
      </w:pP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 &amp; Coverage at a Glance</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9360"/>
            <w:gridSpan w:val="2"/>
            <w:shd w:val="clear" w:color="auto" w:fill="1F3864"/>
            <w:tcMar>
              <w:top w:w="80" w:type="dxa"/>
              <w:bottom w:w="80" w:type="dxa"/>
              <w:left w:w="100" w:type="dxa"/>
              <w:right w:w="80" w:type="dxa"/>
            </w:tcMar>
            <w:vAlign w:val="center"/>
          </w:tcPr>
          <w:p>
            <w:r>
              <w:rPr>
                <w:rFonts w:ascii="Arial" w:hAnsi="Arial"/>
                <w:b/>
                <w:i w:val="0"/>
                <w:color w:val="FFFFFF"/>
                <w:sz w:val="22"/>
              </w:rPr>
              <w:t>Coverage at a Glance</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Insured</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{memberName}</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 — Statutory (Nevada) / Employers’ Liability</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Employers’ Liability Limits</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$1,000,000 Each Accident / $1,000,000 Disease – Each Employee / $1,000,000 Disease – Policy Limit</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Program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Nevada Builders Alliance — NBAIS Member Program</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Carrier</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Est. Premium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{estPremium} (subject to final audit)</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Surplus Contribution (8%)</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{surplusContribution}</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Employers’ Liability Fee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{employersLiabilityFee}</w:t>
            </w:r>
          </w:p>
        </w:tc>
      </w:tr>
      <w:tr>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 Estimated Cost</w:t>
            </w:r>
          </w:p>
        </w:tc>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{totalEstimatedPremium}</w:t>
            </w:r>
          </w:p>
        </w:tc>
      </w:tr>
      <w:tr>
        <w:tc>
          <w:tcPr>
            <w:tcW w:type="dxa" w:w="4680"/>
            <w:tcMar>
              <w:top w:w="60" w:type="dxa"/>
              <w:bottom w:w="60" w:type="dxa"/>
              <w:left w:w="80" w:type="dxa"/>
              <w:right w:w="60" w:type="dxa"/>
            </w:tcMar>
            <w:vAlign w:val="center"/>
          </w:tcPr>
          <w:p>
            <w:r>
              <w:rPr>
                <w:rFonts w:ascii="Arial" w:hAnsi="Arial"/>
                <w:b/>
                <w:i w:val="0"/>
                <w:color w:val="1F3864"/>
                <w:sz w:val="20"/>
              </w:rPr>
              <w:t>Initial Down Payment</w:t>
            </w:r>
          </w:p>
        </w:tc>
        <w:tc>
          <w:tcPr>
            <w:tcW w:type="dxa" w:w="4680"/>
            <w:tcMar>
              <w:top w:w="60" w:type="dxa"/>
              <w:bottom w:w="60" w:type="dxa"/>
              <w:left w:w="80" w:type="dxa"/>
              <w:right w:w="60" w:type="dxa"/>
            </w:tcMar>
            <w:vAlign w:val="center"/>
          </w:tcPr>
          <w:p>
            <w:r>
              <w:rPr>
                <w:rFonts w:ascii="Arial" w:hAnsi="Arial"/>
                <w:b w:val="0"/>
                <w:i w:val="0"/>
                <w:color w:val="595959"/>
                <w:sz w:val="20"/>
              </w:rPr>
              <w:t>{downPayment} (25% — new business). 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pacing w:before="0" w:after="0"/>
      </w:pPr>
      <w:r>
        <w:br w:type="page"/>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 Workers’ Compensation</w:t>
            </w:r>
          </w:p>
        </w:tc>
      </w:tr>
    </w:tbl>
    <w:p>
      <w:pPr>
        <w:spacing w:before="240" w:after="120"/>
        <w:pBdr>
          <w:bottom w:val="single" w:sz="8" w:space="4" w:color="CCCCCC"/>
        </w:pBdr>
      </w:pPr>
      <w:r>
        <w:rPr>
          <w:rFonts w:ascii="Arial" w:hAnsi="Arial"/>
          <w:b/>
          <w:i w:val="0"/>
          <w:color w:val="1F3864"/>
          <w:sz w:val="22"/>
        </w:rPr>
        <w:t>Policy Information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tcW w:w="2808" w:type="dxa"/>
            <w:tcMar>
              <w:top w:w="80" w:type="dxa"/>
              <w:bottom w:w="80" w:type="dxa"/>
              <w:left w:w="115" w:type="dxa"/>
              <w:right w:w="115" w:type="dxa"/>
            </w:tcMar>
            <w:vAlign w:val="center"/>
            <w:shd w:val="clear" w:color="auto" w:fill="F5F5F5"/>
          </w:tcPr>
          <w:p>
            <w:r>
              <w:rPr>
                <w:rFonts w:ascii="Arial" w:hAnsi="Arial"/>
                <w:b/>
                <w:i w:val="0"/>
                <w:color w:val="1F3864"/>
                <w:sz w:val="20"/>
              </w:rPr>
              <w:t>Carrier</w:t>
            </w:r>
          </w:p>
        </w:tc>
        <w:tc>
          <w:tcPr>
            <w:tcW w:type="dxa" w:w="4680"/>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Builders Association of Western Nevada Self-Insured Group (BAWNSIG)</w:t>
            </w:r>
          </w:p>
        </w:tc>
      </w:tr>
      <w:tr>
        <w:tc>
          <w:tcPr>
            <w:tcW w:type="dxa" w:w="4680"/>
            <w:tcW w:w="2808" w:type="dxa"/>
            <w:tcMar>
              <w:top w:w="80" w:type="dxa"/>
              <w:bottom w:w="80" w:type="dxa"/>
              <w:left w:w="115" w:type="dxa"/>
              <w:right w:w="115" w:type="dxa"/>
            </w:tcMar>
            <w:vAlign w:val="center"/>
          </w:tcPr>
          <w:p>
            <w:r>
              <w:rPr>
                <w:rFonts w:ascii="Arial" w:hAnsi="Arial"/>
                <w:b/>
                <w:i w:val="0"/>
                <w:color w:val="1F3864"/>
                <w:sz w:val="20"/>
              </w:rPr>
              <w:t>Program Manager</w:t>
            </w:r>
          </w:p>
        </w:tc>
        <w:tc>
          <w:tcPr>
            <w:tcW w:type="dxa" w:w="4680"/>
            <w:tcW w:w="6552" w:type="dxa"/>
            <w:tcMar>
              <w:top w:w="80" w:type="dxa"/>
              <w:bottom w:w="80" w:type="dxa"/>
              <w:left w:w="115" w:type="dxa"/>
              <w:right w:w="115" w:type="dxa"/>
            </w:tcMar>
            <w:vAlign w:val="center"/>
          </w:tcPr>
          <w:p>
            <w:r>
              <w:rPr>
                <w:rFonts w:ascii="Arial" w:hAnsi="Arial"/>
                <w:b w:val="0"/>
                <w:i w:val="0"/>
                <w:color w:val="595959"/>
                <w:sz w:val="20"/>
              </w:rPr>
              <w:t>Lusense</w:t>
            </w:r>
          </w:p>
        </w:tc>
      </w:tr>
      <w:tr>
        <w:tc>
          <w:tcPr>
            <w:tcW w:type="dxa" w:w="4680"/>
            <w:tcW w:w="2808" w:type="dxa"/>
            <w:tcMar>
              <w:top w:w="80" w:type="dxa"/>
              <w:bottom w:w="80" w:type="dxa"/>
              <w:left w:w="115" w:type="dxa"/>
              <w:right w:w="115" w:type="dxa"/>
            </w:tcMar>
            <w:vAlign w:val="center"/>
            <w:shd w:val="clear" w:color="auto" w:fill="F5F5F5"/>
          </w:tcPr>
          <w:p>
            <w:r>
              <w:rPr>
                <w:rFonts w:ascii="Arial" w:hAnsi="Arial"/>
                <w:b/>
                <w:i w:val="0"/>
                <w:color w:val="1F3864"/>
                <w:sz w:val="20"/>
              </w:rPr>
              <w:t>Financial Strength</w:t>
            </w:r>
          </w:p>
        </w:tc>
        <w:tc>
          <w:tcPr>
            <w:tcW w:type="dxa" w:w="4680"/>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type="dxa" w:w="4680"/>
            <w:tcW w:w="2808"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552"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2808"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w:t>
            </w:r>
          </w:p>
        </w:tc>
      </w:tr>
      <w:tr>
        <w:tc>
          <w:tcPr>
            <w:tcW w:type="dxa" w:w="4680"/>
            <w:tcW w:w="2808" w:type="dxa"/>
            <w:tcMar>
              <w:top w:w="80" w:type="dxa"/>
              <w:bottom w:w="80" w:type="dxa"/>
              <w:left w:w="115" w:type="dxa"/>
              <w:right w:w="115" w:type="dxa"/>
            </w:tcMar>
            <w:vAlign w:val="center"/>
          </w:tcPr>
          <w:p>
            <w:r>
              <w:rPr>
                <w:rFonts w:ascii="Arial" w:hAnsi="Arial"/>
                <w:b/>
                <w:i w:val="0"/>
                <w:color w:val="1F3864"/>
                <w:sz w:val="20"/>
              </w:rPr>
              <w:t>States Covered</w:t>
            </w:r>
          </w:p>
        </w:tc>
        <w:tc>
          <w:tcPr>
            <w:tcW w:type="dxa" w:w="4680"/>
            <w:tcW w:w="6552" w:type="dxa"/>
            <w:tcMar>
              <w:top w:w="80" w:type="dxa"/>
              <w:bottom w:w="80" w:type="dxa"/>
              <w:left w:w="115" w:type="dxa"/>
              <w:right w:w="115" w:type="dxa"/>
            </w:tcMar>
            <w:vAlign w:val="cente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Limit</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 — Workers’ Compensation</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Statutory per State of Nevada</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Each Accident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II — Employers’ Liability: Disease – Each Employee</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Disease – Policy Limit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4"/>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(continued)</w:t>
            </w:r>
          </w:p>
        </w:tc>
      </w:tr>
    </w:tbl>
    <w:p>
      <w:pPr>
        <w:spacing w:before="240" w:after="120"/>
        <w:pBdr>
          <w:bottom w:val="single" w:sz="8" w:space="4" w:color="CCCCCC"/>
        </w:pBdr>
      </w:pPr>
      <w:r>
        <w:rPr>
          <w:rFonts w:ascii="Arial" w:hAnsi="Arial"/>
          <w:b/>
          <w:i w:val="0"/>
          <w:color w:val="1F3864"/>
          <w:sz w:val="22"/>
        </w:rPr>
        <w:t>Employee Classification Schedule</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1560"/>
        <w:gridCol w:w="1560"/>
        <w:gridCol w:w="1560"/>
        <w:gridCol w:w="1560"/>
        <w:gridCol w:w="1560"/>
        <w:gridCol w:w="1560"/>
      </w:tblGrid>
      <w:tr>
        <w:trPr>
          <w:tblHeader w:val="1"/>
        </w:trPr>
        <w:tc>
          <w:tcPr>
            <w:tcW w:type="dxa" w:w="1560"/>
            <w:tcW w:w="655" w:type="dxa"/>
            <w:shd w:val="clear" w:color="auto" w:fill="1F3864"/>
            <w:tcMar>
              <w:top w:w="70" w:type="dxa"/>
              <w:bottom w:w="70" w:type="dxa"/>
              <w:left w:w="60" w:type="dxa"/>
              <w:right w:w="60" w:type="dxa"/>
            </w:tcMar>
            <w:vAlign w:val="center"/>
          </w:tcPr>
          <w:p>
            <w:r>
              <w:rPr>
                <w:rFonts w:ascii="Arial" w:hAnsi="Arial"/>
                <w:b/>
                <w:i w:val="0"/>
                <w:color w:val="FFFFFF"/>
                <w:sz w:val="18"/>
              </w:rPr>
              <w:t>State</w:t>
            </w:r>
          </w:p>
        </w:tc>
        <w:tc>
          <w:tcPr>
            <w:tcW w:type="dxa" w:w="1560"/>
            <w:tcW w:w="1123" w:type="dxa"/>
            <w:shd w:val="clear" w:color="auto" w:fill="1F3864"/>
            <w:tcMar>
              <w:top w:w="70" w:type="dxa"/>
              <w:bottom w:w="70" w:type="dxa"/>
              <w:left w:w="60" w:type="dxa"/>
              <w:right w:w="60" w:type="dxa"/>
            </w:tcMar>
            <w:vAlign w:val="center"/>
          </w:tcPr>
          <w:p>
            <w:r>
              <w:rPr>
                <w:rFonts w:ascii="Arial" w:hAnsi="Arial"/>
                <w:b/>
                <w:i w:val="0"/>
                <w:color w:val="FFFFFF"/>
                <w:sz w:val="18"/>
              </w:rPr>
              <w:t>Class Code</w:t>
            </w:r>
          </w:p>
        </w:tc>
        <w:tc>
          <w:tcPr>
            <w:tcW w:type="dxa" w:w="1560"/>
            <w:tcW w:w="2620" w:type="dxa"/>
            <w:shd w:val="clear" w:color="auto" w:fill="1F3864"/>
            <w:tcMar>
              <w:top w:w="70" w:type="dxa"/>
              <w:bottom w:w="70" w:type="dxa"/>
              <w:left w:w="60" w:type="dxa"/>
              <w:right w:w="60" w:type="dxa"/>
            </w:tcMar>
            <w:vAlign w:val="center"/>
          </w:tcPr>
          <w:p>
            <w:r>
              <w:rPr>
                <w:rFonts w:ascii="Arial" w:hAnsi="Arial"/>
                <w:b/>
                <w:i w:val="0"/>
                <w:color w:val="FFFFFF"/>
                <w:sz w:val="18"/>
              </w:rPr>
              <w:t>Description</w:t>
            </w:r>
          </w:p>
        </w:tc>
        <w:tc>
          <w:tcPr>
            <w:tcW w:type="dxa" w:w="1560"/>
            <w:tcW w:w="1965" w:type="dxa"/>
            <w:shd w:val="clear" w:color="auto" w:fill="1F3864"/>
            <w:tcMar>
              <w:top w:w="70" w:type="dxa"/>
              <w:bottom w:w="70" w:type="dxa"/>
              <w:left w:w="60" w:type="dxa"/>
              <w:right w:w="60" w:type="dxa"/>
            </w:tcMar>
            <w:vAlign w:val="center"/>
          </w:tcPr>
          <w:p>
            <w:r>
              <w:rPr>
                <w:rFonts w:ascii="Arial" w:hAnsi="Arial"/>
                <w:b/>
                <w:i w:val="0"/>
                <w:color w:val="FFFFFF"/>
                <w:sz w:val="18"/>
              </w:rPr>
              <w:t>Est. Annual Payroll</w:t>
            </w:r>
          </w:p>
        </w:tc>
        <w:tc>
          <w:tcPr>
            <w:tcW w:type="dxa" w:w="1560"/>
            <w:tcW w:w="1123" w:type="dxa"/>
            <w:shd w:val="clear" w:color="auto" w:fill="1F3864"/>
            <w:tcMar>
              <w:top w:w="70" w:type="dxa"/>
              <w:bottom w:w="70" w:type="dxa"/>
              <w:left w:w="60" w:type="dxa"/>
              <w:right w:w="60" w:type="dxa"/>
            </w:tcMar>
            <w:vAlign w:val="center"/>
          </w:tcPr>
          <w:p>
            <w:r>
              <w:rPr>
                <w:rFonts w:ascii="Arial" w:hAnsi="Arial"/>
                <w:b/>
                <w:i w:val="0"/>
                <w:color w:val="FFFFFF"/>
                <w:sz w:val="18"/>
              </w:rPr>
              <w:t>Rate</w:t>
            </w:r>
          </w:p>
        </w:tc>
        <w:tc>
          <w:tcPr>
            <w:tcW w:type="dxa" w:w="1560"/>
            <w:tcW w:w="1874" w:type="dxa"/>
            <w:shd w:val="clear" w:color="auto" w:fill="1F3864"/>
            <w:tcMar>
              <w:top w:w="70" w:type="dxa"/>
              <w:bottom w:w="70" w:type="dxa"/>
              <w:left w:w="60" w:type="dxa"/>
              <w:right w:w="60" w:type="dxa"/>
            </w:tcMar>
            <w:vAlign w:val="center"/>
          </w:tcPr>
          <w:p>
            <w:r>
              <w:rPr>
                <w:rFonts w:ascii="Arial" w:hAnsi="Arial"/>
                <w:b/>
                <w:i w:val="0"/>
                <w:color w:val="FFFFFF"/>
                <w:sz w:val="18"/>
              </w:rPr>
              <w:t>Est. Premium</w:t>
            </w:r>
          </w:p>
        </w:tc>
      </w:tr>
      <w:tr>
        <w:tc>
          <w:tcPr>
            <w:tcW w:type="dxa" w:w="1560"/>
            <w:tcW w:w="655" w:type="dxa"/>
            <w:tcMar>
              <w:top w:w="80" w:type="dxa"/>
              <w:bottom w:w="80" w:type="dxa"/>
              <w:left w:w="80" w:type="dxa"/>
              <w:right w:w="80" w:type="dxa"/>
            </w:tcMar>
            <w:vAlign w:val="center"/>
          </w:tcPr>
          <w:p>
            <w:r>
              <w:rPr>
                <w:rFonts w:ascii="Arial" w:hAnsi="Arial"/>
                <w:b w:val="0"/>
                <w:i w:val="0"/>
                <w:color w:val="595959"/>
                <w:sz w:val="20"/>
              </w:rPr>
              <w:t>{#classSchedule}</w:t>
            </w:r>
          </w:p>
          <w:p>
            <w:r>
              <w:rPr>
                <w:rFonts w:ascii="Arial" w:hAnsi="Arial"/>
                <w:b w:val="0"/>
                <w:i w:val="0"/>
                <w:color w:val="595959"/>
                <w:sz w:val="20"/>
              </w:rPr>
              <w:t>{state}</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{classCode}</w:t>
            </w:r>
          </w:p>
        </w:tc>
        <w:tc>
          <w:tcPr>
            <w:tcW w:type="dxa" w:w="1560"/>
            <w:tcW w:w="2620" w:type="dxa"/>
            <w:tcMar>
              <w:top w:w="80" w:type="dxa"/>
              <w:bottom w:w="80" w:type="dxa"/>
              <w:left w:w="80" w:type="dxa"/>
              <w:right w:w="80" w:type="dxa"/>
            </w:tcMar>
            <w:vAlign w:val="center"/>
          </w:tcPr>
          <w:p>
            <w:r>
              <w:rPr>
                <w:rFonts w:ascii="Arial" w:hAnsi="Arial"/>
                <w:b w:val="0"/>
                <w:i w:val="0"/>
                <w:color w:val="595959"/>
                <w:sz w:val="20"/>
              </w:rPr>
              <w:t>{classDescription}</w:t>
            </w:r>
          </w:p>
        </w:tc>
        <w:tc>
          <w:tcPr>
            <w:tcW w:type="dxa" w:w="1560"/>
            <w:tcW w:w="1965" w:type="dxa"/>
            <w:tcMar>
              <w:top w:w="80" w:type="dxa"/>
              <w:bottom w:w="80" w:type="dxa"/>
              <w:left w:w="80" w:type="dxa"/>
              <w:right w:w="80" w:type="dxa"/>
            </w:tcMar>
            <w:vAlign w:val="center"/>
          </w:tcPr>
          <w:p>
            <w:r>
              <w:rPr>
                <w:rFonts w:ascii="Arial" w:hAnsi="Arial"/>
                <w:b w:val="0"/>
                <w:i w:val="0"/>
                <w:color w:val="595959"/>
                <w:sz w:val="20"/>
              </w:rPr>
              <w:t>{estAnnualPayroll}</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{rate}</w:t>
            </w:r>
          </w:p>
        </w:tc>
        <w:tc>
          <w:tcPr>
            <w:tcW w:type="dxa" w:w="1560"/>
            <w:tcW w:w="1874" w:type="dxa"/>
            <w:tcMar>
              <w:top w:w="80" w:type="dxa"/>
              <w:bottom w:w="80" w:type="dxa"/>
              <w:left w:w="80" w:type="dxa"/>
              <w:right w:w="80" w:type="dxa"/>
            </w:tcMar>
            <w:vAlign w:val="center"/>
          </w:tcPr>
          <w:p>
            <w:r>
              <w:rPr>
                <w:rFonts w:ascii="Arial" w:hAnsi="Arial"/>
                <w:b w:val="0"/>
                <w:i w:val="0"/>
                <w:color w:val="595959"/>
                <w:sz w:val="20"/>
              </w:rPr>
              <w:t>{classEstPremium}</w:t>
            </w:r>
          </w:p>
          <w:p>
            <w:r>
              <w:rPr>
                <w:rFonts w:ascii="Arial" w:hAnsi="Arial"/>
                <w:b w:val="0"/>
                <w:i w:val="0"/>
                <w:color w:val="595959"/>
                <w:sz w:val="20"/>
              </w:rPr>
              <w:t>{/classSchedule}</w:t>
            </w:r>
          </w:p>
        </w:tc>
      </w:tr>
      <w:tr>
        <w:tc>
          <w:tcPr>
            <w:tcW w:type="dxa" w:w="7800"/>
            <w:tcW w:w="655" w:type="dxa"/>
            <w:gridSpan w:val="5"/>
            <w:shd w:val="clear" w:color="auto" w:fill="F5F5F5"/>
            <w:tcMar>
              <w:top w:w="70" w:type="dxa"/>
              <w:bottom w:w="70" w:type="dxa"/>
              <w:left w:w="60" w:type="dxa"/>
              <w:right w:w="60" w:type="dxa"/>
            </w:tcMar>
            <w:vAlign w:val="center"/>
          </w:tcPr>
          <w:p>
            <w:pPr>
              <w:jc w:val="right"/>
            </w:pPr>
            <w:r>
              <w:rPr>
                <w:rFonts w:ascii="Arial" w:hAnsi="Arial"/>
                <w:b/>
                <w:i w:val="0"/>
                <w:color w:val="1F3864"/>
                <w:sz w:val="20"/>
              </w:rPr>
              <w:t>Total Estimated Premium</w:t>
            </w:r>
          </w:p>
        </w:tc>
        <w:tc>
          <w:tcPr>
            <w:tcW w:type="dxa" w:w="1560"/>
            <w:tcW w:w="1874" w:type="dxa"/>
            <w:shd w:val="clear" w:color="auto" w:fill="F5F5F5"/>
            <w:tcMar>
              <w:top w:w="70" w:type="dxa"/>
              <w:bottom w:w="70" w:type="dxa"/>
              <w:left w:w="60" w:type="dxa"/>
              <w:right w:w="60" w:type="dxa"/>
            </w:tcMar>
            <w:vAlign w:val="cente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Election Form</w:t>
            </w:r>
          </w:p>
        </w:tc>
      </w:tr>
      <w:tr>
        <w:tc>
          <w:tcPr>
            <w:tcW w:type="dxa" w:w="4680"/>
            <w:tcW w:w="2808" w:type="dxa"/>
            <w:tcMar>
              <w:top w:w="60" w:type="dxa"/>
              <w:bottom w:w="60" w:type="dxa"/>
              <w:left w:w="80" w:type="dxa"/>
              <w:right w:w="60" w:type="dxa"/>
            </w:tcMar>
            <w:vAlign w:val="center"/>
          </w:tcPr>
          <w:p>
            <w:r>
              <w:rPr>
                <w:rFonts w:ascii="Arial" w:hAnsi="Arial"/>
                <w:b w:val="0"/>
                <w:i w:val="0"/>
                <w:color w:val="595959"/>
                <w:sz w:val="20"/>
              </w:rPr>
              <w:t>{#excludedPersons}</w:t>
            </w:r>
          </w:p>
          <w:p>
            <w:r>
              <w:rPr>
                <w:rFonts w:ascii="Arial" w:hAnsi="Arial"/>
                <w:b w:val="0"/>
                <w:i w:val="0"/>
                <w:color w:val="595959"/>
                <w:sz w:val="20"/>
              </w:rPr>
              <w:t>{name}</w:t>
            </w:r>
          </w:p>
        </w:tc>
        <w:tc>
          <w:tcPr>
            <w:tcW w:type="dxa" w:w="4680"/>
            <w:tcW w:w="6552" w:type="dxa"/>
            <w:tcMar>
              <w:top w:w="60" w:type="dxa"/>
              <w:bottom w:w="60" w:type="dxa"/>
              <w:left w:w="80" w:type="dxa"/>
              <w:right w:w="60" w:type="dxa"/>
            </w:tcMar>
            <w:vAlign w:val="cente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5"/>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3120"/>
        <w:gridCol w:w="3120"/>
        <w:gridCol w:w="3120"/>
      </w:tblGrid>
      <w:tr>
        <w:tc>
          <w:tcPr>
            <w:tcW w:type="dxa" w:w="3120"/>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type="dxa" w:w="3120"/>
            <w:tcW w:w="200" w:type="dxa"/>
            <w:tcBorders>
              <w:top w:val="none" w:sz="0" w:space="0" w:color="auto"/>
              <w:left w:val="none" w:sz="0" w:space="0" w:color="auto"/>
              <w:bottom w:val="none" w:sz="0" w:space="0" w:color="auto"/>
              <w:right w:val="none" w:sz="0" w:space="0" w:color="auto"/>
            </w:tcBorders>
          </w:tcPr>
          <w:p/>
        </w:tc>
        <w:tc>
          <w:tcPr>
            <w:tcW w:type="dxa" w:w="3120"/>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1872" w:type="dxa"/>
            <w:tcMar>
              <w:top w:w="80" w:type="dxa"/>
              <w:bottom w:w="80" w:type="dxa"/>
              <w:left w:w="0" w:type="dxa"/>
              <w:right w:w="60" w:type="dxa"/>
            </w:tcMar>
            <w:vAlign w:val="center"/>
          </w:tcPr>
          <w:p>
            <w:r>
              <w:rPr>
                <w:rFonts w:ascii="Arial" w:hAnsi="Arial"/>
                <w:b/>
                <w:i w:val="0"/>
                <w:color w:val="1F3864"/>
                <w:sz w:val="20"/>
              </w:rPr>
              <w:t>By</w:t>
            </w:r>
          </w:p>
        </w:tc>
        <w:tc>
          <w:tcPr>
            <w:tcW w:type="dxa" w:w="4680"/>
            <w:tcW w:w="7488" w:type="dxa"/>
            <w:tcMar>
              <w:top w:w="80" w:type="dxa"/>
              <w:bottom w:w="80" w:type="dxa"/>
              <w:left w:w="60" w:type="dxa"/>
              <w:right w:w="0" w:type="dxa"/>
            </w:tcMar>
            <w:vAlign w:val="center"/>
            <w:tcBorders>
              <w:bottom w:val="single" w:sz="6" w:space="0" w:color="000000"/>
            </w:tcBorders>
          </w:tcPr>
          <w:p>
            <w:r/>
          </w:p>
        </w:tc>
      </w:tr>
      <w:tr>
        <w:tc>
          <w:tcPr>
            <w:tcW w:type="dxa" w:w="4680"/>
            <w:tcW w:w="1872" w:type="dxa"/>
            <w:tcMar>
              <w:top w:w="80" w:type="dxa"/>
              <w:bottom w:w="80" w:type="dxa"/>
              <w:left w:w="0" w:type="dxa"/>
              <w:right w:w="60" w:type="dxa"/>
            </w:tcMar>
            <w:vAlign w:val="center"/>
          </w:tcPr>
          <w:p>
            <w:r>
              <w:rPr>
                <w:rFonts w:ascii="Arial" w:hAnsi="Arial"/>
                <w:b/>
                <w:i w:val="0"/>
                <w:color w:val="1F3864"/>
                <w:sz w:val="20"/>
              </w:rPr>
              <w:t>Print Name</w:t>
            </w:r>
          </w:p>
        </w:tc>
        <w:tc>
          <w:tcPr>
            <w:tcW w:type="dxa" w:w="4680"/>
            <w:tcW w:w="7488" w:type="dxa"/>
            <w:tcMar>
              <w:top w:w="80" w:type="dxa"/>
              <w:bottom w:w="80" w:type="dxa"/>
              <w:left w:w="60" w:type="dxa"/>
              <w:right w:w="0" w:type="dxa"/>
            </w:tcMar>
            <w:vAlign w:val="center"/>
            <w:tcBorders>
              <w:bottom w:val="single" w:sz="6" w:space="0" w:color="000000"/>
            </w:tcBorders>
          </w:tcPr>
          <w:p>
            <w:r/>
          </w:p>
        </w:tc>
      </w:tr>
      <w:tr>
        <w:tc>
          <w:tcPr>
            <w:tcW w:type="dxa" w:w="4680"/>
            <w:tcW w:w="1872" w:type="dxa"/>
            <w:tcMar>
              <w:top w:w="80" w:type="dxa"/>
              <w:bottom w:w="80" w:type="dxa"/>
              <w:left w:w="0" w:type="dxa"/>
              <w:right w:w="60" w:type="dxa"/>
            </w:tcMar>
            <w:vAlign w:val="center"/>
          </w:tcPr>
          <w:p>
            <w:r>
              <w:rPr>
                <w:rFonts w:ascii="Arial" w:hAnsi="Arial"/>
                <w:b/>
                <w:i w:val="0"/>
                <w:color w:val="1F3864"/>
                <w:sz w:val="20"/>
              </w:rPr>
              <w:t>Title</w:t>
            </w:r>
          </w:p>
        </w:tc>
        <w:tc>
          <w:tcPr>
            <w:tcW w:type="dxa" w:w="4680"/>
            <w:tcW w:w="7488" w:type="dxa"/>
            <w:tcMar>
              <w:top w:w="80" w:type="dxa"/>
              <w:bottom w:w="80" w:type="dxa"/>
              <w:left w:w="60" w:type="dxa"/>
              <w:right w:w="0" w:type="dxa"/>
            </w:tcMar>
            <w:vAlign w:val="center"/>
            <w:tcBorders>
              <w:bottom w:val="single" w:sz="6" w:space="0" w:color="000000"/>
            </w:tcBorders>
          </w:tcPr>
          <w:p>
            <w:r/>
          </w:p>
        </w:tc>
      </w:tr>
      <w:tr>
        <w:tc>
          <w:tcPr>
            <w:tcW w:type="dxa" w:w="4680"/>
            <w:tcW w:w="1872" w:type="dxa"/>
            <w:tcMar>
              <w:top w:w="80" w:type="dxa"/>
              <w:bottom w:w="80" w:type="dxa"/>
              <w:left w:w="0" w:type="dxa"/>
              <w:right w:w="60" w:type="dxa"/>
            </w:tcMar>
            <w:vAlign w:val="center"/>
          </w:tcPr>
          <w:p>
            <w:r>
              <w:rPr>
                <w:rFonts w:ascii="Arial" w:hAnsi="Arial"/>
                <w:b/>
                <w:i w:val="0"/>
                <w:color w:val="1F3864"/>
                <w:sz w:val="20"/>
              </w:rPr>
              <w:t>Date</w:t>
            </w:r>
          </w:p>
        </w:tc>
        <w:tc>
          <w:tcPr>
            <w:tcW w:type="dxa" w:w="4680"/>
            <w:tcW w:w="7488" w:type="dxa"/>
            <w:tcMar>
              <w:top w:w="80" w:type="dxa"/>
              <w:bottom w:w="80" w:type="dxa"/>
              <w:left w:w="60" w:type="dxa"/>
              <w:right w:w="0" w:type="dxa"/>
            </w:tcMar>
            <w:vAlign w:val="center"/>
            <w:tcBorders>
              <w:bottom w:val="single" w:sz="6" w:space="0" w:color="000000"/>
            </w:tcBorders>
          </w:tcPr>
          <w:p>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6"/>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7"/>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Personal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8"/>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Retirement Plan Services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19"/>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center"/>
        </w:tcPr>
        <w:p>
          <w:pPr>
            <w:spacing w:before="0" w:after="0"/>
            <w:jc w:val="center"/>
          </w:pPr>
          <w:r>
            <w:rPr>
              <w:rFonts w:ascii="Arial" w:hAnsi="Arial"/>
              <w:b/>
              <w:i w:val="0"/>
              <w:color w:val="FFFFFF"/>
              <w:sz w:val="28"/>
            </w:rPr>
            <w:t>NBAIS Workers’ Compensation Program</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