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left="792"/>
      </w:pPr>
      <w:r>
        <w:rPr>
          <w:rFonts w:ascii="Arial" w:hAnsi="Arial"/>
          <w:b w:val="0"/>
          <w:i/>
          <w:color w:val="595959"/>
          <w:sz w:val="18"/>
        </w:rPr>
        <w:t>Nevada Builders Alliance Insurance Solutions</w:t>
      </w:r>
    </w:p>
    <w:p>
      <w:pPr>
        <w:spacing w:before="400" w:after="400"/>
        <w:jc w:val="center"/>
      </w:pPr>
      <w:r>
        <w:drawing>
          <wp:inline xmlns:a="http://schemas.openxmlformats.org/drawingml/2006/main" xmlns:pic="http://schemas.openxmlformats.org/drawingml/2006/picture">
            <wp:extent cx="2286000" cy="2177796"/>
            <wp:docPr id="1" name="Picture 1"/>
            <wp:cNvGraphicFramePr>
              <a:graphicFrameLocks noChangeAspect="1"/>
            </wp:cNvGraphicFramePr>
            <a:graphic>
              <a:graphicData uri="http://schemas.openxmlformats.org/drawingml/2006/picture">
                <pic:pic>
                  <pic:nvPicPr>
                    <pic:cNvPr id="0" name="logo_stacked.png"/>
                    <pic:cNvPicPr/>
                  </pic:nvPicPr>
                  <pic:blipFill>
                    <a:blip r:embed="rId11"/>
                    <a:stretch>
                      <a:fillRect/>
                    </a:stretch>
                  </pic:blipFill>
                  <pic:spPr>
                    <a:xfrm>
                      <a:off x="0" y="0"/>
                      <a:ext cx="2286000" cy="2177796"/>
                    </a:xfrm>
                    <a:prstGeom prst="rect"/>
                  </pic:spPr>
                </pic:pic>
              </a:graphicData>
            </a:graphic>
          </wp:inline>
        </w:drawing>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400" w:type="dxa"/>
        <w:jc w:val="center"/>
      </w:tblPr>
      <w:tblGrid>
        <w:gridCol w:w="1889"/>
        <w:gridCol w:w="3511"/>
      </w:tblGrid>
      <w:tr>
        <w:tc>
          <w:tcPr>
            <w:tcW w:w="1889" w:type="dxa"/>
            <w:tcMar>
              <w:top w:w="40" w:type="dxa"/>
              <w:bottom w:w="40" w:type="dxa"/>
              <w:left w:w="80" w:type="dxa"/>
              <w:right w:w="60" w:type="dxa"/>
            </w:tcMar>
            <w:vAlign w:val="center"/>
          </w:tcPr>
          <w:p>
            <w:pPr>
              <w:jc w:val="left"/>
            </w:pPr>
            <w:r>
              <w:rPr>
                <w:rFonts w:ascii="Arial" w:hAnsi="Arial"/>
                <w:b/>
                <w:i w:val="0"/>
                <w:color w:val="1F3864"/>
                <w:sz w:val="20"/>
              </w:rPr>
              <w:t>Prepared For</w:t>
            </w:r>
          </w:p>
        </w:tc>
        <w:tc>
          <w:tcPr>
            <w:tcW w:w="3511" w:type="dxa"/>
            <w:tcMar>
              <w:top w:w="40" w:type="dxa"/>
              <w:bottom w:w="40" w:type="dxa"/>
              <w:left w:w="60" w:type="dxa"/>
              <w:right w:w="80" w:type="dxa"/>
            </w:tcMar>
            <w:vAlign w:val="center"/>
          </w:tcPr>
          <w:p>
            <w:r>
              <w:rPr>
                <w:rFonts w:ascii="Arial" w:hAnsi="Arial"/>
                <w:b w:val="0"/>
                <w:i w:val="0"/>
                <w:color w:val="595959"/>
                <w:sz w:val="20"/>
              </w:rPr>
              <w:t>{memberName}</w:t>
            </w:r>
          </w:p>
        </w:tc>
      </w:tr>
      <w:tr>
        <w:tc>
          <w:tcPr>
            <w:tcW w:w="1889" w:type="dxa"/>
            <w:tcMar>
              <w:top w:w="40" w:type="dxa"/>
              <w:bottom w:w="40" w:type="dxa"/>
              <w:left w:w="80" w:type="dxa"/>
              <w:right w:w="60" w:type="dxa"/>
            </w:tcMar>
            <w:vAlign w:val="center"/>
          </w:tcPr>
          <w:p>
            <w:pPr>
              <w:jc w:val="left"/>
            </w:pPr>
            <w:r>
              <w:rPr>
                <w:rFonts w:ascii="Arial" w:hAnsi="Arial"/>
                <w:b/>
                <w:i w:val="0"/>
                <w:color w:val="1F3864"/>
                <w:sz w:val="20"/>
              </w:rPr>
              <w:t>Policy Period</w:t>
            </w:r>
          </w:p>
        </w:tc>
        <w:tc>
          <w:tcPr>
            <w:tcW w:w="3511" w:type="dxa"/>
            <w:tcMar>
              <w:top w:w="40" w:type="dxa"/>
              <w:bottom w:w="40" w:type="dxa"/>
              <w:left w:w="60" w:type="dxa"/>
              <w:right w:w="80" w:type="dxa"/>
            </w:tcMar>
            <w:vAlign w:val="center"/>
          </w:tcPr>
          <w:p>
            <w:r>
              <w:rPr>
                <w:rFonts w:ascii="Arial" w:hAnsi="Arial"/>
                <w:b w:val="0"/>
                <w:i w:val="0"/>
                <w:color w:val="595959"/>
                <w:sz w:val="20"/>
              </w:rPr>
              <w:t>{policyPeriod}</w:t>
            </w:r>
          </w:p>
        </w:tc>
      </w:tr>
      <w:tr>
        <w:tc>
          <w:tcPr>
            <w:tcW w:w="1889" w:type="dxa"/>
            <w:tcMar>
              <w:top w:w="40" w:type="dxa"/>
              <w:bottom w:w="40" w:type="dxa"/>
              <w:left w:w="80" w:type="dxa"/>
              <w:right w:w="60" w:type="dxa"/>
            </w:tcMar>
            <w:vAlign w:val="center"/>
          </w:tcPr>
          <w:p>
            <w:pPr>
              <w:jc w:val="left"/>
            </w:pPr>
            <w:r>
              <w:rPr>
                <w:rFonts w:ascii="Arial" w:hAnsi="Arial"/>
                <w:b/>
                <w:i w:val="0"/>
                <w:color w:val="1F3864"/>
                <w:sz w:val="20"/>
              </w:rPr>
              <w:t>Prepared By</w:t>
            </w:r>
          </w:p>
        </w:tc>
        <w:tc>
          <w:tcPr>
            <w:tcW w:w="3511" w:type="dxa"/>
            <w:tcMar>
              <w:top w:w="40" w:type="dxa"/>
              <w:bottom w:w="40" w:type="dxa"/>
              <w:left w:w="60" w:type="dxa"/>
              <w:right w:w="80" w:type="dxa"/>
            </w:tcMar>
            <w:vAlign w:val="center"/>
          </w:tcPr>
          <w:p>
            <w:r>
              <w:rPr>
                <w:rFonts w:ascii="Arial" w:hAnsi="Arial"/>
                <w:b w:val="0"/>
                <w:i w:val="0"/>
                <w:color w:val="595959"/>
                <w:sz w:val="20"/>
              </w:rPr>
              <w:t>Dianne Slater</w:t>
            </w:r>
          </w:p>
        </w:tc>
      </w:tr>
      <w:tr>
        <w:tc>
          <w:tcPr>
            <w:tcW w:w="1889" w:type="dxa"/>
            <w:tcMar>
              <w:top w:w="40" w:type="dxa"/>
              <w:bottom w:w="40" w:type="dxa"/>
              <w:left w:w="80" w:type="dxa"/>
              <w:right w:w="60" w:type="dxa"/>
            </w:tcMar>
            <w:vAlign w:val="center"/>
          </w:tcPr>
          <w:p>
            <w:pPr>
              <w:jc w:val="left"/>
            </w:pPr>
            <w:r>
              <w:rPr>
                <w:rFonts w:ascii="Arial" w:hAnsi="Arial"/>
                <w:b/>
                <w:i w:val="0"/>
                <w:color w:val="1F3864"/>
                <w:sz w:val="20"/>
              </w:rPr>
              <w:t>Date</w:t>
            </w:r>
          </w:p>
        </w:tc>
        <w:tc>
          <w:tcPr>
            <w:tcW w:w="3511" w:type="dxa"/>
            <w:tcMar>
              <w:top w:w="40" w:type="dxa"/>
              <w:bottom w:w="40" w:type="dxa"/>
              <w:left w:w="60" w:type="dxa"/>
              <w:right w:w="80" w:type="dxa"/>
            </w:tcMar>
            <w:vAlign w:val="center"/>
          </w:tcPr>
          <w:p>
            <w:r>
              <w:rPr>
                <w:rFonts w:ascii="Arial" w:hAnsi="Arial"/>
                <w:b w:val="0"/>
                <w:i w:val="0"/>
                <w:color w:val="595959"/>
                <w:sz w:val="20"/>
              </w:rPr>
              <w:t>{quoteDate}</w:t>
            </w:r>
          </w:p>
        </w:tc>
      </w:tr>
      <w:tr>
        <w:tc>
          <w:tcPr>
            <w:tcW w:w="1889" w:type="dxa"/>
            <w:tcMar>
              <w:top w:w="40" w:type="dxa"/>
              <w:bottom w:w="40" w:type="dxa"/>
              <w:left w:w="80" w:type="dxa"/>
              <w:right w:w="60" w:type="dxa"/>
            </w:tcMar>
            <w:vAlign w:val="center"/>
          </w:tcPr>
          <w:p>
            <w:pPr>
              <w:jc w:val="left"/>
            </w:pPr>
            <w:r>
              <w:rPr>
                <w:rFonts w:ascii="Arial" w:hAnsi="Arial"/>
                <w:b/>
                <w:i w:val="0"/>
                <w:color w:val="1F3864"/>
                <w:sz w:val="20"/>
              </w:rPr>
              <w:t>Program</w:t>
            </w:r>
          </w:p>
        </w:tc>
        <w:tc>
          <w:tcPr>
            <w:tcW w:w="3511" w:type="dxa"/>
            <w:tcMar>
              <w:top w:w="40" w:type="dxa"/>
              <w:bottom w:w="40" w:type="dxa"/>
              <w:left w:w="60" w:type="dxa"/>
              <w:right w:w="80" w:type="dxa"/>
            </w:tcMar>
            <w:vAlign w:val="center"/>
          </w:tcPr>
          <w:p>
            <w:r>
              <w:rPr>
                <w:rFonts w:ascii="Arial" w:hAnsi="Arial"/>
                <w:b w:val="0"/>
                <w:i w:val="0"/>
                <w:color w:val="595959"/>
                <w:sz w:val="20"/>
              </w:rPr>
              <w:t>Nevada Builders Alliance — NBAIS Member Program</w:t>
            </w:r>
          </w:p>
        </w:tc>
      </w:tr>
    </w:tbl>
    <w:p>
      <w:pPr>
        <w:sectPr>
          <w:headerReference w:type="first" r:id="rId9"/>
          <w:footerReference w:type="first" r:id="rId10"/>
          <w:pgSz w:w="12240" w:h="15840"/>
          <w:pgMar w:top="0" w:right="0" w:bottom="0" w:left="0" w:header="144" w:footer="720" w:gutter="0"/>
          <w:cols w:space="720"/>
          <w:titlePg/>
          <w:docGrid w:linePitch="360"/>
        </w:sectPr>
      </w:pPr>
    </w:p>
    <w:p>
      <w:pPr>
        <w:spacing w:before="60" w:after="60"/>
      </w:pPr>
      <w:r>
        <w:rPr>
          <w:rFonts w:ascii="Arial" w:hAnsi="Arial"/>
          <w:b w:val="0"/>
          <w:i w:val="0"/>
          <w:color w:val="595959"/>
          <w:sz w:val="20"/>
        </w:rPr>
        <w:t>{quoteDate}</w:t>
      </w:r>
    </w:p>
    <w:p>
      <w:pPr>
        <w:spacing w:before="60" w:after="60"/>
      </w:pPr>
      <w:r>
        <w:rPr>
          <w:rFonts w:ascii="Arial" w:hAnsi="Arial"/>
          <w:b w:val="0"/>
          <w:i w:val="0"/>
          <w:color w:val="595959"/>
          <w:sz w:val="20"/>
        </w:rPr>
        <w:t>{memberName}</w:t>
      </w:r>
    </w:p>
    <w:p>
      <w:pPr>
        <w:spacing w:before="60" w:after="60"/>
      </w:pPr>
      <w:r>
        <w:rPr>
          <w:rFonts w:ascii="Arial" w:hAnsi="Arial"/>
          <w:b w:val="0"/>
          <w:i w:val="0"/>
          <w:color w:val="595959"/>
          <w:sz w:val="20"/>
        </w:rPr>
        <w:t>{memberAddress}</w:t>
      </w:r>
    </w:p>
    <w:p>
      <w:pPr>
        <w:spacing w:before="200" w:after="200"/>
      </w:pPr>
      <w:r>
        <w:rPr>
          <w:rFonts w:ascii="Arial" w:hAnsi="Arial"/>
          <w:b/>
          <w:i w:val="0"/>
          <w:color w:val="595959"/>
          <w:sz w:val="20"/>
        </w:rPr>
        <w:t>RE: Workers’ Compensation Insurance Proposal — Nevada Builders Alliance Member Program</w:t>
      </w:r>
    </w:p>
    <w:p>
      <w:pPr>
        <w:spacing w:before="0" w:after="200"/>
        <w:jc w:val="left"/>
      </w:pPr>
      <w:r>
        <w:rPr>
          <w:rFonts w:ascii="Arial" w:hAnsi="Arial"/>
          <w:b w:val="0"/>
          <w:i w:val="0"/>
          <w:color w:val="595959"/>
          <w:sz w:val="20"/>
        </w:rPr>
        <w:t>Dear {memberName},</w:t>
      </w:r>
    </w:p>
    <w:p>
      <w:pPr>
        <w:spacing w:before="240" w:after="120"/>
        <w:pBdr>
          <w:bottom w:val="single" w:sz="8" w:space="4" w:color="CCCCCC"/>
        </w:pBdr>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specialists who understand your trade</w:t>
      </w:r>
    </w:p>
    <w:p>
      <w:pPr>
        <w:spacing w:before="40" w:after="40"/>
        <w:ind w:left="360"/>
      </w:pPr>
      <w:r>
        <w:rPr>
          <w:rFonts w:ascii="Arial" w:hAnsi="Arial"/>
          <w:b w:val="0"/>
          <w:i w:val="0"/>
          <w:color w:val="595959"/>
          <w:sz w:val="20"/>
        </w:rPr>
        <w:t xml:space="preserve">•  </w:t>
      </w:r>
      <w:r>
        <w:rPr>
          <w:rFonts w:ascii="Arial" w:hAnsi="Arial"/>
          <w:b w:val="0"/>
          <w:i w:val="0"/>
          <w:color w:val="595959"/>
          <w:sz w:val="20"/>
        </w:rPr>
        <w:t>Dividend potential — SIG participation with return of premium for favorable loss performance</w:t>
      </w:r>
    </w:p>
    <w:p>
      <w:pPr>
        <w:spacing w:before="40" w:after="40"/>
        <w:ind w:left="360"/>
      </w:pPr>
      <w:r>
        <w:rPr>
          <w:rFonts w:ascii="Arial" w:hAnsi="Arial"/>
          <w:b w:val="0"/>
          <w:i w:val="0"/>
          <w:color w:val="595959"/>
          <w:sz w:val="20"/>
        </w:rPr>
        <w:t xml:space="preserve">•  </w:t>
      </w:r>
      <w:r>
        <w:rPr>
          <w:rFonts w:ascii="Arial" w:hAnsi="Arial"/>
          <w:b w:val="0"/>
          <w:i w:val="0"/>
          <w:color w:val="595959"/>
          <w:sz w:val="20"/>
        </w:rPr>
        <w:t>Loss control resources — proactive safety and claims management support</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service team — NBAIS producers with direct carrier access</w:t>
      </w:r>
    </w:p>
    <w:p>
      <w:pPr>
        <w:spacing w:before="240" w:after="120"/>
        <w:pBdr>
          <w:bottom w:val="single" w:sz="8" w:space="4" w:color="CCCCCC"/>
        </w:pBdr>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 &amp; Coverage at a Glance</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2"/>
          <w:footerReference w:type="default" r:id="rId13"/>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9360"/>
            <w:gridSpan w:val="2"/>
            <w:shd w:val="clear" w:color="auto" w:fill="1F3864"/>
            <w:tcMar>
              <w:top w:w="80" w:type="dxa"/>
              <w:bottom w:w="80" w:type="dxa"/>
              <w:left w:w="100" w:type="dxa"/>
              <w:right w:w="80" w:type="dxa"/>
            </w:tcMar>
            <w:vAlign w:val="center"/>
          </w:tcPr>
          <w:p>
            <w:r>
              <w:rPr>
                <w:rFonts w:ascii="Arial" w:hAnsi="Arial"/>
                <w:b/>
                <w:i w:val="0"/>
                <w:color w:val="FFFFFF"/>
                <w:sz w:val="22"/>
              </w:rPr>
              <w:t>Coverage at a Glance</w:t>
            </w:r>
          </w:p>
        </w:tc>
      </w:tr>
      <w:tr>
        <w:tc>
          <w:tcPr>
            <w:tcW w:w="3276" w:type="dxa"/>
            <w:tcMar>
              <w:top w:w="80" w:type="dxa"/>
              <w:bottom w:w="80" w:type="dxa"/>
              <w:left w:w="115" w:type="dxa"/>
              <w:right w:w="115" w:type="dxa"/>
            </w:tcMar>
            <w:vAlign w:val="center"/>
            <w:shd w:val="clear" w:color="auto" w:fill="F5F5F5"/>
          </w:tcPr>
          <w:p>
            <w:r>
              <w:rPr>
                <w:rFonts w:ascii="Arial" w:hAnsi="Arial"/>
                <w:b/>
                <w:i w:val="0"/>
                <w:color w:val="1F3864"/>
                <w:sz w:val="20"/>
              </w:rPr>
              <w:t>Insured</w:t>
            </w:r>
          </w:p>
        </w:tc>
        <w:tc>
          <w:tcPr>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{memberName}</w:t>
            </w:r>
          </w:p>
        </w:tc>
      </w:tr>
      <w:tr>
        <w:tc>
          <w:tcPr>
            <w:tcW w:w="3276" w:type="dxa"/>
            <w:tcMar>
              <w:top w:w="80" w:type="dxa"/>
              <w:bottom w:w="80" w:type="dxa"/>
              <w:left w:w="115" w:type="dxa"/>
              <w:right w:w="115" w:type="dxa"/>
            </w:tcMar>
            <w:vAlign w:val="center"/>
          </w:tcPr>
          <w:p>
            <w:r>
              <w:rPr>
                <w:rFonts w:ascii="Arial" w:hAnsi="Arial"/>
                <w:b/>
                <w:i w:val="0"/>
                <w:color w:val="1F3864"/>
                <w:sz w:val="20"/>
              </w:rPr>
              <w:t>Policy Period</w:t>
            </w:r>
          </w:p>
        </w:tc>
        <w:tc>
          <w:tcPr>
            <w:tcW w:w="6084" w:type="dxa"/>
            <w:tcMar>
              <w:top w:w="80" w:type="dxa"/>
              <w:bottom w:w="80" w:type="dxa"/>
              <w:left w:w="115" w:type="dxa"/>
              <w:right w:w="115" w:type="dxa"/>
            </w:tcMar>
            <w:vAlign w:val="center"/>
          </w:tcPr>
          <w:p>
            <w:r>
              <w:rPr>
                <w:rFonts w:ascii="Arial" w:hAnsi="Arial"/>
                <w:b w:val="0"/>
                <w:i w:val="0"/>
                <w:color w:val="595959"/>
                <w:sz w:val="20"/>
              </w:rPr>
              <w:t>{policyPeriod}</w:t>
            </w:r>
          </w:p>
        </w:tc>
      </w:tr>
      <w:tr>
        <w:tc>
          <w:tcPr>
            <w:tcW w:w="3276" w:type="dxa"/>
            <w:tcMar>
              <w:top w:w="80" w:type="dxa"/>
              <w:bottom w:w="80" w:type="dxa"/>
              <w:left w:w="115" w:type="dxa"/>
              <w:right w:w="115" w:type="dxa"/>
            </w:tcMar>
            <w:vAlign w:val="center"/>
            <w:shd w:val="clear" w:color="auto" w:fill="F5F5F5"/>
          </w:tcPr>
          <w:p>
            <w:r>
              <w:rPr>
                <w:rFonts w:ascii="Arial" w:hAnsi="Arial"/>
                <w:b/>
                <w:i w:val="0"/>
                <w:color w:val="1F3864"/>
                <w:sz w:val="20"/>
              </w:rPr>
              <w:t>Coverage</w:t>
            </w:r>
          </w:p>
        </w:tc>
        <w:tc>
          <w:tcPr>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Workers’ Compensation — Statutory (Nevada) / Employers’ Liability</w:t>
            </w:r>
          </w:p>
        </w:tc>
      </w:tr>
      <w:tr>
        <w:tc>
          <w:tcPr>
            <w:tcW w:w="3276" w:type="dxa"/>
            <w:tcMar>
              <w:top w:w="80" w:type="dxa"/>
              <w:bottom w:w="80" w:type="dxa"/>
              <w:left w:w="115" w:type="dxa"/>
              <w:right w:w="115" w:type="dxa"/>
            </w:tcMar>
            <w:vAlign w:val="center"/>
          </w:tcPr>
          <w:p>
            <w:r>
              <w:rPr>
                <w:rFonts w:ascii="Arial" w:hAnsi="Arial"/>
                <w:b/>
                <w:i w:val="0"/>
                <w:color w:val="1F3864"/>
                <w:sz w:val="20"/>
              </w:rPr>
              <w:t>Employers’ Liability Limits</w:t>
            </w:r>
          </w:p>
        </w:tc>
        <w:tc>
          <w:tcPr>
            <w:tcW w:w="6084" w:type="dxa"/>
            <w:tcMar>
              <w:top w:w="80" w:type="dxa"/>
              <w:bottom w:w="80" w:type="dxa"/>
              <w:left w:w="115" w:type="dxa"/>
              <w:right w:w="115" w:type="dxa"/>
            </w:tcMar>
            <w:vAlign w:val="center"/>
          </w:tcPr>
          <w:p>
            <w:r>
              <w:rPr>
                <w:rFonts w:ascii="Arial" w:hAnsi="Arial"/>
                <w:b w:val="0"/>
                <w:i w:val="0"/>
                <w:color w:val="595959"/>
                <w:sz w:val="20"/>
              </w:rPr>
              <w:t>$1,000,000 Each Accident / $1,000,000 Disease – Each Employee / $1,000,000 Disease – Policy Limit</w:t>
            </w:r>
          </w:p>
        </w:tc>
      </w:tr>
      <w:tr>
        <w:tc>
          <w:tcPr>
            <w:tcW w:w="3276" w:type="dxa"/>
            <w:tcMar>
              <w:top w:w="80" w:type="dxa"/>
              <w:bottom w:w="80" w:type="dxa"/>
              <w:left w:w="115" w:type="dxa"/>
              <w:right w:w="115" w:type="dxa"/>
            </w:tcMar>
            <w:vAlign w:val="center"/>
            <w:shd w:val="clear" w:color="auto" w:fill="F5F5F5"/>
          </w:tcPr>
          <w:p>
            <w:r>
              <w:rPr>
                <w:rFonts w:ascii="Arial" w:hAnsi="Arial"/>
                <w:b/>
                <w:i w:val="0"/>
                <w:color w:val="1F3864"/>
                <w:sz w:val="20"/>
              </w:rPr>
              <w:t>Program</w:t>
            </w:r>
          </w:p>
        </w:tc>
        <w:tc>
          <w:tcPr>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Nevada Builders Alliance — NBAIS Member Program</w:t>
            </w:r>
          </w:p>
        </w:tc>
      </w:tr>
      <w:tr>
        <w:tc>
          <w:tcPr>
            <w:tcW w:w="3276" w:type="dxa"/>
            <w:tcMar>
              <w:top w:w="80" w:type="dxa"/>
              <w:bottom w:w="80" w:type="dxa"/>
              <w:left w:w="115" w:type="dxa"/>
              <w:right w:w="115" w:type="dxa"/>
            </w:tcMar>
            <w:vAlign w:val="center"/>
          </w:tcPr>
          <w:p>
            <w:r>
              <w:rPr>
                <w:rFonts w:ascii="Arial" w:hAnsi="Arial"/>
                <w:b/>
                <w:i w:val="0"/>
                <w:color w:val="1F3864"/>
                <w:sz w:val="20"/>
              </w:rPr>
              <w:t>Carrier</w:t>
            </w:r>
          </w:p>
        </w:tc>
        <w:tc>
          <w:tcPr>
            <w:tcW w:w="6084" w:type="dxa"/>
            <w:tcMar>
              <w:top w:w="80" w:type="dxa"/>
              <w:bottom w:w="80" w:type="dxa"/>
              <w:left w:w="115" w:type="dxa"/>
              <w:right w:w="115" w:type="dxa"/>
            </w:tcMar>
            <w:vAlign w:val="center"/>
          </w:tcPr>
          <w:p>
            <w:r>
              <w:rPr>
                <w:rFonts w:ascii="Arial" w:hAnsi="Arial"/>
                <w:b w:val="0"/>
                <w:i w:val="0"/>
                <w:color w:val="595959"/>
                <w:sz w:val="20"/>
              </w:rPr>
              <w:t>Builders Association of Western Nevada Self-Insured Group (BAWNSIG)</w:t>
            </w:r>
          </w:p>
        </w:tc>
      </w:tr>
      <w:tr>
        <w:tc>
          <w:tcPr>
            <w:tcW w:w="3276" w:type="dxa"/>
            <w:tcMar>
              <w:top w:w="80" w:type="dxa"/>
              <w:bottom w:w="80" w:type="dxa"/>
              <w:left w:w="115" w:type="dxa"/>
              <w:right w:w="115" w:type="dxa"/>
            </w:tcMar>
            <w:vAlign w:val="center"/>
            <w:shd w:val="clear" w:color="auto" w:fill="F5F5F5"/>
          </w:tcPr>
          <w:p>
            <w:r>
              <w:rPr>
                <w:rFonts w:ascii="Arial" w:hAnsi="Arial"/>
                <w:b/>
                <w:i w:val="0"/>
                <w:color w:val="1F3864"/>
                <w:sz w:val="20"/>
              </w:rPr>
              <w:t>Est. Premium</w:t>
            </w:r>
          </w:p>
        </w:tc>
        <w:tc>
          <w:tcPr>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{estPremium} (subject to final audit)</w:t>
            </w:r>
          </w:p>
        </w:tc>
      </w:tr>
      <w:tr>
        <w:tc>
          <w:tcPr>
            <w:tcW w:w="3276" w:type="dxa"/>
            <w:tcMar>
              <w:top w:w="80" w:type="dxa"/>
              <w:bottom w:w="80" w:type="dxa"/>
              <w:left w:w="115" w:type="dxa"/>
              <w:right w:w="115" w:type="dxa"/>
            </w:tcMar>
            <w:vAlign w:val="center"/>
          </w:tcPr>
          <w:p>
            <w:r>
              <w:rPr>
                <w:rFonts w:ascii="Arial" w:hAnsi="Arial"/>
                <w:b/>
                <w:i w:val="0"/>
                <w:color w:val="1F3864"/>
                <w:sz w:val="20"/>
              </w:rPr>
              <w:t>Surplus Contribution (8%)</w:t>
            </w:r>
          </w:p>
        </w:tc>
        <w:tc>
          <w:tcPr>
            <w:tcW w:w="6084" w:type="dxa"/>
            <w:tcMar>
              <w:top w:w="80" w:type="dxa"/>
              <w:bottom w:w="80" w:type="dxa"/>
              <w:left w:w="115" w:type="dxa"/>
              <w:right w:w="115" w:type="dxa"/>
            </w:tcMar>
            <w:vAlign w:val="center"/>
          </w:tcPr>
          <w:p>
            <w:r>
              <w:rPr>
                <w:rFonts w:ascii="Arial" w:hAnsi="Arial"/>
                <w:b w:val="0"/>
                <w:i w:val="0"/>
                <w:color w:val="595959"/>
                <w:sz w:val="20"/>
              </w:rPr>
              <w:t>{surplusContribution}</w:t>
            </w:r>
          </w:p>
        </w:tc>
      </w:tr>
      <w:tr>
        <w:tc>
          <w:tcPr>
            <w:tcW w:w="3276" w:type="dxa"/>
            <w:tcMar>
              <w:top w:w="80" w:type="dxa"/>
              <w:bottom w:w="80" w:type="dxa"/>
              <w:left w:w="115" w:type="dxa"/>
              <w:right w:w="115" w:type="dxa"/>
            </w:tcMar>
            <w:vAlign w:val="center"/>
            <w:shd w:val="clear" w:color="auto" w:fill="F5F5F5"/>
          </w:tcPr>
          <w:p>
            <w:r>
              <w:rPr>
                <w:rFonts w:ascii="Arial" w:hAnsi="Arial"/>
                <w:b/>
                <w:i w:val="0"/>
                <w:color w:val="1F3864"/>
                <w:sz w:val="20"/>
              </w:rPr>
              <w:t>Employers’ Liability Fee</w:t>
            </w:r>
          </w:p>
        </w:tc>
        <w:tc>
          <w:tcPr>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{employersLiabilityFee}</w:t>
            </w:r>
          </w:p>
        </w:tc>
      </w:tr>
      <w:tr>
        <w:tc>
          <w:tcPr>
            <w:tcW w:type="dxa" w:w="4680"/>
            <w:shd w:val="clear" w:color="auto" w:fill="EBF3FB"/>
            <w:tcMar>
              <w:top w:w="80" w:type="dxa"/>
              <w:bottom w:w="80" w:type="dxa"/>
              <w:left w:w="80" w:type="dxa"/>
              <w:right w:w="60" w:type="dxa"/>
            </w:tcMar>
            <w:vAlign w:val="center"/>
          </w:tcPr>
          <w:p>
            <w:r>
              <w:rPr>
                <w:rFonts w:ascii="Arial" w:hAnsi="Arial"/>
                <w:b/>
                <w:i w:val="0"/>
                <w:color w:val="1F3864"/>
                <w:sz w:val="22"/>
              </w:rPr>
              <w:t>Total Estimated Cost</w:t>
            </w:r>
          </w:p>
        </w:tc>
        <w:tc>
          <w:tcPr>
            <w:tcW w:type="dxa" w:w="4680"/>
            <w:shd w:val="clear" w:color="auto" w:fill="EBF3FB"/>
            <w:tcMar>
              <w:top w:w="80" w:type="dxa"/>
              <w:bottom w:w="80" w:type="dxa"/>
              <w:left w:w="80" w:type="dxa"/>
              <w:right w:w="60" w:type="dxa"/>
            </w:tcMar>
            <w:vAlign w:val="center"/>
          </w:tcPr>
          <w:p>
            <w:r>
              <w:rPr>
                <w:rFonts w:ascii="Arial" w:hAnsi="Arial"/>
                <w:b/>
                <w:i w:val="0"/>
                <w:color w:val="1F3864"/>
                <w:sz w:val="22"/>
              </w:rPr>
              <w:t>{totalEstimatedPremium}</w:t>
            </w:r>
          </w:p>
        </w:tc>
      </w:tr>
      <w:tr>
        <w:tc>
          <w:tcPr>
            <w:tcW w:type="dxa" w:w="4680"/>
            <w:tcMar>
              <w:top w:w="60" w:type="dxa"/>
              <w:bottom w:w="60" w:type="dxa"/>
              <w:left w:w="80" w:type="dxa"/>
              <w:right w:w="60" w:type="dxa"/>
            </w:tcMar>
            <w:vAlign w:val="center"/>
          </w:tcPr>
          <w:p>
            <w:r>
              <w:rPr>
                <w:rFonts w:ascii="Arial" w:hAnsi="Arial"/>
                <w:b/>
                <w:i w:val="0"/>
                <w:color w:val="1F3864"/>
                <w:sz w:val="20"/>
              </w:rPr>
              <w:t>Initial Down Payment</w:t>
            </w:r>
          </w:p>
        </w:tc>
        <w:tc>
          <w:tcPr>
            <w:tcW w:type="dxa" w:w="4680"/>
            <w:tcMar>
              <w:top w:w="60" w:type="dxa"/>
              <w:bottom w:w="60" w:type="dxa"/>
              <w:left w:w="80" w:type="dxa"/>
              <w:right w:w="60" w:type="dxa"/>
            </w:tcMar>
            <w:vAlign w:val="center"/>
          </w:tcPr>
          <w:p>
            <w:r>
              <w:rPr>
                <w:rFonts w:ascii="Arial" w:hAnsi="Arial"/>
                <w:b w:val="0"/>
                <w:i w:val="0"/>
                <w:color w:val="595959"/>
                <w:sz w:val="20"/>
              </w:rPr>
              <w:t>{downPayment} (25% — new business). Balance payable online via secure payment link provided upon binding.</w:t>
            </w:r>
          </w:p>
        </w:tc>
      </w:tr>
    </w:tbl>
    <w:p>
      <w:pPr>
        <w:spacing w:before="240" w:after="120"/>
        <w:pBdr>
          <w:bottom w:val="single" w:sz="8" w:space="4" w:color="CCCCCC"/>
        </w:pBdr>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pacing w:before="0" w:after="0"/>
      </w:pPr>
      <w:r>
        <w:br w:type="page"/>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Details — Workers’ Compensation</w:t>
            </w:r>
          </w:p>
        </w:tc>
      </w:tr>
    </w:tbl>
    <w:p>
      <w:pPr>
        <w:spacing w:before="240" w:after="120"/>
        <w:pBdr>
          <w:bottom w:val="single" w:sz="8" w:space="4" w:color="CCCCCC"/>
        </w:pBdr>
      </w:pPr>
      <w:r>
        <w:rPr>
          <w:rFonts w:ascii="Arial" w:hAnsi="Arial"/>
          <w:b/>
          <w:i w:val="0"/>
          <w:color w:val="1F3864"/>
          <w:sz w:val="22"/>
        </w:rPr>
        <w:t>Policy Information</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2808"/>
        <w:gridCol w:w="6552"/>
      </w:tblGrid>
      <w:tr>
        <w:tc>
          <w:tcPr>
            <w:tcW w:w="2808" w:type="dxa"/>
            <w:tcMar>
              <w:top w:w="80" w:type="dxa"/>
              <w:bottom w:w="80" w:type="dxa"/>
              <w:left w:w="115" w:type="dxa"/>
              <w:right w:w="115" w:type="dxa"/>
            </w:tcMar>
            <w:vAlign w:val="center"/>
            <w:shd w:val="clear" w:color="auto" w:fill="F5F5F5"/>
          </w:tcPr>
          <w:p>
            <w:r>
              <w:rPr>
                <w:rFonts w:ascii="Arial" w:hAnsi="Arial"/>
                <w:b/>
                <w:i w:val="0"/>
                <w:color w:val="1F3864"/>
                <w:sz w:val="20"/>
              </w:rPr>
              <w:t>Carrier</w:t>
            </w:r>
          </w:p>
        </w:tc>
        <w:tc>
          <w:tcPr>
            <w:tcW w:w="6552" w:type="dxa"/>
            <w:tcMar>
              <w:top w:w="80" w:type="dxa"/>
              <w:bottom w:w="80" w:type="dxa"/>
              <w:left w:w="115" w:type="dxa"/>
              <w:right w:w="115" w:type="dxa"/>
            </w:tcMar>
            <w:vAlign w:val="center"/>
            <w:shd w:val="clear" w:color="auto" w:fill="F5F5F5"/>
          </w:tcPr>
          <w:p>
            <w:r>
              <w:rPr>
                <w:rFonts w:ascii="Arial" w:hAnsi="Arial"/>
                <w:b w:val="0"/>
                <w:i w:val="0"/>
                <w:color w:val="595959"/>
                <w:sz w:val="20"/>
              </w:rPr>
              <w:t>Builders Association of Western Nevada Self-Insured Group (BAWNSIG)</w:t>
            </w:r>
          </w:p>
        </w:tc>
      </w:tr>
      <w:tr>
        <w:tc>
          <w:tcPr>
            <w:tcW w:w="2808" w:type="dxa"/>
            <w:tcMar>
              <w:top w:w="80" w:type="dxa"/>
              <w:bottom w:w="80" w:type="dxa"/>
              <w:left w:w="115" w:type="dxa"/>
              <w:right w:w="115" w:type="dxa"/>
            </w:tcMar>
            <w:vAlign w:val="center"/>
          </w:tcPr>
          <w:p>
            <w:r>
              <w:rPr>
                <w:rFonts w:ascii="Arial" w:hAnsi="Arial"/>
                <w:b/>
                <w:i w:val="0"/>
                <w:color w:val="1F3864"/>
                <w:sz w:val="20"/>
              </w:rPr>
              <w:t>Program Manager</w:t>
            </w:r>
          </w:p>
        </w:tc>
        <w:tc>
          <w:tcPr>
            <w:tcW w:w="6552" w:type="dxa"/>
            <w:tcMar>
              <w:top w:w="80" w:type="dxa"/>
              <w:bottom w:w="80" w:type="dxa"/>
              <w:left w:w="115" w:type="dxa"/>
              <w:right w:w="115" w:type="dxa"/>
            </w:tcMar>
            <w:vAlign w:val="center"/>
          </w:tcPr>
          <w:p>
            <w:r>
              <w:rPr>
                <w:rFonts w:ascii="Arial" w:hAnsi="Arial"/>
                <w:b w:val="0"/>
                <w:i w:val="0"/>
                <w:color w:val="595959"/>
                <w:sz w:val="20"/>
              </w:rPr>
              <w:t>Lusense</w:t>
            </w:r>
          </w:p>
        </w:tc>
      </w:tr>
      <w:tr>
        <w:tc>
          <w:tcPr>
            <w:tcW w:w="2808" w:type="dxa"/>
            <w:tcMar>
              <w:top w:w="80" w:type="dxa"/>
              <w:bottom w:w="80" w:type="dxa"/>
              <w:left w:w="115" w:type="dxa"/>
              <w:right w:w="115" w:type="dxa"/>
            </w:tcMar>
            <w:vAlign w:val="center"/>
            <w:shd w:val="clear" w:color="auto" w:fill="F5F5F5"/>
          </w:tcPr>
          <w:p>
            <w:r>
              <w:rPr>
                <w:rFonts w:ascii="Arial" w:hAnsi="Arial"/>
                <w:b/>
                <w:i w:val="0"/>
                <w:color w:val="1F3864"/>
                <w:sz w:val="20"/>
              </w:rPr>
              <w:t>Financial Strength</w:t>
            </w:r>
          </w:p>
        </w:tc>
        <w:tc>
          <w:tcPr>
            <w:tcW w:w="6552" w:type="dxa"/>
            <w:tcMar>
              <w:top w:w="80" w:type="dxa"/>
              <w:bottom w:w="80" w:type="dxa"/>
              <w:left w:w="115" w:type="dxa"/>
              <w:right w:w="115" w:type="dxa"/>
            </w:tcMar>
            <w:vAlign w:val="center"/>
            <w:shd w:val="clear" w:color="auto" w:fill="F5F5F5"/>
          </w:tcPr>
          <w:p>
            <w:r>
              <w:rPr>
                <w:rFonts w:ascii="Arial" w:hAnsi="Arial"/>
                <w:b w:val="0"/>
                <w:i w:val="0"/>
                <w:color w:val="595959"/>
                <w:sz w:val="20"/>
              </w:rPr>
              <w:t>BAWNSIG is a Nevada state-regulated self-insured group. AM Best rating not applicable — see program disclosure.</w:t>
            </w:r>
          </w:p>
        </w:tc>
      </w:tr>
      <w:tr>
        <w:tc>
          <w:tcPr>
            <w:tcW w:w="2808" w:type="dxa"/>
            <w:tcMar>
              <w:top w:w="80" w:type="dxa"/>
              <w:bottom w:w="80" w:type="dxa"/>
              <w:left w:w="115" w:type="dxa"/>
              <w:right w:w="115" w:type="dxa"/>
            </w:tcMar>
            <w:vAlign w:val="center"/>
          </w:tcPr>
          <w:p>
            <w:r>
              <w:rPr>
                <w:rFonts w:ascii="Arial" w:hAnsi="Arial"/>
                <w:b/>
                <w:i w:val="0"/>
                <w:color w:val="1F3864"/>
                <w:sz w:val="20"/>
              </w:rPr>
              <w:t>Policy Period</w:t>
            </w:r>
          </w:p>
        </w:tc>
        <w:tc>
          <w:tcPr>
            <w:tcW w:w="6552" w:type="dxa"/>
            <w:tcMar>
              <w:top w:w="80" w:type="dxa"/>
              <w:bottom w:w="80" w:type="dxa"/>
              <w:left w:w="115" w:type="dxa"/>
              <w:right w:w="115" w:type="dxa"/>
            </w:tcMar>
            <w:vAlign w:val="center"/>
          </w:tcPr>
          <w:p>
            <w:r>
              <w:rPr>
                <w:rFonts w:ascii="Arial" w:hAnsi="Arial"/>
                <w:b w:val="0"/>
                <w:i w:val="0"/>
                <w:color w:val="595959"/>
                <w:sz w:val="20"/>
              </w:rPr>
              <w:t>{policyPeriod}</w:t>
            </w:r>
          </w:p>
        </w:tc>
      </w:tr>
      <w:tr>
        <w:tc>
          <w:tcPr>
            <w:tcW w:w="2808" w:type="dxa"/>
            <w:tcMar>
              <w:top w:w="80" w:type="dxa"/>
              <w:bottom w:w="80" w:type="dxa"/>
              <w:left w:w="115" w:type="dxa"/>
              <w:right w:w="115" w:type="dxa"/>
            </w:tcMar>
            <w:vAlign w:val="center"/>
            <w:shd w:val="clear" w:color="auto" w:fill="F5F5F5"/>
          </w:tcPr>
          <w:p>
            <w:r>
              <w:rPr>
                <w:rFonts w:ascii="Arial" w:hAnsi="Arial"/>
                <w:b/>
                <w:i w:val="0"/>
                <w:color w:val="1F3864"/>
                <w:sz w:val="20"/>
              </w:rPr>
              <w:t>Coverage</w:t>
            </w:r>
          </w:p>
        </w:tc>
        <w:tc>
          <w:tcPr>
            <w:tcW w:w="6552" w:type="dxa"/>
            <w:tcMar>
              <w:top w:w="80" w:type="dxa"/>
              <w:bottom w:w="80" w:type="dxa"/>
              <w:left w:w="115" w:type="dxa"/>
              <w:right w:w="115" w:type="dxa"/>
            </w:tcMar>
            <w:vAlign w:val="center"/>
            <w:shd w:val="clear" w:color="auto" w:fill="F5F5F5"/>
          </w:tcPr>
          <w:p>
            <w:r>
              <w:rPr>
                <w:rFonts w:ascii="Arial" w:hAnsi="Arial"/>
                <w:b w:val="0"/>
                <w:i w:val="0"/>
                <w:color w:val="595959"/>
                <w:sz w:val="20"/>
              </w:rPr>
              <w:t>Workers’ Compensation</w:t>
            </w:r>
          </w:p>
        </w:tc>
      </w:tr>
      <w:tr>
        <w:tc>
          <w:tcPr>
            <w:tcW w:w="2808" w:type="dxa"/>
            <w:tcMar>
              <w:top w:w="80" w:type="dxa"/>
              <w:bottom w:w="80" w:type="dxa"/>
              <w:left w:w="115" w:type="dxa"/>
              <w:right w:w="115" w:type="dxa"/>
            </w:tcMar>
            <w:vAlign w:val="center"/>
          </w:tcPr>
          <w:p>
            <w:r>
              <w:rPr>
                <w:rFonts w:ascii="Arial" w:hAnsi="Arial"/>
                <w:b/>
                <w:i w:val="0"/>
                <w:color w:val="1F3864"/>
                <w:sz w:val="20"/>
              </w:rPr>
              <w:t>States Covered</w:t>
            </w:r>
          </w:p>
        </w:tc>
        <w:tc>
          <w:tcPr>
            <w:tcW w:w="6552" w:type="dxa"/>
            <w:tcMar>
              <w:top w:w="80" w:type="dxa"/>
              <w:bottom w:w="80" w:type="dxa"/>
              <w:left w:w="115" w:type="dxa"/>
              <w:right w:w="115" w:type="dxa"/>
            </w:tcMar>
            <w:vAlign w:val="center"/>
          </w:tcPr>
          <w:p>
            <w:r>
              <w:rPr>
                <w:rFonts w:ascii="Arial" w:hAnsi="Arial"/>
                <w:b w:val="0"/>
                <w:i w:val="0"/>
                <w:color w:val="595959"/>
                <w:sz w:val="20"/>
              </w:rPr>
              <w:t>Nevada</w:t>
            </w:r>
          </w:p>
        </w:tc>
      </w:tr>
    </w:tbl>
    <w:p>
      <w:pPr>
        <w:spacing w:before="240" w:after="120"/>
        <w:pBdr>
          <w:bottom w:val="single" w:sz="8" w:space="4" w:color="CCCCCC"/>
        </w:pBdr>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pPr>
      <w:r>
        <w:rPr>
          <w:rFonts w:ascii="Arial" w:hAnsi="Arial"/>
          <w:b/>
          <w:i w:val="0"/>
          <w:color w:val="1F3864"/>
          <w:sz w:val="22"/>
        </w:rPr>
        <w:t>Coverage and Limits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4680"/>
            <w:shd w:val="clear" w:color="auto" w:fill="1F3864"/>
            <w:tcMar>
              <w:top w:w="70" w:type="dxa"/>
              <w:bottom w:w="70" w:type="dxa"/>
              <w:left w:w="80" w:type="dxa"/>
              <w:right w:w="60" w:type="dxa"/>
            </w:tcMar>
            <w:vAlign w:val="center"/>
          </w:tcPr>
          <w:p>
            <w:r>
              <w:rPr>
                <w:rFonts w:ascii="Arial" w:hAnsi="Arial"/>
                <w:b/>
                <w:color w:val="FFFFFF"/>
                <w:sz w:val="20"/>
              </w:rPr>
              <w:t>Coverage</w:t>
            </w:r>
          </w:p>
        </w:tc>
        <w:tc>
          <w:tcPr>
            <w:tcW w:type="dxa" w:w="4680"/>
            <w:shd w:val="clear" w:color="auto" w:fill="1F3864"/>
            <w:tcMar>
              <w:top w:w="70" w:type="dxa"/>
              <w:bottom w:w="70" w:type="dxa"/>
              <w:left w:w="80" w:type="dxa"/>
              <w:right w:w="60" w:type="dxa"/>
            </w:tcMar>
            <w:vAlign w:val="center"/>
          </w:tcPr>
          <w:p>
            <w:r>
              <w:rPr>
                <w:rFonts w:ascii="Arial" w:hAnsi="Arial"/>
                <w:b/>
                <w:color w:val="FFFFFF"/>
                <w:sz w:val="20"/>
              </w:rPr>
              <w:t>Limit</w:t>
            </w:r>
          </w:p>
        </w:tc>
      </w:tr>
      <w:tr>
        <w:tc>
          <w:tcPr>
            <w:tcW w:w="6084" w:type="dxa"/>
            <w:tcMar>
              <w:top w:w="60" w:type="dxa"/>
              <w:bottom w:w="60" w:type="dxa"/>
              <w:left w:w="80" w:type="dxa"/>
              <w:right w:w="60" w:type="dxa"/>
            </w:tcMar>
            <w:vAlign w:val="center"/>
            <w:shd w:val="clear" w:color="auto" w:fill="F5F5F5"/>
          </w:tcPr>
          <w:p>
            <w:r>
              <w:rPr>
                <w:rFonts w:ascii="Arial" w:hAnsi="Arial"/>
                <w:b w:val="0"/>
                <w:i w:val="0"/>
                <w:color w:val="595959"/>
                <w:sz w:val="20"/>
              </w:rPr>
              <w:t>Part I — Workers’ Compensation</w:t>
            </w:r>
          </w:p>
        </w:tc>
        <w:tc>
          <w:tcPr>
            <w:tcW w:w="3276" w:type="dxa"/>
            <w:tcMar>
              <w:top w:w="60" w:type="dxa"/>
              <w:bottom w:w="60" w:type="dxa"/>
              <w:left w:w="80" w:type="dxa"/>
              <w:right w:w="60" w:type="dxa"/>
            </w:tcMar>
            <w:vAlign w:val="center"/>
            <w:shd w:val="clear" w:color="auto" w:fill="F5F5F5"/>
          </w:tcPr>
          <w:p>
            <w:r>
              <w:rPr>
                <w:rFonts w:ascii="Arial" w:hAnsi="Arial"/>
                <w:b w:val="0"/>
                <w:i w:val="0"/>
                <w:color w:val="595959"/>
                <w:sz w:val="20"/>
              </w:rPr>
              <w:t>Statutory per State of Nevada</w:t>
            </w:r>
          </w:p>
        </w:tc>
      </w:tr>
      <w:tr>
        <w:tc>
          <w:tcPr>
            <w:tcW w:w="6084" w:type="dxa"/>
            <w:tcMar>
              <w:top w:w="60" w:type="dxa"/>
              <w:bottom w:w="60" w:type="dxa"/>
              <w:left w:w="80" w:type="dxa"/>
              <w:right w:w="60" w:type="dxa"/>
            </w:tcMar>
            <w:vAlign w:val="center"/>
          </w:tcPr>
          <w:p>
            <w:r>
              <w:rPr>
                <w:rFonts w:ascii="Arial" w:hAnsi="Arial"/>
                <w:b w:val="0"/>
                <w:i w:val="0"/>
                <w:color w:val="595959"/>
                <w:sz w:val="20"/>
              </w:rPr>
              <w:t>Part II — Employers’ Liability: Each Accident</w:t>
            </w:r>
          </w:p>
        </w:tc>
        <w:tc>
          <w:tcPr>
            <w:tcW w:w="3276" w:type="dxa"/>
            <w:tcMar>
              <w:top w:w="60" w:type="dxa"/>
              <w:bottom w:w="60" w:type="dxa"/>
              <w:left w:w="80" w:type="dxa"/>
              <w:right w:w="60" w:type="dxa"/>
            </w:tcMar>
            <w:vAlign w:val="center"/>
          </w:tcPr>
          <w:p>
            <w:r>
              <w:rPr>
                <w:rFonts w:ascii="Arial" w:hAnsi="Arial"/>
                <w:b w:val="0"/>
                <w:i w:val="0"/>
                <w:color w:val="595959"/>
                <w:sz w:val="20"/>
              </w:rPr>
              <w:t>$1,000,000</w:t>
            </w:r>
          </w:p>
        </w:tc>
      </w:tr>
      <w:tr>
        <w:tc>
          <w:tcPr>
            <w:tcW w:w="6084" w:type="dxa"/>
            <w:tcMar>
              <w:top w:w="60" w:type="dxa"/>
              <w:bottom w:w="60" w:type="dxa"/>
              <w:left w:w="80" w:type="dxa"/>
              <w:right w:w="60" w:type="dxa"/>
            </w:tcMar>
            <w:vAlign w:val="center"/>
            <w:shd w:val="clear" w:color="auto" w:fill="F5F5F5"/>
          </w:tcPr>
          <w:p>
            <w:r>
              <w:rPr>
                <w:rFonts w:ascii="Arial" w:hAnsi="Arial"/>
                <w:b w:val="0"/>
                <w:i w:val="0"/>
                <w:color w:val="595959"/>
                <w:sz w:val="20"/>
              </w:rPr>
              <w:t>Part II — Employers’ Liability: Disease – Each Employee</w:t>
            </w:r>
          </w:p>
        </w:tc>
        <w:tc>
          <w:tcPr>
            <w:tcW w:w="3276" w:type="dxa"/>
            <w:tcMar>
              <w:top w:w="60" w:type="dxa"/>
              <w:bottom w:w="60" w:type="dxa"/>
              <w:left w:w="80" w:type="dxa"/>
              <w:right w:w="60" w:type="dxa"/>
            </w:tcMar>
            <w:vAlign w:val="center"/>
            <w:shd w:val="clear" w:color="auto" w:fill="F5F5F5"/>
          </w:tcPr>
          <w:p>
            <w:r>
              <w:rPr>
                <w:rFonts w:ascii="Arial" w:hAnsi="Arial"/>
                <w:b w:val="0"/>
                <w:i w:val="0"/>
                <w:color w:val="595959"/>
                <w:sz w:val="20"/>
              </w:rPr>
              <w:t>$1,000,000</w:t>
            </w:r>
          </w:p>
        </w:tc>
      </w:tr>
      <w:tr>
        <w:tc>
          <w:tcPr>
            <w:tcW w:w="6084" w:type="dxa"/>
            <w:tcMar>
              <w:top w:w="60" w:type="dxa"/>
              <w:bottom w:w="60" w:type="dxa"/>
              <w:left w:w="80" w:type="dxa"/>
              <w:right w:w="60" w:type="dxa"/>
            </w:tcMar>
            <w:vAlign w:val="center"/>
          </w:tcPr>
          <w:p>
            <w:r>
              <w:rPr>
                <w:rFonts w:ascii="Arial" w:hAnsi="Arial"/>
                <w:b w:val="0"/>
                <w:i w:val="0"/>
                <w:color w:val="595959"/>
                <w:sz w:val="20"/>
              </w:rPr>
              <w:t>Part II — Employers’ Liability: Disease – Policy Limit</w:t>
            </w:r>
          </w:p>
        </w:tc>
        <w:tc>
          <w:tcPr>
            <w:tcW w:w="3276" w:type="dxa"/>
            <w:tcMar>
              <w:top w:w="60" w:type="dxa"/>
              <w:bottom w:w="60" w:type="dxa"/>
              <w:left w:w="80" w:type="dxa"/>
              <w:right w:w="60" w:type="dxa"/>
            </w:tcMar>
            <w:vAlign w:val="center"/>
          </w:tcPr>
          <w:p>
            <w:r>
              <w:rPr>
                <w:rFonts w:ascii="Arial" w:hAnsi="Arial"/>
                <w:b w:val="0"/>
                <w:i w:val="0"/>
                <w:color w:val="595959"/>
                <w:sz w:val="20"/>
              </w:rPr>
              <w:t>$1,000,000</w:t>
            </w:r>
          </w:p>
        </w:tc>
      </w:tr>
    </w:tbl>
    <w:p>
      <w:pPr>
        <w:spacing w:before="240" w:after="120"/>
        <w:pBdr>
          <w:bottom w:val="single" w:sz="8" w:space="4" w:color="CCCCCC"/>
        </w:pBdr>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ectPr>
          <w:footerReference w:type="default" r:id="rId14"/>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Details (continued)</w:t>
            </w:r>
          </w:p>
        </w:tc>
      </w:tr>
    </w:tbl>
    <w:p>
      <w:pPr>
        <w:spacing w:before="240" w:after="120"/>
        <w:pBdr>
          <w:bottom w:val="single" w:sz="8" w:space="4" w:color="CCCCCC"/>
        </w:pBdr>
      </w:pPr>
      <w:r>
        <w:rPr>
          <w:rFonts w:ascii="Arial" w:hAnsi="Arial"/>
          <w:b/>
          <w:i w:val="0"/>
          <w:color w:val="1F3864"/>
          <w:sz w:val="22"/>
        </w:rPr>
        <w:t>Employee Classification Schedule</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1560"/>
        <w:gridCol w:w="1560"/>
        <w:gridCol w:w="1560"/>
        <w:gridCol w:w="1560"/>
        <w:gridCol w:w="1560"/>
        <w:gridCol w:w="1560"/>
      </w:tblGrid>
      <w:tr>
        <w:trPr>
          <w:tblHeader w:val="1"/>
        </w:trPr>
        <w:tc>
          <w:tcPr>
            <w:tcW w:w="655" w:type="dxa"/>
            <w:shd w:val="clear" w:color="auto" w:fill="1F3864"/>
            <w:tcMar>
              <w:top w:w="70" w:type="dxa"/>
              <w:bottom w:w="70" w:type="dxa"/>
              <w:left w:w="60" w:type="dxa"/>
              <w:right w:w="60" w:type="dxa"/>
            </w:tcMar>
            <w:vAlign w:val="center"/>
          </w:tcPr>
          <w:p>
            <w:r>
              <w:rPr>
                <w:rFonts w:ascii="Arial" w:hAnsi="Arial"/>
                <w:b/>
                <w:i w:val="0"/>
                <w:color w:val="FFFFFF"/>
                <w:sz w:val="18"/>
              </w:rPr>
              <w:t>State</w:t>
            </w:r>
          </w:p>
        </w:tc>
        <w:tc>
          <w:tcPr>
            <w:tcW w:w="1123" w:type="dxa"/>
            <w:shd w:val="clear" w:color="auto" w:fill="1F3864"/>
            <w:tcMar>
              <w:top w:w="70" w:type="dxa"/>
              <w:bottom w:w="70" w:type="dxa"/>
              <w:left w:w="60" w:type="dxa"/>
              <w:right w:w="60" w:type="dxa"/>
            </w:tcMar>
            <w:vAlign w:val="center"/>
          </w:tcPr>
          <w:p>
            <w:r>
              <w:rPr>
                <w:rFonts w:ascii="Arial" w:hAnsi="Arial"/>
                <w:b/>
                <w:i w:val="0"/>
                <w:color w:val="FFFFFF"/>
                <w:sz w:val="18"/>
              </w:rPr>
              <w:t>Class Code</w:t>
            </w:r>
          </w:p>
        </w:tc>
        <w:tc>
          <w:tcPr>
            <w:tcW w:w="2620" w:type="dxa"/>
            <w:shd w:val="clear" w:color="auto" w:fill="1F3864"/>
            <w:tcMar>
              <w:top w:w="70" w:type="dxa"/>
              <w:bottom w:w="70" w:type="dxa"/>
              <w:left w:w="60" w:type="dxa"/>
              <w:right w:w="60" w:type="dxa"/>
            </w:tcMar>
            <w:vAlign w:val="center"/>
          </w:tcPr>
          <w:p>
            <w:r>
              <w:rPr>
                <w:rFonts w:ascii="Arial" w:hAnsi="Arial"/>
                <w:b/>
                <w:i w:val="0"/>
                <w:color w:val="FFFFFF"/>
                <w:sz w:val="18"/>
              </w:rPr>
              <w:t>Description</w:t>
            </w:r>
          </w:p>
        </w:tc>
        <w:tc>
          <w:tcPr>
            <w:tcW w:w="1965" w:type="dxa"/>
            <w:shd w:val="clear" w:color="auto" w:fill="1F3864"/>
            <w:tcMar>
              <w:top w:w="70" w:type="dxa"/>
              <w:bottom w:w="70" w:type="dxa"/>
              <w:left w:w="60" w:type="dxa"/>
              <w:right w:w="60" w:type="dxa"/>
            </w:tcMar>
            <w:vAlign w:val="center"/>
          </w:tcPr>
          <w:p>
            <w:r>
              <w:rPr>
                <w:rFonts w:ascii="Arial" w:hAnsi="Arial"/>
                <w:b/>
                <w:i w:val="0"/>
                <w:color w:val="FFFFFF"/>
                <w:sz w:val="18"/>
              </w:rPr>
              <w:t>Est. Annual Payroll</w:t>
            </w:r>
          </w:p>
        </w:tc>
        <w:tc>
          <w:tcPr>
            <w:tcW w:w="1123" w:type="dxa"/>
            <w:shd w:val="clear" w:color="auto" w:fill="1F3864"/>
            <w:tcMar>
              <w:top w:w="70" w:type="dxa"/>
              <w:bottom w:w="70" w:type="dxa"/>
              <w:left w:w="60" w:type="dxa"/>
              <w:right w:w="60" w:type="dxa"/>
            </w:tcMar>
            <w:vAlign w:val="center"/>
          </w:tcPr>
          <w:p>
            <w:r>
              <w:rPr>
                <w:rFonts w:ascii="Arial" w:hAnsi="Arial"/>
                <w:b/>
                <w:i w:val="0"/>
                <w:color w:val="FFFFFF"/>
                <w:sz w:val="18"/>
              </w:rPr>
              <w:t>Rate</w:t>
            </w:r>
          </w:p>
        </w:tc>
        <w:tc>
          <w:tcPr>
            <w:tcW w:w="1874" w:type="dxa"/>
            <w:shd w:val="clear" w:color="auto" w:fill="1F3864"/>
            <w:tcMar>
              <w:top w:w="70" w:type="dxa"/>
              <w:bottom w:w="70" w:type="dxa"/>
              <w:left w:w="60" w:type="dxa"/>
              <w:right w:w="60" w:type="dxa"/>
            </w:tcMar>
            <w:vAlign w:val="center"/>
          </w:tcPr>
          <w:p>
            <w:r>
              <w:rPr>
                <w:rFonts w:ascii="Arial" w:hAnsi="Arial"/>
                <w:b/>
                <w:i w:val="0"/>
                <w:color w:val="FFFFFF"/>
                <w:sz w:val="18"/>
              </w:rPr>
              <w:t>Est. Premium</w:t>
            </w:r>
          </w:p>
        </w:tc>
      </w:tr>
      <w:tr>
        <w:tc>
          <w:tcPr>
            <w:tcW w:w="655" w:type="dxa"/>
            <w:tcMar>
              <w:top w:w="80" w:type="dxa"/>
              <w:bottom w:w="80" w:type="dxa"/>
              <w:left w:w="80" w:type="dxa"/>
              <w:right w:w="80" w:type="dxa"/>
            </w:tcMar>
            <w:vAlign w:val="center"/>
          </w:tcPr>
          <w:p>
            <w:r>
              <w:rPr>
                <w:rFonts w:ascii="Arial" w:hAnsi="Arial"/>
                <w:b w:val="0"/>
                <w:i w:val="0"/>
                <w:color w:val="595959"/>
                <w:sz w:val="20"/>
              </w:rPr>
              <w:t>{#classSchedule}</w:t>
            </w:r>
          </w:p>
          <w:p>
            <w:r>
              <w:rPr>
                <w:rFonts w:ascii="Arial" w:hAnsi="Arial"/>
                <w:b w:val="0"/>
                <w:i w:val="0"/>
                <w:color w:val="595959"/>
                <w:sz w:val="20"/>
              </w:rPr>
              <w:t>{state}</w:t>
            </w:r>
          </w:p>
        </w:tc>
        <w:tc>
          <w:tcPr>
            <w:tcW w:w="1123" w:type="dxa"/>
            <w:tcMar>
              <w:top w:w="80" w:type="dxa"/>
              <w:bottom w:w="80" w:type="dxa"/>
              <w:left w:w="80" w:type="dxa"/>
              <w:right w:w="80" w:type="dxa"/>
            </w:tcMar>
            <w:vAlign w:val="center"/>
          </w:tcPr>
          <w:p>
            <w:r>
              <w:rPr>
                <w:rFonts w:ascii="Arial" w:hAnsi="Arial"/>
                <w:b w:val="0"/>
                <w:i w:val="0"/>
                <w:color w:val="595959"/>
                <w:sz w:val="20"/>
              </w:rPr>
              <w:t>{classCode}</w:t>
            </w:r>
          </w:p>
        </w:tc>
        <w:tc>
          <w:tcPr>
            <w:tcW w:w="2620" w:type="dxa"/>
            <w:tcMar>
              <w:top w:w="80" w:type="dxa"/>
              <w:bottom w:w="80" w:type="dxa"/>
              <w:left w:w="80" w:type="dxa"/>
              <w:right w:w="80" w:type="dxa"/>
            </w:tcMar>
            <w:vAlign w:val="center"/>
          </w:tcPr>
          <w:p>
            <w:r>
              <w:rPr>
                <w:rFonts w:ascii="Arial" w:hAnsi="Arial"/>
                <w:b w:val="0"/>
                <w:i w:val="0"/>
                <w:color w:val="595959"/>
                <w:sz w:val="20"/>
              </w:rPr>
              <w:t>{classDescription}</w:t>
            </w:r>
          </w:p>
        </w:tc>
        <w:tc>
          <w:tcPr>
            <w:tcW w:w="1965" w:type="dxa"/>
            <w:tcMar>
              <w:top w:w="80" w:type="dxa"/>
              <w:bottom w:w="80" w:type="dxa"/>
              <w:left w:w="80" w:type="dxa"/>
              <w:right w:w="80" w:type="dxa"/>
            </w:tcMar>
            <w:vAlign w:val="center"/>
          </w:tcPr>
          <w:p>
            <w:r>
              <w:rPr>
                <w:rFonts w:ascii="Arial" w:hAnsi="Arial"/>
                <w:b w:val="0"/>
                <w:i w:val="0"/>
                <w:color w:val="595959"/>
                <w:sz w:val="20"/>
              </w:rPr>
              <w:t>{estAnnualPayroll}</w:t>
            </w:r>
          </w:p>
        </w:tc>
        <w:tc>
          <w:tcPr>
            <w:tcW w:w="1123" w:type="dxa"/>
            <w:tcMar>
              <w:top w:w="80" w:type="dxa"/>
              <w:bottom w:w="80" w:type="dxa"/>
              <w:left w:w="80" w:type="dxa"/>
              <w:right w:w="80" w:type="dxa"/>
            </w:tcMar>
            <w:vAlign w:val="center"/>
          </w:tcPr>
          <w:p>
            <w:r>
              <w:rPr>
                <w:rFonts w:ascii="Arial" w:hAnsi="Arial"/>
                <w:b w:val="0"/>
                <w:i w:val="0"/>
                <w:color w:val="595959"/>
                <w:sz w:val="20"/>
              </w:rPr>
              <w:t>{rate}</w:t>
            </w:r>
          </w:p>
        </w:tc>
        <w:tc>
          <w:tcPr>
            <w:tcW w:w="1874" w:type="dxa"/>
            <w:tcMar>
              <w:top w:w="80" w:type="dxa"/>
              <w:bottom w:w="80" w:type="dxa"/>
              <w:left w:w="80" w:type="dxa"/>
              <w:right w:w="80" w:type="dxa"/>
            </w:tcMar>
            <w:vAlign w:val="center"/>
          </w:tcPr>
          <w:p>
            <w:r>
              <w:rPr>
                <w:rFonts w:ascii="Arial" w:hAnsi="Arial"/>
                <w:b w:val="0"/>
                <w:i w:val="0"/>
                <w:color w:val="595959"/>
                <w:sz w:val="20"/>
              </w:rPr>
              <w:t>{classEstPremium}</w:t>
            </w:r>
          </w:p>
          <w:p>
            <w:r>
              <w:rPr>
                <w:rFonts w:ascii="Arial" w:hAnsi="Arial"/>
                <w:b w:val="0"/>
                <w:i w:val="0"/>
                <w:color w:val="595959"/>
                <w:sz w:val="20"/>
              </w:rPr>
              <w:t>{/classSchedule}</w:t>
            </w:r>
          </w:p>
        </w:tc>
      </w:tr>
      <w:tr>
        <w:tc>
          <w:tcPr>
            <w:tcW w:w="7486" w:type="dxa"/>
            <w:gridSpan w:val="5"/>
            <w:shd w:val="clear" w:color="auto" w:fill="F5F5F5"/>
            <w:tcMar>
              <w:top w:w="70" w:type="dxa"/>
              <w:bottom w:w="70" w:type="dxa"/>
              <w:left w:w="60" w:type="dxa"/>
              <w:right w:w="60" w:type="dxa"/>
            </w:tcMar>
            <w:vAlign w:val="center"/>
          </w:tcPr>
          <w:p>
            <w:pPr>
              <w:jc w:val="right"/>
            </w:pPr>
            <w:r>
              <w:rPr>
                <w:rFonts w:ascii="Arial" w:hAnsi="Arial"/>
                <w:b/>
                <w:i w:val="0"/>
                <w:color w:val="1F3864"/>
                <w:sz w:val="20"/>
              </w:rPr>
              <w:t>Total Estimated Premium</w:t>
            </w:r>
          </w:p>
        </w:tc>
        <w:tc>
          <w:tcPr>
            <w:tcW w:w="1874" w:type="dxa"/>
            <w:shd w:val="clear" w:color="auto" w:fill="F5F5F5"/>
            <w:tcMar>
              <w:top w:w="70" w:type="dxa"/>
              <w:bottom w:w="70" w:type="dxa"/>
              <w:left w:w="60" w:type="dxa"/>
              <w:right w:w="60" w:type="dxa"/>
            </w:tcMar>
            <w:vAlign w:val="center"/>
          </w:tcPr>
          <w:p>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4680"/>
            <w:shd w:val="clear" w:color="auto" w:fill="1F3864"/>
            <w:tcMar>
              <w:top w:w="70" w:type="dxa"/>
              <w:bottom w:w="70" w:type="dxa"/>
              <w:left w:w="80" w:type="dxa"/>
              <w:right w:w="60" w:type="dxa"/>
            </w:tcMar>
            <w:vAlign w:val="center"/>
          </w:tcPr>
          <w:p>
            <w:r>
              <w:rPr>
                <w:rFonts w:ascii="Arial" w:hAnsi="Arial"/>
                <w:b/>
                <w:color w:val="FFFFFF"/>
                <w:sz w:val="20"/>
              </w:rPr>
              <w:t>Name</w:t>
            </w:r>
          </w:p>
        </w:tc>
        <w:tc>
          <w:tcPr>
            <w:tcW w:type="dxa" w:w="4680"/>
            <w:shd w:val="clear" w:color="auto" w:fill="1F3864"/>
            <w:tcMar>
              <w:top w:w="70" w:type="dxa"/>
              <w:bottom w:w="70" w:type="dxa"/>
              <w:left w:w="80" w:type="dxa"/>
              <w:right w:w="60" w:type="dxa"/>
            </w:tcMar>
            <w:vAlign w:val="center"/>
          </w:tcPr>
          <w:p>
            <w:r>
              <w:rPr>
                <w:rFonts w:ascii="Arial" w:hAnsi="Arial"/>
                <w:b/>
                <w:color w:val="FFFFFF"/>
                <w:sz w:val="20"/>
              </w:rPr>
              <w:t>Election Form</w:t>
            </w:r>
          </w:p>
        </w:tc>
      </w:tr>
      <w:tr>
        <w:tc>
          <w:tcPr>
            <w:tcW w:w="2808" w:type="dxa"/>
            <w:tcMar>
              <w:top w:w="60" w:type="dxa"/>
              <w:bottom w:w="60" w:type="dxa"/>
              <w:left w:w="80" w:type="dxa"/>
              <w:right w:w="60" w:type="dxa"/>
            </w:tcMar>
            <w:vAlign w:val="center"/>
          </w:tcPr>
          <w:p>
            <w:r>
              <w:rPr>
                <w:rFonts w:ascii="Arial" w:hAnsi="Arial"/>
                <w:b w:val="0"/>
                <w:i w:val="0"/>
                <w:color w:val="595959"/>
                <w:sz w:val="20"/>
              </w:rPr>
              <w:t>{#excludedPersons}</w:t>
            </w:r>
          </w:p>
          <w:p>
            <w:r>
              <w:rPr>
                <w:rFonts w:ascii="Arial" w:hAnsi="Arial"/>
                <w:b w:val="0"/>
                <w:i w:val="0"/>
                <w:color w:val="595959"/>
                <w:sz w:val="20"/>
              </w:rPr>
              <w:t>{name}</w:t>
            </w:r>
          </w:p>
        </w:tc>
        <w:tc>
          <w:tcPr>
            <w:tcW w:w="6552" w:type="dxa"/>
            <w:tcMar>
              <w:top w:w="60" w:type="dxa"/>
              <w:bottom w:w="60" w:type="dxa"/>
              <w:left w:w="80" w:type="dxa"/>
              <w:right w:w="60" w:type="dxa"/>
            </w:tcMar>
            <w:vAlign w:val="center"/>
          </w:tcPr>
          <w:p>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Self-Insured Group Disclosure</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vAlign w:val="center"/>
            <w:tcBorders>
              <w:left w:val="single" w:sz="24" w:space="0" w:color="2E75B6"/>
              <w:top w:val="none" w:sz="0" w:space="0" w:color="auto"/>
              <w:bottom w:val="none" w:sz="0" w:space="0" w:color="auto"/>
              <w:right w:val="none" w:sz="0" w:space="0" w:color="auto"/>
            </w:tcBorders>
          </w:tcPr>
          <w:p>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5"/>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580"/>
        <w:gridCol w:w="200"/>
        <w:gridCol w:w="4580"/>
      </w:tblGrid>
      <w:tr>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w="200" w:type="dxa"/>
            <w:tcBorders>
              <w:top w:val="none" w:sz="0" w:space="0" w:color="auto"/>
              <w:left w:val="none" w:sz="0" w:space="0" w:color="auto"/>
              <w:bottom w:val="none" w:sz="0" w:space="0" w:color="auto"/>
              <w:right w:val="none" w:sz="0" w:space="0" w:color="auto"/>
            </w:tcBorders>
          </w:tcPr>
          <w:p/>
        </w:tc>
        <w:tc>
          <w:tcPr>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2340"/>
        <w:gridCol w:w="7020"/>
      </w:tblGrid>
      <w:tr>
        <w:tc>
          <w:tcPr>
            <w:tcW w:w="2340" w:type="dxa"/>
            <w:tcMar>
              <w:top w:w="80" w:type="dxa"/>
              <w:bottom w:w="80" w:type="dxa"/>
              <w:left w:w="0" w:type="dxa"/>
              <w:right w:w="60" w:type="dxa"/>
            </w:tcMar>
            <w:vAlign w:val="center"/>
          </w:tcPr>
          <w:p>
            <w:r>
              <w:rPr>
                <w:rFonts w:ascii="Arial" w:hAnsi="Arial"/>
                <w:b/>
                <w:i w:val="0"/>
                <w:color w:val="1F3864"/>
                <w:sz w:val="20"/>
              </w:rPr>
              <w:t>By</w:t>
            </w:r>
          </w:p>
        </w:tc>
        <w:tc>
          <w:tcPr>
            <w:tcW w:w="7020" w:type="dxa"/>
            <w:tcMar>
              <w:top w:w="80" w:type="dxa"/>
              <w:bottom w:w="80" w:type="dxa"/>
              <w:left w:w="60" w:type="dxa"/>
              <w:right w:w="0" w:type="dxa"/>
            </w:tcMar>
            <w:vAlign w:val="center"/>
            <w:tcBorders>
              <w:bottom w:val="single" w:sz="6" w:space="0" w:color="000000"/>
            </w:tcBorders>
          </w:tcPr>
          <w:p>
            <w:r/>
          </w:p>
        </w:tc>
      </w:tr>
      <w:tr>
        <w:tc>
          <w:tcPr>
            <w:tcW w:w="2340" w:type="dxa"/>
            <w:tcMar>
              <w:top w:w="80" w:type="dxa"/>
              <w:bottom w:w="80" w:type="dxa"/>
              <w:left w:w="0" w:type="dxa"/>
              <w:right w:w="60" w:type="dxa"/>
            </w:tcMar>
            <w:vAlign w:val="center"/>
          </w:tcPr>
          <w:p>
            <w:r>
              <w:rPr>
                <w:rFonts w:ascii="Arial" w:hAnsi="Arial"/>
                <w:b/>
                <w:i w:val="0"/>
                <w:color w:val="1F3864"/>
                <w:sz w:val="20"/>
              </w:rPr>
              <w:t>Print Name</w:t>
            </w:r>
          </w:p>
        </w:tc>
        <w:tc>
          <w:tcPr>
            <w:tcW w:w="7020" w:type="dxa"/>
            <w:tcMar>
              <w:top w:w="80" w:type="dxa"/>
              <w:bottom w:w="80" w:type="dxa"/>
              <w:left w:w="60" w:type="dxa"/>
              <w:right w:w="0" w:type="dxa"/>
            </w:tcMar>
            <w:vAlign w:val="center"/>
            <w:tcBorders>
              <w:bottom w:val="single" w:sz="6" w:space="0" w:color="000000"/>
            </w:tcBorders>
          </w:tcPr>
          <w:p>
            <w:r/>
          </w:p>
        </w:tc>
      </w:tr>
      <w:tr>
        <w:tc>
          <w:tcPr>
            <w:tcW w:w="2340" w:type="dxa"/>
            <w:tcMar>
              <w:top w:w="80" w:type="dxa"/>
              <w:bottom w:w="80" w:type="dxa"/>
              <w:left w:w="0" w:type="dxa"/>
              <w:right w:w="60" w:type="dxa"/>
            </w:tcMar>
            <w:vAlign w:val="center"/>
          </w:tcPr>
          <w:p>
            <w:r>
              <w:rPr>
                <w:rFonts w:ascii="Arial" w:hAnsi="Arial"/>
                <w:b/>
                <w:i w:val="0"/>
                <w:color w:val="1F3864"/>
                <w:sz w:val="20"/>
              </w:rPr>
              <w:t>Title</w:t>
            </w:r>
          </w:p>
        </w:tc>
        <w:tc>
          <w:tcPr>
            <w:tcW w:w="7020" w:type="dxa"/>
            <w:tcMar>
              <w:top w:w="80" w:type="dxa"/>
              <w:bottom w:w="80" w:type="dxa"/>
              <w:left w:w="60" w:type="dxa"/>
              <w:right w:w="0" w:type="dxa"/>
            </w:tcMar>
            <w:vAlign w:val="center"/>
            <w:tcBorders>
              <w:bottom w:val="single" w:sz="6" w:space="0" w:color="000000"/>
            </w:tcBorders>
          </w:tcPr>
          <w:p>
            <w:r/>
          </w:p>
        </w:tc>
      </w:tr>
      <w:tr>
        <w:tc>
          <w:tcPr>
            <w:tcW w:w="2340" w:type="dxa"/>
            <w:tcMar>
              <w:top w:w="80" w:type="dxa"/>
              <w:bottom w:w="80" w:type="dxa"/>
              <w:left w:w="0" w:type="dxa"/>
              <w:right w:w="60" w:type="dxa"/>
            </w:tcMar>
            <w:vAlign w:val="center"/>
          </w:tcPr>
          <w:p>
            <w:r>
              <w:rPr>
                <w:rFonts w:ascii="Arial" w:hAnsi="Arial"/>
                <w:b/>
                <w:i w:val="0"/>
                <w:color w:val="1F3864"/>
                <w:sz w:val="20"/>
              </w:rPr>
              <w:t>Date</w:t>
            </w:r>
          </w:p>
        </w:tc>
        <w:tc>
          <w:tcPr>
            <w:tcW w:w="7020" w:type="dxa"/>
            <w:tcMar>
              <w:top w:w="80" w:type="dxa"/>
              <w:bottom w:w="80" w:type="dxa"/>
              <w:left w:w="60" w:type="dxa"/>
              <w:right w:w="0" w:type="dxa"/>
            </w:tcMar>
            <w:vAlign w:val="center"/>
            <w:tcBorders>
              <w:bottom w:val="single" w:sz="6" w:space="0" w:color="000000"/>
            </w:tcBorders>
          </w:tcPr>
          <w:p>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footerReference w:type="default" r:id="rId16"/>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160"/>
        <w:pBdr>
          <w:bottom w:val="single" w:sz="8" w:space="4" w:color="CCCCCC"/>
        </w:pBdr>
      </w:pPr>
      <w:r>
        <w:rPr>
          <w:rFonts w:ascii="Arial" w:hAnsi="Arial"/>
          <w:b/>
          <w:i w:val="0"/>
          <w:color w:val="1F3864"/>
          <w:sz w:val="24"/>
        </w:rPr>
        <w:t>Commercial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7"/>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Recommendations (continued)</w:t>
            </w:r>
          </w:p>
        </w:tc>
      </w:tr>
    </w:tbl>
    <w:p>
      <w:pPr>
        <w:spacing w:before="280" w:after="160"/>
        <w:pBdr>
          <w:bottom w:val="single" w:sz="8" w:space="4" w:color="CCCCCC"/>
        </w:pBdr>
      </w:pPr>
      <w:r>
        <w:rPr>
          <w:rFonts w:ascii="Arial" w:hAnsi="Arial"/>
          <w:b/>
          <w:i w:val="0"/>
          <w:color w:val="1F3864"/>
          <w:sz w:val="24"/>
        </w:rPr>
        <w:t>Commercial Lines (continued)</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tc>
      </w:tr>
    </w:tbl>
    <w:p>
      <w:pPr>
        <w:spacing w:before="280" w:after="160"/>
        <w:pBdr>
          <w:bottom w:val="single" w:sz="8" w:space="4" w:color="CCCCCC"/>
        </w:pBdr>
      </w:pPr>
      <w:r>
        <w:rPr>
          <w:rFonts w:ascii="Arial" w:hAnsi="Arial"/>
          <w:b/>
          <w:i w:val="0"/>
          <w:color w:val="1F3864"/>
          <w:sz w:val="24"/>
        </w:rPr>
        <w:t>Personal Lines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160"/>
        <w:pBdr>
          <w:bottom w:val="single" w:sz="8" w:space="4" w:color="CCCCCC"/>
        </w:pBdr>
      </w:pPr>
      <w:r>
        <w:rPr>
          <w:rFonts w:ascii="Arial" w:hAnsi="Arial"/>
          <w:b/>
          <w:i w:val="0"/>
          <w:color w:val="1F3864"/>
          <w:sz w:val="24"/>
        </w:rPr>
        <w:t>Bond Recommendations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8"/>
          <w:pgSz w:w="12240" w:h="15840"/>
          <w:pgMar w:top="1440" w:right="1440" w:bottom="1440" w:left="1440" w:header="432" w:footer="432" w:gutter="0"/>
          <w:cols w:space="720"/>
          <w:docGrid w:linePitch="360"/>
        </w:sectPr>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160"/>
        <w:pBdr>
          <w:bottom w:val="single" w:sz="8" w:space="4" w:color="CCCCCC"/>
        </w:pBdr>
      </w:pPr>
      <w:r>
        <w:rPr>
          <w:rFonts w:ascii="Arial" w:hAnsi="Arial"/>
          <w:b/>
          <w:i w:val="0"/>
          <w:color w:val="1F3864"/>
          <w:sz w:val="24"/>
        </w:rPr>
        <w:t>Group Benefits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Services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160"/>
        <w:pBdr>
          <w:bottom w:val="single" w:sz="8" w:space="4" w:color="CCCCCC"/>
        </w:pBdr>
      </w:pPr>
      <w:r>
        <w:rPr>
          <w:rFonts w:ascii="Arial" w:hAnsi="Arial"/>
          <w:b/>
          <w:i w:val="0"/>
          <w:color w:val="1F3864"/>
          <w:sz w:val="24"/>
        </w:rPr>
        <w:t>Life Department</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tc>
      </w:tr>
    </w:tbl>
    <w:p>
      <w:pPr>
        <w:spacing w:before="280" w:after="160"/>
        <w:pBdr>
          <w:bottom w:val="single" w:sz="8" w:space="4" w:color="CCCCCC"/>
        </w:pBdr>
      </w:pPr>
      <w:r>
        <w:rPr>
          <w:rFonts w:ascii="Arial" w:hAnsi="Arial"/>
          <w:b/>
          <w:i w:val="0"/>
          <w:color w:val="1F3864"/>
          <w:sz w:val="24"/>
        </w:rPr>
        <w:t>Retirement Plan Services</w:t>
      </w: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tc>
      </w:tr>
    </w:tbl>
    <w:p>
      <w:pPr>
        <w:spacing w:before="280" w:after="0"/>
      </w:pPr>
    </w:p>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BF3FF"/>
            <w:tcMar>
              <w:top w:w="120" w:type="dxa"/>
              <w:bottom w:w="120" w:type="dxa"/>
              <w:left w:w="160" w:type="dxa"/>
              <w:right w:w="120" w:type="dxa"/>
            </w:tcMar>
            <w:vAlign w:val="center"/>
            <w:tcBorders>
              <w:left w:val="single" w:sz="36" w:space="0" w:color="1F3864"/>
              <w:top w:val="none" w:sz="0" w:space="0" w:color="auto"/>
              <w:bottom w:val="none" w:sz="0" w:space="0" w:color="auto"/>
              <w:right w:val="none" w:sz="0" w:space="0" w:color="auto"/>
            </w:tcBorders>
          </w:tcPr>
          <w:p>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tc>
      </w:tr>
    </w:tbl>
    <w:p>
      <w:pPr>
        <w:spacing w:before="80" w:after="0"/>
      </w:pPr>
    </w:p>
    <w:sectPr w:rsidR="00FC693F" w:rsidRPr="0006063C" w:rsidSect="00034616">
      <w:footerReference w:type="default" r:id="rId19"/>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80" w:after="80"/>
      <w:jc w:val="center"/>
      <w:pBdr>
        <w:top w:val="single" w:sz="12" w:space="4" w:color="1F3864"/>
      </w:pBdr>
    </w:pPr>
    <w:r>
      <w:rPr>
        <w:rFonts w:ascii="Arial" w:hAnsi="Arial"/>
        <w:b w:val="0"/>
        <w:i/>
        <w:color w:val="595959"/>
        <w:sz w:val="17"/>
      </w:rPr>
      <w:t>CONFIDENTIAL — This proposal is intended solely for the use of the named insured and their authorized representatives.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Details (2 of 2)</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2240"/>
    </w:tblGrid>
    <w:tr>
      <w:trPr>
        <w:trHeight w:val="460" w:hRule="exact"/>
      </w:trPr>
      <w:tc>
        <w:tcPr>
          <w:tcW w:type="dxa" w:w="12240"/>
          <w:shd w:val="clear" w:color="auto" w:fill="1F3864"/>
          <w:tcMar>
            <w:top w:w="0" w:type="dxa"/>
            <w:bottom w:w="0" w:type="dxa"/>
            <w:left w:w="0" w:type="dxa"/>
            <w:right w:w="0" w:type="dxa"/>
          </w:tcMar>
          <w:vAlign w:val="top"/>
        </w:tcPr>
        <w:p>
          <w:pPr>
            <w:spacing w:before="0" w:after="0"/>
            <w:jc w:val="left"/>
          </w:pP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