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Master Service Agreement - Template</w:t>
      </w:r>
    </w:p>
    <w:p>
      <w:r>
        <w:t>This Master Service Agreement (the "Agreement") is entered into between Nusantara Digital (the "Provider") and the client named in the Order Form (the "Client"). Template reference: LEGAL-MSA-2026-01.</w:t>
      </w:r>
    </w:p>
    <w:p>
      <w:pPr>
        <w:pStyle w:val="Heading1"/>
      </w:pPr>
      <w:r>
        <w:t>1. Definitions</w:t>
      </w:r>
    </w:p>
    <w:p>
      <w:r>
        <w:t>"Services" means the software development and support services described in each Statement of Work (SOW). "Deliverables" means all work product delivered to the Client under a SOW. "Confidential Information" has the meaning given in Section 6.</w:t>
      </w:r>
    </w:p>
    <w:p>
      <w:pPr>
        <w:pStyle w:val="Heading1"/>
      </w:pPr>
      <w:r>
        <w:t>2. Term</w:t>
      </w:r>
    </w:p>
    <w:p>
      <w:r>
        <w:t>The Agreement starts on the Effective Date and continues for an initial term of 24 months. It renews automatically for successive 12-month periods unless either party gives written notice of non-renewal at least 60 days before the end of the current term.</w:t>
      </w:r>
    </w:p>
    <w:p>
      <w:pPr>
        <w:pStyle w:val="Heading1"/>
      </w:pPr>
      <w:r>
        <w:t>3. Fees and Payment</w:t>
      </w:r>
    </w:p>
    <w:p>
      <w:r>
        <w:t>The Client pays the fees set out in the fee schedule below. Invoices are issued monthly in arrears and are payable within 30 days of the invoice date.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Service tier</w:t>
            </w:r>
          </w:p>
        </w:tc>
        <w:tc>
          <w:tcPr>
            <w:tcW w:type="dxa" w:w="2880"/>
          </w:tcPr>
          <w:p>
            <w:r>
              <w:t>Monthly fee</w:t>
            </w:r>
          </w:p>
        </w:tc>
        <w:tc>
          <w:tcPr>
            <w:tcW w:type="dxa" w:w="2880"/>
          </w:tcPr>
          <w:p>
            <w:r>
              <w:t>Response time (SLA)</w:t>
            </w:r>
          </w:p>
        </w:tc>
      </w:tr>
      <w:tr>
        <w:tc>
          <w:tcPr>
            <w:tcW w:type="dxa" w:w="2880"/>
          </w:tcPr>
          <w:p>
            <w:r>
              <w:t>Basic</w:t>
            </w:r>
          </w:p>
        </w:tc>
        <w:tc>
          <w:tcPr>
            <w:tcW w:type="dxa" w:w="2880"/>
          </w:tcPr>
          <w:p>
            <w:r>
              <w:t>IDR 25,000,000</w:t>
            </w:r>
          </w:p>
        </w:tc>
        <w:tc>
          <w:tcPr>
            <w:tcW w:type="dxa" w:w="2880"/>
          </w:tcPr>
          <w:p>
            <w:r>
              <w:t>Next business day</w:t>
            </w:r>
          </w:p>
        </w:tc>
      </w:tr>
      <w:tr>
        <w:tc>
          <w:tcPr>
            <w:tcW w:type="dxa" w:w="2880"/>
          </w:tcPr>
          <w:p>
            <w:r>
              <w:t>Professional</w:t>
            </w:r>
          </w:p>
        </w:tc>
        <w:tc>
          <w:tcPr>
            <w:tcW w:type="dxa" w:w="2880"/>
          </w:tcPr>
          <w:p>
            <w:r>
              <w:t>IDR 60,000,000</w:t>
            </w:r>
          </w:p>
        </w:tc>
        <w:tc>
          <w:tcPr>
            <w:tcW w:type="dxa" w:w="2880"/>
          </w:tcPr>
          <w:p>
            <w:r>
              <w:t>8 business hours</w:t>
            </w:r>
          </w:p>
        </w:tc>
      </w:tr>
      <w:tr>
        <w:tc>
          <w:tcPr>
            <w:tcW w:type="dxa" w:w="2880"/>
          </w:tcPr>
          <w:p>
            <w:r>
              <w:t>Enterprise</w:t>
            </w:r>
          </w:p>
        </w:tc>
        <w:tc>
          <w:tcPr>
            <w:tcW w:type="dxa" w:w="2880"/>
          </w:tcPr>
          <w:p>
            <w:r>
              <w:t>IDR 150,000,000</w:t>
            </w:r>
          </w:p>
        </w:tc>
        <w:tc>
          <w:tcPr>
            <w:tcW w:type="dxa" w:w="2880"/>
          </w:tcPr>
          <w:p>
            <w:r>
              <w:t>2 hours, 24/7</w:t>
            </w:r>
          </w:p>
        </w:tc>
      </w:tr>
    </w:tbl>
    <w:p>
      <w:r>
        <w:t>Late payments accrue interest at 1% per month on the overdue amount. The Provider may suspend the Services if an invoice remains unpaid for more than 45 days after written notice.</w:t>
      </w:r>
    </w:p>
    <w:p>
      <w:pPr>
        <w:pStyle w:val="Heading1"/>
      </w:pPr>
      <w:r>
        <w:t>4. Termination</w:t>
      </w:r>
    </w:p>
    <w:p>
      <w:pPr>
        <w:pStyle w:val="Heading2"/>
      </w:pPr>
      <w:r>
        <w:t>4.1 Termination for Convenience</w:t>
      </w:r>
    </w:p>
    <w:p>
      <w:r>
        <w:t>Either party may terminate this Agreement for convenience by giving 90 days' prior written notice. Fees for Services performed up to the termination date remain payable.</w:t>
      </w:r>
    </w:p>
    <w:p>
      <w:pPr>
        <w:pStyle w:val="Heading2"/>
      </w:pPr>
      <w:r>
        <w:t>4.2 Termination for Cause</w:t>
      </w:r>
    </w:p>
    <w:p>
      <w:r>
        <w:t>Either party may terminate immediately by written notice if the other party commits a material breach and fails to remedy it within 30 days of receiving notice of the breach, or becomes insolvent.</w:t>
      </w:r>
    </w:p>
    <w:p>
      <w:pPr>
        <w:pStyle w:val="Heading1"/>
      </w:pPr>
      <w:r>
        <w:t>5. Intellectual Property</w:t>
      </w:r>
    </w:p>
    <w:p>
      <w:r>
        <w:t>Upon full payment, ownership of all Deliverables transfers to the Client. The Provider retains ownership of its pre-existing tools and libraries and grants the Client a perpetual, royalty-free licence to use them as part of the Deliverables.</w:t>
      </w:r>
    </w:p>
    <w:p>
      <w:pPr>
        <w:pStyle w:val="Heading1"/>
      </w:pPr>
      <w:r>
        <w:t>6. Confidentiality</w:t>
      </w:r>
    </w:p>
    <w:p>
      <w:r>
        <w:t>Each party shall protect the other party's Confidential Information using at least reasonable care and shall not disclose it to third parties. These obligations survive for 5 years after termination of the Agreement.</w:t>
      </w:r>
    </w:p>
    <w:p>
      <w:pPr>
        <w:pStyle w:val="Heading1"/>
      </w:pPr>
      <w:r>
        <w:t>7. Limitation of Liability</w:t>
      </w:r>
    </w:p>
    <w:p>
      <w:r>
        <w:t>Each party's total liability under this Agreement is limited to the fees paid by the Client in the 12 months preceding the claim. Neither party is liable for indirect or consequential damages, including lost profits.</w:t>
      </w:r>
    </w:p>
    <w:p>
      <w:pPr>
        <w:pStyle w:val="Heading1"/>
      </w:pPr>
      <w:r>
        <w:t>8. Governing Law and Disputes</w:t>
      </w:r>
    </w:p>
    <w:p>
      <w:r>
        <w:t>This Agreement is governed by the laws of the Republic of Indonesia. Disputes that cannot be resolved amicably within 30 days shall be settled by arbitration at the Indonesian National Board of Arbitration (BANI) in Jakarta.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