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ind w:hanging="0" w:left="0"/>
        <w:rPr/>
      </w:pPr>
      <w:r>
        <w:rPr/>
        <w:t>Quarterly report</w:t>
      </w:r>
    </w:p>
    <w:p>
      <w:pPr>
        <w:pStyle w:val="Normal"/>
        <w:bidi w:val="0"/>
        <w:rPr/>
      </w:pPr>
      <w:bookmarkStart w:id="0" w:name="summary"/>
      <w:bookmarkEnd w:id="0"/>
      <w:r>
        <w:rPr/>
        <w:t xml:space="preserve">Revenue rose </w:t>
      </w:r>
      <w:r>
        <w:rPr>
          <w:b/>
        </w:rPr>
        <w:t>12%</w:t>
      </w:r>
      <w:r>
        <w:rPr/>
        <w:t xml:space="preserve"> on the year, with growth concentrated in two regions.</w:t>
      </w:r>
    </w:p>
    <w:p>
      <w:pPr>
        <w:pStyle w:val="Heading2"/>
        <w:bidi w:val="0"/>
        <w:ind w:hanging="0" w:left="0"/>
        <w:rPr/>
      </w:pPr>
      <w:r>
        <w:rPr/>
        <w:t>By region</w:t>
      </w:r>
    </w:p>
    <w:p>
      <w:pPr>
        <w:pStyle w:val="Normal"/>
        <w:numPr>
          <w:ilvl w:val="0"/>
          <w:numId w:val="2"/>
        </w:numPr>
        <w:bidi w:val="0"/>
        <w:rPr/>
      </w:pPr>
      <w:r>
        <w:rPr>
          <w:b/>
        </w:rPr>
        <w:t>North</w:t>
      </w:r>
      <w:r>
        <w:rPr/>
        <w:t xml:space="preserve"> led on volume (12%)</w:t>
      </w:r>
    </w:p>
    <w:p>
      <w:pPr>
        <w:pStyle w:val="Normal"/>
        <w:numPr>
          <w:ilvl w:val="0"/>
          <w:numId w:val="2"/>
        </w:numPr>
        <w:bidi w:val="0"/>
        <w:rPr/>
      </w:pPr>
      <w:r>
        <w:rPr>
          <w:b/>
        </w:rPr>
        <w:t>South</w:t>
      </w:r>
      <w:r>
        <w:rPr/>
        <w:t xml:space="preserve"> held flat (0%)</w:t>
      </w:r>
    </w:p>
    <w:p>
      <w:pPr>
        <w:pStyle w:val="Normal"/>
        <w:numPr>
          <w:ilvl w:val="0"/>
          <w:numId w:val="2"/>
        </w:numPr>
        <w:bidi w:val="0"/>
        <w:rPr/>
      </w:pPr>
      <w:r>
        <w:rPr>
          <w:b/>
        </w:rPr>
        <w:t>East</w:t>
      </w:r>
      <w:r>
        <w:rPr/>
        <w:t xml:space="preserve"> grew from a small base (34%)</w:t>
      </w:r>
    </w:p>
    <w:p>
      <w:pPr>
        <w:pStyle w:val="Normal"/>
        <w:numPr>
          <w:ilvl w:val="0"/>
          <w:numId w:val="2"/>
        </w:numPr>
        <w:bidi w:val="0"/>
        <w:rPr/>
      </w:pPr>
      <w:r>
        <w:rPr>
          <w:b/>
        </w:rPr>
        <w:t>West</w:t>
      </w:r>
      <w:r>
        <w:rPr/>
        <w:t xml:space="preserve"> slipped on one large account (-6%)</w:t>
      </w:r>
    </w:p>
    <w:p>
      <w:pPr>
        <w:pStyle w:val="Heading2"/>
        <w:bidi w:val="0"/>
        <w:ind w:hanging="0" w:left="0"/>
        <w:rPr/>
      </w:pPr>
      <w:r>
        <w:rPr/>
        <w:t>What is not here</w:t>
      </w:r>
    </w:p>
    <w:p>
      <w:pPr>
        <w:pStyle w:val="Normal"/>
        <w:bidi w:val="0"/>
        <w:rPr/>
      </w:pPr>
      <w:r>
        <w:rPr/>
        <w:t xml:space="preserve">A generator says structure and text. Character formatting beyond the notation, images and named styles reach the model through a caret rather than through a block, so a script cannot say them — see </w:t>
      </w:r>
      <w:r>
        <w:rPr>
          <w:rFonts w:ascii="monospace" w:hAnsi="monospace"/>
        </w:rPr>
        <w:t>build/src/text.rs</w:t>
      </w:r>
      <w:r>
        <w:rPr/>
        <w:t>.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monospace">
    <w:charset w:val="01"/>
    <w:family w:val="auto"/>
    <w:pitch w:val="default"/>
  </w:font>
  <w:font w:name="starbat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bullet"/>
      <w:lvlText w:val=""/>
      <w:lvlJc w:val="left"/>
      <w:pPr>
        <w:tabs>
          <w:tab w:val="num" w:pos="720"/>
        </w:tabs>
        <w:ind w:left="720" w:hanging="360"/>
      </w:pPr>
      <w:rPr>
        <w:rFonts w:ascii="starbats" w:hAnsi="starbats" w:cs="starbats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doNotUseHTMLParagraphAutoSpacing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LibreOffice/26.8.1.1$Linux_X86_64 LibreOffice_project/680$Build-1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