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Noto Sans CJK SC" w:hAnsi="Noto Sans CJK SC" w:eastAsia="Noto Sans CJK SC"/>
          <w:b/>
          <w:color w:val="000000"/>
          <w:sz w:val="50"/>
        </w:rPr>
        <w:t>L1V2.9 Deep Research Architecture Audit Addendum 01</w:t>
      </w:r>
    </w:p>
    <w:p>
      <w:pPr>
        <w:spacing w:before="0" w:after="160" w:line="288" w:lineRule="auto"/>
        <w:jc w:val="left"/>
      </w:pPr>
      <w:r>
        <w:rPr>
          <w:rFonts w:ascii="Noto Sans CJK SC" w:hAnsi="Noto Sans CJK SC" w:eastAsia="Noto Sans CJK SC"/>
          <w:b/>
          <w:color w:val="000000"/>
          <w:sz w:val="26"/>
        </w:rPr>
        <w:t>冻结基线架构完整性与证据补丁正式版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1928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审计对象</w:t>
            </w:r>
          </w:p>
        </w:tc>
        <w:tc>
          <w:tcPr>
            <w:tcW w:type="dxa" w:w="714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SO-101 Physical AI Runtime L1 最终执行书 V2.9</w:t>
            </w:r>
          </w:p>
        </w:tc>
      </w:tr>
      <w:tr>
        <w:trPr>
          <w:cantSplit w:val="true"/>
        </w:trPr>
        <w:tc>
          <w:tcPr>
            <w:tcW w:type="dxa" w:w="192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基线状态</w:t>
            </w:r>
          </w:p>
        </w:tc>
        <w:tc>
          <w:tcPr>
            <w:tcW w:type="dxa" w:w="7143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Frozen Baseline  不推翻现有 Core Architecture</w:t>
            </w:r>
          </w:p>
        </w:tc>
      </w:tr>
      <w:tr>
        <w:trPr>
          <w:cantSplit w:val="true"/>
        </w:trP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审计日期</w:t>
            </w:r>
          </w:p>
        </w:tc>
        <w:tc>
          <w:tcPr>
            <w:tcW w:type="dxa" w:w="714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2026-09-18</w:t>
            </w:r>
          </w:p>
        </w:tc>
      </w:tr>
      <w:tr>
        <w:trPr>
          <w:cantSplit w:val="true"/>
        </w:trPr>
        <w:tc>
          <w:tcPr>
            <w:tcW w:type="dxa" w:w="192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批准日期</w:t>
            </w:r>
          </w:p>
        </w:tc>
        <w:tc>
          <w:tcPr>
            <w:tcW w:type="dxa" w:w="7143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2026-09-23</w:t>
            </w:r>
          </w:p>
        </w:tc>
      </w:tr>
      <w:tr>
        <w:trPr>
          <w:cantSplit w:val="true"/>
        </w:trP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审计结论</w:t>
            </w:r>
          </w:p>
        </w:tc>
        <w:tc>
          <w:tcPr>
            <w:tcW w:type="dxa" w:w="714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PASS WITH PATCHES</w:t>
            </w:r>
          </w:p>
        </w:tc>
      </w:tr>
      <w:tr>
        <w:trPr>
          <w:cantSplit w:val="true"/>
        </w:trPr>
        <w:tc>
          <w:tcPr>
            <w:tcW w:type="dxa" w:w="192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文档状态</w:t>
            </w:r>
          </w:p>
        </w:tc>
        <w:tc>
          <w:tcPr>
            <w:tcW w:type="dxa" w:w="7143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APPROVED  V2.9 Binding Companion</w:t>
            </w:r>
          </w:p>
        </w:tc>
      </w:tr>
      <w:tr>
        <w:trPr>
          <w:cantSplit w:val="true"/>
        </w:trP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执行状态</w:t>
            </w:r>
          </w:p>
        </w:tc>
        <w:tc>
          <w:tcPr>
            <w:tcW w:type="dxa" w:w="714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>Phase 3 已按原 V2.9 完成  Phase 4 待 Stage Review 后进入</w:t>
            </w:r>
          </w:p>
        </w:tc>
      </w:tr>
    </w:tbl>
    <w:p>
      <w:pPr>
        <w:spacing w:after="20"/>
      </w:pPr>
    </w:p>
    <w:p>
      <w:pPr>
        <w:spacing w:before="0" w:after="160" w:line="288" w:lineRule="auto"/>
      </w:pPr>
      <w:r>
        <w:rPr>
          <w:rFonts w:ascii="Noto Sans CJK SC" w:hAnsi="Noto Sans CJK SC" w:eastAsia="Noto Sans CJK SC"/>
          <w:b/>
          <w:color w:val="000000"/>
        </w:rPr>
        <w:t xml:space="preserve">结论  </w:t>
      </w:r>
      <w:r>
        <w:rPr>
          <w:rFonts w:ascii="Noto Sans CJK SC" w:hAnsi="Noto Sans CJK SC" w:eastAsia="Noto Sans CJK SC"/>
          <w:color w:val="000000"/>
        </w:rPr>
        <w:t>本轮外部研究没有发现足以推翻 V2.9 技术主线、Phase 0 至 Phase 8 顺序、ACT 基线、Intel Core Edge、ROS 2 与 C++ Runtime 或 STM32 与 Zephyr 安全边界的证据。需要补强的是 Timing、Host Real Time 与 Safety 的证据契约。V2.9 继续作为冻结基线，本 Addendum 自 2026-09-23 起作为绑定伴随文件生效，增加四个 Gate 补丁、四个 Evidence/ADR/Research 补丁和一个 Version Drift Watch。Phase 3 已按其执行时有效的原 V2.9 完成，本 Addendum 不追溯否定该结论。</w:t>
      </w:r>
    </w:p>
    <w:p>
      <w:pPr>
        <w:pStyle w:val="Heading1"/>
        <w:spacing w:before="240" w:after="120"/>
        <w:keepNext/>
        <w:keepNext/>
      </w:pPr>
      <w:r>
        <w:rPr>
          <w:rFonts w:ascii="Noto Sans CJK SC" w:hAnsi="Noto Sans CJK SC" w:eastAsia="Noto Sans CJK SC"/>
          <w:b/>
          <w:color w:val="000000"/>
          <w:sz w:val="34"/>
        </w:rPr>
        <w:t>一 审计目的与边界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color w:val="000000"/>
        </w:rPr>
        <w:t>本审计针对一个具体风险：V2.9 经过多轮局部检索、官方教程验证和工程讨论后，可能仍存在从未被提出、因此也从未被搜索的系统级遗漏。审计把 V2.9 当作 frozen baseline，优先寻找反证、缺失层、替代路线与证据不足，而不是重新设计一个新项目。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color w:val="000000"/>
        </w:rPr>
        <w:t>审计采用以下规则</w:t>
      </w:r>
    </w:p>
    <w:p>
      <w:pPr>
        <w:spacing w:after="40" w:line="276" w:lineRule="auto"/>
        <w:ind w:left="425" w:hanging="425"/>
      </w:pPr>
      <w:r>
        <w:rPr>
          <w:rFonts w:ascii="Noto Sans CJK SC" w:hAnsi="Noto Sans CJK SC" w:eastAsia="Noto Sans CJK SC"/>
          <w:color w:val="000000"/>
        </w:rPr>
        <w:t xml:space="preserve">1.  </w:t>
      </w:r>
      <w:r>
        <w:rPr>
          <w:rFonts w:ascii="Noto Sans CJK SC" w:hAnsi="Noto Sans CJK SC" w:eastAsia="Noto Sans CJK SC"/>
          <w:color w:val="000000"/>
        </w:rPr>
        <w:t>外部证据优先使用官方文档、标准组织页面和同行评审论文；行业宣传材料不作为 Gate 的唯一依据。</w:t>
      </w:r>
    </w:p>
    <w:p>
      <w:pPr>
        <w:spacing w:after="40" w:line="276" w:lineRule="auto"/>
        <w:ind w:left="425" w:hanging="425"/>
      </w:pPr>
      <w:r>
        <w:rPr>
          <w:rFonts w:ascii="Noto Sans CJK SC" w:hAnsi="Noto Sans CJK SC" w:eastAsia="Noto Sans CJK SC"/>
          <w:color w:val="000000"/>
        </w:rPr>
        <w:t xml:space="preserve">2.  </w:t>
      </w:r>
      <w:r>
        <w:rPr>
          <w:rFonts w:ascii="Noto Sans CJK SC" w:hAnsi="Noto Sans CJK SC" w:eastAsia="Noto Sans CJK SC"/>
          <w:color w:val="000000"/>
        </w:rPr>
        <w:t>发现项按 No Change、Evidence Patch、Gate Patch、Architecture Change 四级处理。只有出现会改变系统边界或使现有路线不可行的证据，才进入 Architecture Change。</w:t>
      </w:r>
    </w:p>
    <w:p>
      <w:pPr>
        <w:spacing w:after="40" w:line="276" w:lineRule="auto"/>
        <w:ind w:left="425" w:hanging="425"/>
      </w:pPr>
      <w:r>
        <w:rPr>
          <w:rFonts w:ascii="Noto Sans CJK SC" w:hAnsi="Noto Sans CJK SC" w:eastAsia="Noto Sans CJK SC"/>
          <w:color w:val="000000"/>
        </w:rPr>
        <w:t xml:space="preserve">3.  </w:t>
      </w:r>
      <w:r>
        <w:rPr>
          <w:rFonts w:ascii="Noto Sans CJK SC" w:hAnsi="Noto Sans CJK SC" w:eastAsia="Noto Sans CJK SC"/>
          <w:color w:val="000000"/>
        </w:rPr>
        <w:t>审计结论必须落到 Phase、Gate、字段、实验或 ADR。无法落地的观察只进入 Watchlist。</w:t>
      </w:r>
    </w:p>
    <w:p>
      <w:pPr>
        <w:spacing w:after="40" w:line="276" w:lineRule="auto"/>
        <w:ind w:left="425" w:hanging="425"/>
      </w:pPr>
      <w:r>
        <w:rPr>
          <w:rFonts w:ascii="Noto Sans CJK SC" w:hAnsi="Noto Sans CJK SC" w:eastAsia="Noto Sans CJK SC"/>
          <w:color w:val="000000"/>
        </w:rPr>
        <w:t xml:space="preserve">4.  </w:t>
      </w:r>
      <w:r>
        <w:rPr>
          <w:rFonts w:ascii="Noto Sans CJK SC" w:hAnsi="Noto Sans CJK SC" w:eastAsia="Noto Sans CJK SC"/>
          <w:color w:val="000000"/>
        </w:rPr>
        <w:t>本项目只形成 safety oriented engineering prototype 与可验证安全证据，不宣称通过 IEC 61508、ISO 10218 或其他功能安全认证。</w:t>
      </w:r>
    </w:p>
    <w:p>
      <w:pPr>
        <w:pStyle w:val="Heading1"/>
        <w:spacing w:before="240" w:after="120"/>
        <w:keepNext/>
        <w:keepNext/>
      </w:pPr>
      <w:r>
        <w:rPr>
          <w:rFonts w:ascii="Noto Sans CJK SC" w:hAnsi="Noto Sans CJK SC" w:eastAsia="Noto Sans CJK SC"/>
          <w:b/>
          <w:color w:val="000000"/>
          <w:sz w:val="34"/>
        </w:rPr>
        <w:t>二 V2.9 已有基础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color w:val="000000"/>
        </w:rPr>
        <w:t>V2.9 已经具备较完整的 Physical AI Runtime 骨架。其强项不是单个模型或单次真机成功，而是把 Policy、InferenceBackend、ActionBuffer、Execution、RuntimeMetrics、SafetyFilter 和 MCU Safety 组织成可替换、可测量、可回放的工程链。以下内容在本轮审计中得到保留。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1701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V2.9 位置</w:t>
            </w:r>
          </w:p>
        </w:tc>
        <w:tc>
          <w:tcPr>
            <w:tcW w:type="dxa" w:w="4082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已有设计</w:t>
            </w:r>
          </w:p>
        </w:tc>
        <w:tc>
          <w:tcPr>
            <w:tcW w:type="dxa" w:w="3288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审计判断</w:t>
            </w:r>
          </w:p>
        </w:tc>
      </w:tr>
      <w:tr>
        <w:trPr>
          <w:cantSplit w:val="true"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7.2 至 7.4</w:t>
            </w:r>
          </w:p>
        </w:tc>
        <w:tc>
          <w:tcPr>
            <w:tcW w:type="dxa" w:w="408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Observation Runtime、Policy Runtime、ActionBuffer、固定周期 Execution、完整 Age 与 jitter 指标</w:t>
            </w:r>
          </w:p>
        </w:tc>
        <w:tc>
          <w:tcPr>
            <w:tcW w:type="dxa" w:w="328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核心正确  需补时钟域与 OS 调度证据</w:t>
            </w:r>
          </w:p>
        </w:tc>
      </w:tr>
      <w:tr>
        <w:trPr>
          <w:cantSplit w:val="true"/>
        </w:trPr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8.1 至 8.6</w:t>
            </w:r>
          </w:p>
        </w:tc>
        <w:tc>
          <w:tcPr>
            <w:tcW w:type="dxa" w:w="4082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255H Pre Deployment 到 DK 2500 Real Edge  双级 OpenVINO 验证</w:t>
            </w:r>
          </w:p>
        </w:tc>
        <w:tc>
          <w:tcPr>
            <w:tcW w:type="dxa" w:w="328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路线保留  需补执行配置元数据</w:t>
            </w:r>
          </w:p>
        </w:tc>
      </w:tr>
      <w:tr>
        <w:trPr>
          <w:cantSplit w:val="true"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9.2 至 9.5</w:t>
            </w:r>
          </w:p>
        </w:tc>
        <w:tc>
          <w:tcPr>
            <w:tcW w:type="dxa" w:w="408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统一 InferenceBackend、自动 Benchmark、Intel Reference 对照</w:t>
            </w:r>
          </w:p>
        </w:tc>
        <w:tc>
          <w:tcPr>
            <w:tcW w:type="dxa" w:w="328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核心正确  需增加 ros2_control ADR</w:t>
            </w:r>
          </w:p>
        </w:tc>
      </w:tr>
      <w:tr>
        <w:trPr>
          <w:cantSplit w:val="true"/>
        </w:trPr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10 与 13</w:t>
            </w:r>
          </w:p>
        </w:tc>
        <w:tc>
          <w:tcPr>
            <w:tcW w:type="dxa" w:w="4082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Zephyr Safety、硬急停、SafetyFilter、F0 F1、故障注入</w:t>
            </w:r>
          </w:p>
        </w:tc>
        <w:tc>
          <w:tcPr>
            <w:tcW w:type="dxa" w:w="328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安全边界正确  需形成 hazard 到 evidence 链</w:t>
            </w:r>
          </w:p>
        </w:tc>
      </w:tr>
      <w:tr>
        <w:trPr>
          <w:cantSplit w:val="true"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11 与附录 C</w:t>
            </w:r>
          </w:p>
        </w:tc>
        <w:tc>
          <w:tcPr>
            <w:tcW w:type="dxa" w:w="408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端到端时间链、P50 P95 P99、实验元数据</w:t>
            </w:r>
          </w:p>
        </w:tc>
        <w:tc>
          <w:tcPr>
            <w:tcW w:type="dxa" w:w="328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指标方向正确  需冻结 clock contract</w:t>
            </w:r>
          </w:p>
        </w:tc>
      </w:tr>
      <w:tr>
        <w:trPr>
          <w:cantSplit w:val="true"/>
        </w:trPr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17 与 Employment Gate</w:t>
            </w:r>
          </w:p>
        </w:tc>
        <w:tc>
          <w:tcPr>
            <w:tcW w:type="dxa" w:w="4082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可运行、可测量、可解释修改、可复现</w:t>
            </w:r>
          </w:p>
        </w:tc>
        <w:tc>
          <w:tcPr>
            <w:tcW w:type="dxa" w:w="328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可直接吸收本 Addendum 的证据要求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  <w:keepNext/>
        <w:keepNext/>
      </w:pPr>
      <w:r>
        <w:rPr>
          <w:rFonts w:ascii="Noto Sans CJK SC" w:hAnsi="Noto Sans CJK SC" w:eastAsia="Noto Sans CJK SC"/>
          <w:b/>
          <w:color w:val="000000"/>
          <w:sz w:val="34"/>
        </w:rPr>
        <w:t>三 审计结论与 Gap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680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329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Gap</w:t>
            </w:r>
          </w:p>
        </w:tc>
        <w:tc>
          <w:tcPr>
            <w:tcW w:type="dxa" w:w="1134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严重度</w:t>
            </w:r>
          </w:p>
        </w:tc>
        <w:tc>
          <w:tcPr>
            <w:tcW w:type="dxa" w:w="1928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68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G1</w:t>
            </w:r>
          </w:p>
        </w:tc>
        <w:tc>
          <w:tcPr>
            <w:tcW w:type="dxa" w:w="532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已有 timestamp 但未冻结 clock domain  source  measurement point 与跨设备比较规则</w:t>
            </w:r>
          </w:p>
        </w:tc>
        <w:tc>
          <w:tcPr>
            <w:tcW w:type="dxa" w:w="113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High</w:t>
            </w:r>
          </w:p>
        </w:tc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Gate T0</w:t>
            </w:r>
          </w:p>
        </w:tc>
      </w:tr>
      <w:tr>
        <w:trPr>
          <w:cantSplit w:val="true"/>
        </w:trPr>
        <w:tc>
          <w:tcPr>
            <w:tcW w:type="dxa" w:w="68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G2</w:t>
            </w:r>
          </w:p>
        </w:tc>
        <w:tc>
          <w:tcPr>
            <w:tcW w:type="dxa" w:w="5329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Real Time 证据集中在 Runtime 指标  缺少 kernel scheduler memlock page fault affinity 与 overrun 身份</w:t>
            </w:r>
          </w:p>
        </w:tc>
        <w:tc>
          <w:tcPr>
            <w:tcW w:type="dxa" w:w="113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High</w:t>
            </w:r>
          </w:p>
        </w:tc>
        <w:tc>
          <w:tcPr>
            <w:tcW w:type="dxa" w:w="192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Gate RT0</w:t>
            </w:r>
          </w:p>
        </w:tc>
      </w:tr>
      <w:tr>
        <w:trPr>
          <w:cantSplit w:val="true"/>
        </w:trPr>
        <w:tc>
          <w:tcPr>
            <w:tcW w:type="dxa" w:w="68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G3</w:t>
            </w:r>
          </w:p>
        </w:tc>
        <w:tc>
          <w:tcPr>
            <w:tcW w:type="dxa" w:w="532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Safety 目前更像机制与故障清单  缺少 hazard mechanism safe state evidence 的闭环</w:t>
            </w:r>
          </w:p>
        </w:tc>
        <w:tc>
          <w:tcPr>
            <w:tcW w:type="dxa" w:w="113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High</w:t>
            </w:r>
          </w:p>
        </w:tc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Gate SC0</w:t>
            </w:r>
          </w:p>
        </w:tc>
      </w:tr>
      <w:tr>
        <w:trPr>
          <w:cantSplit w:val="true"/>
        </w:trPr>
        <w:tc>
          <w:tcPr>
            <w:tcW w:type="dxa" w:w="68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G4</w:t>
            </w:r>
          </w:p>
        </w:tc>
        <w:tc>
          <w:tcPr>
            <w:tcW w:type="dxa" w:w="5329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故障注入覆盖 host policy camera node link 与 E stop  但 MCU task 或 scheduler 卡死覆盖不足</w:t>
            </w:r>
          </w:p>
        </w:tc>
        <w:tc>
          <w:tcPr>
            <w:tcW w:type="dxa" w:w="113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High</w:t>
            </w:r>
          </w:p>
        </w:tc>
        <w:tc>
          <w:tcPr>
            <w:tcW w:type="dxa" w:w="192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Gate W0</w:t>
            </w:r>
          </w:p>
        </w:tc>
      </w:tr>
      <w:tr>
        <w:trPr>
          <w:cantSplit w:val="true"/>
        </w:trPr>
        <w:tc>
          <w:tcPr>
            <w:tcW w:type="dxa" w:w="68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G5</w:t>
            </w:r>
          </w:p>
        </w:tc>
        <w:tc>
          <w:tcPr>
            <w:tcW w:type="dxa" w:w="532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ROS 2 实验未强制冻结实际 RMW DDS QoS Executor Callback Group 与 Lifecycle 身份</w:t>
            </w:r>
          </w:p>
        </w:tc>
        <w:tc>
          <w:tcPr>
            <w:tcW w:type="dxa" w:w="113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Medium</w:t>
            </w:r>
          </w:p>
        </w:tc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Evidence R M1</w:t>
            </w:r>
          </w:p>
        </w:tc>
      </w:tr>
      <w:tr>
        <w:trPr>
          <w:cantSplit w:val="true"/>
        </w:trPr>
        <w:tc>
          <w:tcPr>
            <w:tcW w:type="dxa" w:w="68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G6</w:t>
            </w:r>
          </w:p>
        </w:tc>
        <w:tc>
          <w:tcPr>
            <w:tcW w:type="dxa" w:w="5329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自建 Runtime 与 ros2_control 的边界未形成正式决策记录</w:t>
            </w:r>
          </w:p>
        </w:tc>
        <w:tc>
          <w:tcPr>
            <w:tcW w:type="dxa" w:w="113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Medium</w:t>
            </w:r>
          </w:p>
        </w:tc>
        <w:tc>
          <w:tcPr>
            <w:tcW w:type="dxa" w:w="192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ADR 01</w:t>
            </w:r>
          </w:p>
        </w:tc>
      </w:tr>
      <w:tr>
        <w:trPr>
          <w:cantSplit w:val="true"/>
        </w:trPr>
        <w:tc>
          <w:tcPr>
            <w:tcW w:type="dxa" w:w="68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G7</w:t>
            </w:r>
          </w:p>
        </w:tc>
        <w:tc>
          <w:tcPr>
            <w:tcW w:type="dxa" w:w="532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OpenVINO 结果未强制记录 performance hint streams requests core scheduling 与 pinning</w:t>
            </w:r>
          </w:p>
        </w:tc>
        <w:tc>
          <w:tcPr>
            <w:tcW w:type="dxa" w:w="113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Medium</w:t>
            </w:r>
          </w:p>
        </w:tc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Evidence O M1</w:t>
            </w:r>
          </w:p>
        </w:tc>
      </w:tr>
      <w:tr>
        <w:trPr>
          <w:cantSplit w:val="true"/>
        </w:trPr>
        <w:tc>
          <w:tcPr>
            <w:tcW w:type="dxa" w:w="68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G8</w:t>
            </w:r>
          </w:p>
        </w:tc>
        <w:tc>
          <w:tcPr>
            <w:tcW w:type="dxa" w:w="5329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同步与异步已有规划  但 action chunk 的 observation action mismatch 未进入 Research Bridge</w:t>
            </w:r>
          </w:p>
        </w:tc>
        <w:tc>
          <w:tcPr>
            <w:tcW w:type="dxa" w:w="113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Medium</w:t>
            </w:r>
          </w:p>
        </w:tc>
        <w:tc>
          <w:tcPr>
            <w:tcW w:type="dxa" w:w="192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Research Patch RB 01</w:t>
            </w:r>
          </w:p>
        </w:tc>
      </w:tr>
      <w:tr>
        <w:trPr>
          <w:cantSplit w:val="true"/>
        </w:trPr>
        <w:tc>
          <w:tcPr>
            <w:tcW w:type="dxa" w:w="68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G9</w:t>
            </w:r>
          </w:p>
        </w:tc>
        <w:tc>
          <w:tcPr>
            <w:tcW w:type="dxa" w:w="532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LeRobot OpenVINO ROS 2 标准与官方栈会持续漂移</w:t>
            </w:r>
          </w:p>
        </w:tc>
        <w:tc>
          <w:tcPr>
            <w:tcW w:type="dxa" w:w="113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Low</w:t>
            </w:r>
          </w:p>
        </w:tc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Version Drift Watch</w:t>
            </w:r>
          </w:p>
        </w:tc>
      </w:tr>
    </w:tbl>
    <w:p>
      <w:pPr>
        <w:spacing w:after="20"/>
      </w:pP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000000"/>
        </w:rPr>
        <w:t xml:space="preserve">命名纠正  </w:t>
      </w:r>
      <w:r>
        <w:rPr>
          <w:rFonts w:ascii="Noto Sans CJK SC" w:hAnsi="Noto Sans CJK SC" w:eastAsia="Noto Sans CJK SC"/>
          <w:color w:val="000000"/>
        </w:rPr>
        <w:t>V2.9 已经使用 S0 表示存储 Gate，且使用 S 表示 Zephyr Safety Gate。因此上一轮口头提出的 S0 Safety Case Lite 在正式文档中更名为 SC0，避免覆盖现有 Gate。MCU 自身故障覆盖使用 W0，避免与 S1 核心岗位类别混淆。</w:t>
      </w:r>
    </w:p>
    <w:p>
      <w:pPr>
        <w:pStyle w:val="Heading1"/>
        <w:spacing w:before="240" w:after="120"/>
        <w:keepNext/>
        <w:keepNext/>
      </w:pPr>
      <w:r>
        <w:rPr>
          <w:rFonts w:ascii="Noto Sans CJK SC" w:hAnsi="Noto Sans CJK SC" w:eastAsia="Noto Sans CJK SC"/>
          <w:b/>
          <w:color w:val="000000"/>
          <w:sz w:val="34"/>
        </w:rPr>
        <w:t>四 必须新增的 Gate 补丁</w:t>
      </w:r>
    </w:p>
    <w:p>
      <w:pPr>
        <w:pStyle w:val="Heading2"/>
        <w:spacing w:before="180" w:after="80"/>
        <w:keepNext/>
        <w:keepNext/>
      </w:pPr>
      <w:r>
        <w:rPr>
          <w:rFonts w:ascii="Noto Sans CJK SC" w:hAnsi="Noto Sans CJK SC" w:eastAsia="Noto Sans CJK SC"/>
          <w:b/>
          <w:color w:val="000000"/>
          <w:sz w:val="27"/>
        </w:rPr>
        <w:t>Gate T0 Clock and Timestamp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1701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 w:val="true"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落点</w:t>
            </w:r>
          </w:p>
        </w:tc>
        <w:tc>
          <w:tcPr>
            <w:tcW w:type="dxa" w:w="737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Phase 5A  在固化完整时间戳链之前通过</w:t>
            </w:r>
          </w:p>
        </w:tc>
      </w:tr>
      <w:tr>
        <w:trPr>
          <w:cantSplit w:val="true"/>
        </w:trPr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目的</w:t>
            </w:r>
          </w:p>
        </w:tc>
        <w:tc>
          <w:tcPr>
            <w:tcW w:type="dxa" w:w="737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保证 Observation Age、Queue Delay、Action Age、End to End Age、jitter 与 timeout 的计算具有明确时钟语义。ROS 2 区分 SystemTime、ROSTime 与 SteadyTime，SteadyTime 不应与 SystemTime 或 ROSTime 直接比较。参考 R1。</w:t>
            </w:r>
          </w:p>
        </w:tc>
      </w:tr>
      <w:tr>
        <w:trPr>
          <w:cantSplit w:val="true"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通过证据</w:t>
            </w:r>
          </w:p>
        </w:tc>
        <w:tc>
          <w:tcPr>
            <w:tcW w:type="dxa" w:w="737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timing schema、clock domain 枚举、单元测试、一次 wall clock 跳变或 use sim time 负向测试、一次 host 与 MCU 未同步时钟拒绝直接相减的验证记录</w:t>
            </w:r>
          </w:p>
        </w:tc>
      </w:tr>
      <w:tr>
        <w:trPr>
          <w:cantSplit w:val="true"/>
        </w:trPr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未通过</w:t>
            </w:r>
          </w:p>
        </w:tc>
        <w:tc>
          <w:tcPr>
            <w:tcW w:type="dxa" w:w="737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不得发布跨时钟域 E2E 数字。回退为 host 段、通信段和 MCU 段分别测量，并记录 clock offset 或同步状态为 unknown。</w:t>
            </w:r>
          </w:p>
        </w:tc>
      </w:tr>
    </w:tbl>
    <w:p>
      <w:pPr>
        <w:spacing w:after="20"/>
      </w:pPr>
    </w:p>
    <w:p>
      <w:pPr>
        <w:spacing w:before="0" w:after="80" w:line="288" w:lineRule="auto"/>
      </w:pPr>
      <w:r>
        <w:rPr>
          <w:rFonts w:ascii="Noto Sans CJK SC" w:hAnsi="Noto Sans CJK SC" w:eastAsia="Noto Sans CJK SC"/>
          <w:color w:val="000000"/>
        </w:rPr>
        <w:t>最低要求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每个时间字段同时记录 timestamp、clock_domain、source、measurement_point 和 synchronization_status。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interval、jitter、deadline 与 timeout 使用 monotonic 或 steady clock。人类可读时间、rosbag 关联和外部事件对齐使用 ROS 或 system time。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Camera device clock、host clock、ROS time 与 MCU uptime 若未建立映射，不允许直接相减。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Host 到 MCU 的绝对 E2E 只有在 offset、同步方法、同步误差和采样窗口均有记录时才能发布。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所有 Benchmark JSON 或 CSV 必须带 clock contract version。</w:t>
      </w:r>
    </w:p>
    <w:p>
      <w:pPr>
        <w:pStyle w:val="Heading2"/>
        <w:spacing w:before="180" w:after="80"/>
        <w:keepNext/>
        <w:keepNext/>
      </w:pPr>
      <w:r>
        <w:rPr>
          <w:rFonts w:ascii="Noto Sans CJK SC" w:hAnsi="Noto Sans CJK SC" w:eastAsia="Noto Sans CJK SC"/>
          <w:b/>
          <w:color w:val="000000"/>
          <w:sz w:val="27"/>
        </w:rPr>
        <w:t>Gate RT0 Host Real Time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1701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 w:val="true"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落点</w:t>
            </w:r>
          </w:p>
        </w:tc>
        <w:tc>
          <w:tcPr>
            <w:tcW w:type="dxa" w:w="737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Phase 5B  与 fixed rate Execution 和自动 Benchmark 同期</w:t>
            </w:r>
          </w:p>
        </w:tc>
      </w:tr>
      <w:tr>
        <w:trPr>
          <w:cantSplit w:val="true"/>
        </w:trPr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目的</w:t>
            </w:r>
          </w:p>
        </w:tc>
        <w:tc>
          <w:tcPr>
            <w:tcW w:type="dxa" w:w="737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把 Runtime level Real Time 扩展到 OS 与 scheduler 证据，说明 tail latency、jitter 与 deadline miss 由哪一层产生。ros2_control 的官方实现明确讨论 SCHED FIFO、memlock、CPU affinity、thread priority 和 overrun 管理。参考 R2。</w:t>
            </w:r>
          </w:p>
        </w:tc>
      </w:tr>
      <w:tr>
        <w:trPr>
          <w:cantSplit w:val="true"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通过证据</w:t>
            </w:r>
          </w:p>
        </w:tc>
        <w:tc>
          <w:tcPr>
            <w:tcW w:type="dxa" w:w="737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Normal baseline 与 RT tuned configuration 的可复现实验、内核与调度身份、P50 P95 P99 max jitter、deadline miss、page fault、overrun、Action Age tail、CPU 负载与温度</w:t>
            </w:r>
          </w:p>
        </w:tc>
      </w:tr>
      <w:tr>
        <w:trPr>
          <w:cantSplit w:val="true"/>
        </w:trPr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未通过</w:t>
            </w:r>
          </w:p>
        </w:tc>
        <w:tc>
          <w:tcPr>
            <w:tcW w:type="dxa" w:w="737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保留普通 Linux 基线并明确限制。未形成对照时不得把系统描述为 real time capable，更不得宣称 hard real time。</w:t>
            </w:r>
          </w:p>
        </w:tc>
      </w:tr>
    </w:tbl>
    <w:p>
      <w:pPr>
        <w:spacing w:after="20"/>
      </w:pPr>
    </w:p>
    <w:p>
      <w:pPr>
        <w:spacing w:before="0" w:after="80" w:line="288" w:lineRule="auto"/>
      </w:pPr>
      <w:r>
        <w:rPr>
          <w:rFonts w:ascii="Noto Sans CJK SC" w:hAnsi="Noto Sans CJK SC" w:eastAsia="Noto Sans CJK SC"/>
          <w:color w:val="000000"/>
        </w:rPr>
        <w:t>最低要求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记录 kernel version、preemption model、scheduler policy、thread priority、CPU affinity、memlock、governor 或 power mode 与负载条件。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至少比较默认配置与一组受控 RT tuned 配置。SCHED FIFO、mlockall、CPU affinity、low latency 或 PREEMPT RT 按环境可用性逐项启用，不要求一次全部采用。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同时报告 P50 P95 P99 和最大值，补充 major minor page faults、deadline misses、overruns 与 Action Age tail。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任何优化必须说明副作用，例如线程饥饿、系统响应下降、温度或功耗上升。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结论必须区分 best effort fixed rate、soft real time evidence 与 hard real time guarantee。</w:t>
      </w:r>
    </w:p>
    <w:p>
      <w:pPr>
        <w:pStyle w:val="Heading2"/>
        <w:spacing w:before="180" w:after="80"/>
        <w:keepNext/>
        <w:keepNext/>
      </w:pPr>
      <w:r>
        <w:rPr>
          <w:rFonts w:ascii="Noto Sans CJK SC" w:hAnsi="Noto Sans CJK SC" w:eastAsia="Noto Sans CJK SC"/>
          <w:b/>
          <w:color w:val="000000"/>
          <w:sz w:val="27"/>
        </w:rPr>
        <w:t>Gate SC0 Safety Case Lite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1701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 w:val="true"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落点</w:t>
            </w:r>
          </w:p>
        </w:tc>
        <w:tc>
          <w:tcPr>
            <w:tcW w:type="dxa" w:w="737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Phase 6A  在 F1 真机融合前完成首版  Phase 6B 后补齐证据</w:t>
            </w:r>
          </w:p>
        </w:tc>
      </w:tr>
      <w:tr>
        <w:trPr>
          <w:cantSplit w:val="true"/>
        </w:trPr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目的</w:t>
            </w:r>
          </w:p>
        </w:tc>
        <w:tc>
          <w:tcPr>
            <w:tcW w:type="dxa" w:w="737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把安全机制清单转成 hazard 到 evidence 的可追溯链。ISO 12100 要求识别危险、估计和评价风险、实施风险降低并验证和记录。参考 R6。</w:t>
            </w:r>
          </w:p>
        </w:tc>
      </w:tr>
      <w:tr>
        <w:trPr>
          <w:cantSplit w:val="true"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通过证据</w:t>
            </w:r>
          </w:p>
        </w:tc>
        <w:tc>
          <w:tcPr>
            <w:tcW w:type="dxa" w:w="737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Safety Case Lite 表、故障注入记录、检测时间、停止时间、恢复条件、残余风险与视频或日志证据</w:t>
            </w:r>
          </w:p>
        </w:tc>
      </w:tr>
      <w:tr>
        <w:trPr>
          <w:cantSplit w:val="true"/>
        </w:trPr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未通过</w:t>
            </w:r>
          </w:p>
        </w:tc>
        <w:tc>
          <w:tcPr>
            <w:tcW w:type="dxa" w:w="737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对应危险不得进入 F1 真机动作链，或必须降级到明确的受限模式。</w:t>
            </w:r>
          </w:p>
        </w:tc>
      </w:tr>
    </w:tbl>
    <w:p>
      <w:pPr>
        <w:spacing w:after="20"/>
      </w:pPr>
    </w:p>
    <w:p>
      <w:pPr>
        <w:spacing w:before="0" w:after="80" w:line="288" w:lineRule="auto"/>
      </w:pPr>
      <w:r>
        <w:rPr>
          <w:rFonts w:ascii="Noto Sans CJK SC" w:hAnsi="Noto Sans CJK SC" w:eastAsia="Noto Sans CJK SC"/>
          <w:color w:val="000000"/>
        </w:rPr>
        <w:t>最低要求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每项至少包含 Hazard、Hazardous Event、Detection、Safety Mechanism、Safe State、Detection Time、Stopping Time、Recovery Condition、Residual Risk 和 Test Evidence。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首期至少覆盖 stale action、policy hang、camera freeze、node crash、communication loss、MCU self failure、power anomaly 与 hardware E stop。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安全机制必须标明执行主体和权限边界，包括 Linux Runtime、SafetyFilter、MCU、硬件急停与人工复位。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恢复路径必须独立验收，单条 CLEAR FAULT 不能直接恢复 RUNNING。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文档必须声明本项目不是获得认证的安全系统，不把使用 Zephyr 等同于获得 SIL 等级。参考 R5。</w:t>
      </w:r>
    </w:p>
    <w:p>
      <w:pPr>
        <w:pStyle w:val="Heading2"/>
        <w:spacing w:before="180" w:after="80"/>
        <w:keepNext/>
        <w:keepNext/>
      </w:pPr>
      <w:r>
        <w:rPr>
          <w:rFonts w:ascii="Noto Sans CJK SC" w:hAnsi="Noto Sans CJK SC" w:eastAsia="Noto Sans CJK SC"/>
          <w:b/>
          <w:color w:val="000000"/>
          <w:sz w:val="27"/>
        </w:rPr>
        <w:t>Gate W0 MCU Self Failure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1701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 w:val="true"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落点</w:t>
            </w:r>
          </w:p>
        </w:tc>
        <w:tc>
          <w:tcPr>
            <w:tcW w:type="dxa" w:w="737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Phase 6A 至 Phase 6B  与 Zephyr Watchdog 和 Fault Injection 同期</w:t>
            </w:r>
          </w:p>
        </w:tc>
      </w:tr>
      <w:tr>
        <w:trPr>
          <w:cantSplit w:val="true"/>
        </w:trPr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目的</w:t>
            </w:r>
          </w:p>
        </w:tc>
        <w:tc>
          <w:tcPr>
            <w:tcW w:type="dxa" w:w="737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覆盖 MCU task、scheduler 或主循环自身卡死。Zephyr Task Watchdog 可监督多个 task，并可用硬件 watchdog 作为 task watchdog 或 scheduler 故障的 fallback。参考 R4。</w:t>
            </w:r>
          </w:p>
        </w:tc>
      </w:tr>
      <w:tr>
        <w:trPr>
          <w:cantSplit w:val="true"/>
        </w:trP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通过证据</w:t>
            </w:r>
          </w:p>
        </w:tc>
        <w:tc>
          <w:tcPr>
            <w:tcW w:type="dxa" w:w="737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task watchdog channel 配置、hardware watchdog fallback 配置、至少一次 task hang 注入、复位原因、默认 DISARMED 验证、host 侧检测与日志</w:t>
            </w:r>
          </w:p>
        </w:tc>
      </w:tr>
      <w:tr>
        <w:trPr>
          <w:cantSplit w:val="true"/>
        </w:trPr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未通过</w:t>
            </w:r>
          </w:p>
        </w:tc>
        <w:tc>
          <w:tcPr>
            <w:tcW w:type="dxa" w:w="7370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MCU 保持旁路，不进入 F1。若只能完成 hardware watchdog，则必须记录未覆盖的 task level failure。</w:t>
            </w:r>
          </w:p>
        </w:tc>
      </w:tr>
    </w:tbl>
    <w:p>
      <w:pPr>
        <w:spacing w:after="20"/>
      </w:pPr>
    </w:p>
    <w:p>
      <w:pPr>
        <w:spacing w:before="0" w:after="80" w:line="288" w:lineRule="auto"/>
      </w:pPr>
      <w:r>
        <w:rPr>
          <w:rFonts w:ascii="Noto Sans CJK SC" w:hAnsi="Noto Sans CJK SC" w:eastAsia="Noto Sans CJK SC"/>
          <w:color w:val="000000"/>
        </w:rPr>
        <w:t>最低要求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对 heartbeat、safety state machine、communication 或其他关键 task 分配 watchdog channel。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启用可用的 hardware watchdog fallback，避免 task watchdog 或 scheduler 自身失效时失去最后保护。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注入一个关键 task 卡死与一个 scheduler 或主循环失活场景，验证复位或进入安全态。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任何 MCU reset 后默认进入 DISARMED，执行许可不得自动恢复。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复位原因和最后 fault state 必须可被 host 读取或从持久化日志恢复。</w:t>
      </w:r>
    </w:p>
    <w:p>
      <w:pPr>
        <w:pStyle w:val="Heading1"/>
        <w:spacing w:before="240" w:after="120"/>
        <w:keepNext/>
        <w:keepNext/>
      </w:pPr>
      <w:r>
        <w:rPr>
          <w:rFonts w:ascii="Noto Sans CJK SC" w:hAnsi="Noto Sans CJK SC" w:eastAsia="Noto Sans CJK SC"/>
          <w:b/>
          <w:color w:val="000000"/>
          <w:sz w:val="34"/>
        </w:rPr>
        <w:t>五 Evidence 与 ADR 补丁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907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补丁</w:t>
            </w:r>
          </w:p>
        </w:tc>
        <w:tc>
          <w:tcPr>
            <w:tcW w:type="dxa" w:w="1701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落点</w:t>
            </w:r>
          </w:p>
        </w:tc>
        <w:tc>
          <w:tcPr>
            <w:tcW w:type="dxa" w:w="4082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新增内容</w:t>
            </w:r>
          </w:p>
        </w:tc>
        <w:tc>
          <w:tcPr>
            <w:tcW w:type="dxa" w:w="2381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90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 M1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Phase 3 与 Phase 4</w:t>
            </w:r>
          </w:p>
        </w:tc>
        <w:tc>
          <w:tcPr>
            <w:tcW w:type="dxa" w:w="408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OpenVINO version plugin driver device precision shape performance hint num streams num requests inference threads core scheduling CPU pinning compile load warmup steady state</w:t>
            </w:r>
          </w:p>
        </w:tc>
        <w:tc>
          <w:tcPr>
            <w:tcW w:type="dxa" w:w="238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相同 Policy Package 的结果可解释且配置可复现  参考 R3</w:t>
            </w:r>
          </w:p>
        </w:tc>
      </w:tr>
      <w:tr>
        <w:trPr>
          <w:cantSplit w:val="true"/>
        </w:trPr>
        <w:tc>
          <w:tcPr>
            <w:tcW w:type="dxa" w:w="907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R M1</w:t>
            </w:r>
          </w:p>
        </w:tc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Phase 5A</w:t>
            </w:r>
          </w:p>
        </w:tc>
        <w:tc>
          <w:tcPr>
            <w:tcW w:type="dxa" w:w="4082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ROS distro RMW implementation DDS version QoS profile Executor Callback Group Lifecycle intra process use sim time</w:t>
            </w:r>
          </w:p>
        </w:tc>
        <w:tc>
          <w:tcPr>
            <w:tcW w:type="dxa" w:w="238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阻塞或积压实验能把延迟归因到实际配置  不能只写 ROS 2</w:t>
            </w:r>
          </w:p>
        </w:tc>
      </w:tr>
      <w:tr>
        <w:trPr>
          <w:cantSplit w:val="true"/>
        </w:trPr>
        <w:tc>
          <w:tcPr>
            <w:tcW w:type="dxa" w:w="90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ADR 01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Phase 5B 与 Employment Gate</w:t>
            </w:r>
          </w:p>
        </w:tc>
        <w:tc>
          <w:tcPr>
            <w:tcW w:type="dxa" w:w="408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Why custom Runtime instead of ros2_control  对比 Controller Manager Resource Manager Hardware Component lifecycle read write control loop</w:t>
            </w:r>
          </w:p>
        </w:tc>
        <w:tc>
          <w:tcPr>
            <w:tcW w:type="dxa" w:w="238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说明自建部分的学习与研究价值  以及产品化时可复用或迁移的部分  参考 R7</w:t>
            </w:r>
          </w:p>
        </w:tc>
      </w:tr>
      <w:tr>
        <w:trPr>
          <w:cantSplit w:val="true"/>
        </w:trPr>
        <w:tc>
          <w:tcPr>
            <w:tcW w:type="dxa" w:w="907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RB 01</w:t>
            </w:r>
          </w:p>
        </w:tc>
        <w:tc>
          <w:tcPr>
            <w:tcW w:type="dxa" w:w="170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Research Bridge</w:t>
            </w:r>
          </w:p>
        </w:tc>
        <w:tc>
          <w:tcPr>
            <w:tcW w:type="dxa" w:w="4082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同步与异步 action chunk 的 queue depletion overlap stale observation action mismatch inter chunk 与 intra chunk consistency</w:t>
            </w:r>
          </w:p>
        </w:tc>
        <w:tc>
          <w:tcPr>
            <w:tcW w:type="dxa" w:w="238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至少一个 sync async 对照  不把 async 仅解释为更快  参考 R8 R9</w:t>
            </w:r>
          </w:p>
        </w:tc>
      </w:tr>
      <w:tr>
        <w:trPr>
          <w:cantSplit w:val="true"/>
        </w:trPr>
        <w:tc>
          <w:tcPr>
            <w:tcW w:type="dxa" w:w="90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V M1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每个 Phase 进入前</w:t>
            </w:r>
          </w:p>
        </w:tc>
        <w:tc>
          <w:tcPr>
            <w:tcW w:type="dxa" w:w="408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LeRobot OpenVINO ROS 2 Zephyr Intel Physical AI ISO 标准状态的 drift check</w:t>
            </w:r>
          </w:p>
        </w:tc>
        <w:tc>
          <w:tcPr>
            <w:tcW w:type="dxa" w:w="238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记录 checked version date breaking change relevance 与是否触发 ADR  固定版本不因有新版而自动升级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  <w:keepNext/>
        <w:keepNext/>
      </w:pPr>
      <w:r>
        <w:rPr>
          <w:rFonts w:ascii="Noto Sans CJK SC" w:hAnsi="Noto Sans CJK SC" w:eastAsia="Noto Sans CJK SC"/>
          <w:b/>
          <w:color w:val="000000"/>
          <w:sz w:val="34"/>
        </w:rPr>
        <w:t>六 Phase 合并计划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color w:val="000000"/>
        </w:rPr>
        <w:t>这些补丁吸收到原有 24 周路线，不新增平行主线。Phase 3 已按原 V2.9 完成，Phase 4 是下一阶段；按照既定闭环，先完成 Phase 3 Stage Review，再正式启动 Phase 4。O M1 对 Phase 3 采用非追溯过渡：能够从既有配置、日志和报告恢复的字段补录；无法可靠恢复的字段标记 legacy evidence gap，不要求重跑，不影响 Phase 3 已完成结论。O M1 与 V M1 从 Phase 4 起按正式 Gate 执行，其余补丁在对应 Phase 前准备、在对应 Gate 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1247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361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吸收补丁</w:t>
            </w:r>
          </w:p>
        </w:tc>
        <w:tc>
          <w:tcPr>
            <w:tcW w:type="dxa" w:w="3969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执行动作</w:t>
            </w:r>
          </w:p>
        </w:tc>
        <w:tc>
          <w:tcPr>
            <w:tcW w:type="dxa" w:w="2494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工期影响</w:t>
            </w:r>
          </w:p>
        </w:tc>
      </w:tr>
      <w:tr>
        <w:trPr>
          <w:cantSplit w:val="true"/>
        </w:trPr>
        <w:tc>
          <w:tcPr>
            <w:tcW w:type="dxa" w:w="124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Phase 3  已完成</w:t>
            </w:r>
          </w:p>
        </w:tc>
        <w:tc>
          <w:tcPr>
            <w:tcW w:type="dxa" w:w="136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O M1 过渡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仅从既有 255H 配置 日志和报告补录可恢复字段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不重跑 不撤销 PASS  无法恢复字段标记 legacy evidence gap</w:t>
            </w:r>
          </w:p>
        </w:tc>
      </w:tr>
      <w:tr>
        <w:trPr>
          <w:cantSplit w:val="true"/>
        </w:trPr>
        <w:tc>
          <w:tcPr>
            <w:tcW w:type="dxa" w:w="1247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Phase 4  下一阶段</w:t>
            </w:r>
          </w:p>
        </w:tc>
        <w:tc>
          <w:tcPr>
            <w:tcW w:type="dxa" w:w="136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O M1 V M1</w:t>
            </w:r>
          </w:p>
        </w:tc>
        <w:tc>
          <w:tcPr>
            <w:tcW w:type="dxa" w:w="3969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Phase 3 Stage Review 后启动  同一 Policy Package 在 DK 2500 完整使用 O M1 字段  进入前做版本漂移核对</w:t>
            </w:r>
          </w:p>
        </w:tc>
        <w:tc>
          <w:tcPr>
            <w:tcW w:type="dxa" w:w="249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并入 Real Edge Benchmark  作为正式通过条件</w:t>
            </w:r>
          </w:p>
        </w:tc>
      </w:tr>
      <w:tr>
        <w:trPr>
          <w:cantSplit w:val="true"/>
        </w:trPr>
        <w:tc>
          <w:tcPr>
            <w:tcW w:type="dxa" w:w="124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Phase 5A</w:t>
            </w:r>
          </w:p>
        </w:tc>
        <w:tc>
          <w:tcPr>
            <w:tcW w:type="dxa" w:w="136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T0 R M1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先冻结 timing schema 和 clock domain  再固化 ROS 2 时间戳链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并入消息与 rosbag2 设计</w:t>
            </w:r>
          </w:p>
        </w:tc>
      </w:tr>
      <w:tr>
        <w:trPr>
          <w:cantSplit w:val="true"/>
        </w:trPr>
        <w:tc>
          <w:tcPr>
            <w:tcW w:type="dxa" w:w="1247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Phase 5B</w:t>
            </w:r>
          </w:p>
        </w:tc>
        <w:tc>
          <w:tcPr>
            <w:tcW w:type="dxa" w:w="136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RT0 ADR 01</w:t>
            </w:r>
          </w:p>
        </w:tc>
        <w:tc>
          <w:tcPr>
            <w:tcW w:type="dxa" w:w="3969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默认与 RT tuned 对照  完成 custom Runtime 与 ros2_control ADR</w:t>
            </w:r>
          </w:p>
        </w:tc>
        <w:tc>
          <w:tcPr>
            <w:tcW w:type="dxa" w:w="249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并入 Real Time 与 Employment Foundation</w:t>
            </w:r>
          </w:p>
        </w:tc>
      </w:tr>
      <w:tr>
        <w:trPr>
          <w:cantSplit w:val="true"/>
        </w:trPr>
        <w:tc>
          <w:tcPr>
            <w:tcW w:type="dxa" w:w="124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Phase 6A</w:t>
            </w:r>
          </w:p>
        </w:tc>
        <w:tc>
          <w:tcPr>
            <w:tcW w:type="dxa" w:w="136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SC0 W0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建立 Safety Case Lite 首版  配置 task watchdog 与 hardware fallback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并入 Zephyr Safety</w:t>
            </w:r>
          </w:p>
        </w:tc>
      </w:tr>
      <w:tr>
        <w:trPr>
          <w:cantSplit w:val="true"/>
        </w:trPr>
        <w:tc>
          <w:tcPr>
            <w:tcW w:type="dxa" w:w="1247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Phase 6B</w:t>
            </w:r>
          </w:p>
        </w:tc>
        <w:tc>
          <w:tcPr>
            <w:tcW w:type="dxa" w:w="1361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SC0 W0</w:t>
            </w:r>
          </w:p>
        </w:tc>
        <w:tc>
          <w:tcPr>
            <w:tcW w:type="dxa" w:w="3969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故障注入补齐检测 停止 恢复与 MCU self failure 证据</w:t>
            </w:r>
          </w:p>
        </w:tc>
        <w:tc>
          <w:tcPr>
            <w:tcW w:type="dxa" w:w="249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并入 Fault Injection</w:t>
            </w:r>
          </w:p>
        </w:tc>
      </w:tr>
      <w:tr>
        <w:trPr>
          <w:cantSplit w:val="true"/>
        </w:trPr>
        <w:tc>
          <w:tcPr>
            <w:tcW w:type="dxa" w:w="124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Research Bridge</w:t>
            </w:r>
          </w:p>
        </w:tc>
        <w:tc>
          <w:tcPr>
            <w:tcW w:type="dxa" w:w="136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RB 01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保留可研究问题与数据字段  不在 Phase 5 前提前实现新方法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不改变 Core Gate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  <w:keepNext/>
        <w:keepNext/>
      </w:pPr>
      <w:r>
        <w:rPr>
          <w:rFonts w:ascii="Noto Sans CJK SC" w:hAnsi="Noto Sans CJK SC" w:eastAsia="Noto Sans CJK SC"/>
          <w:b/>
          <w:color w:val="000000"/>
          <w:sz w:val="34"/>
        </w:rPr>
        <w:t>七 建议并入 V2.9 的最小改动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color w:val="000000"/>
        </w:rPr>
        <w:t>本 Addendum 已通过审阅并作为 V2.9 的绑定伴随文件生效。V2.9 主文件继续保留为冻结历史基线；以下内容作为未来生成 V2.10 时的最小编辑清单，不在本次批准中重排原文。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2268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V2.9 位置</w:t>
            </w:r>
          </w:p>
        </w:tc>
        <w:tc>
          <w:tcPr>
            <w:tcW w:type="dxa" w:w="6803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建议修改</w:t>
            </w:r>
          </w:p>
        </w:tc>
      </w:tr>
      <w:tr>
        <w:trPr>
          <w:cantSplit w:val="true"/>
        </w:trP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7.3 与 7.4</w:t>
            </w:r>
          </w:p>
        </w:tc>
        <w:tc>
          <w:tcPr>
            <w:tcW w:type="dxa" w:w="680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clock domain 原则和 Gate T0  新增 RMW DDS QoS Executor Callback Group 实验身份</w:t>
            </w:r>
          </w:p>
        </w:tc>
      </w:tr>
      <w:tr>
        <w:trPr>
          <w:cantSplit w:val="true"/>
        </w:trPr>
        <w:tc>
          <w:tcPr>
            <w:tcW w:type="dxa" w:w="226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7.4 之后</w:t>
            </w:r>
          </w:p>
        </w:tc>
        <w:tc>
          <w:tcPr>
            <w:tcW w:type="dxa" w:w="6803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Gate RT0  保留普通 Linux 不等于 hard real time 的原有表述</w:t>
            </w:r>
          </w:p>
        </w:tc>
      </w:tr>
      <w:tr>
        <w:trPr>
          <w:cantSplit w:val="true"/>
        </w:trP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8.3 与 Gate O P E</w:t>
            </w:r>
          </w:p>
        </w:tc>
        <w:tc>
          <w:tcPr>
            <w:tcW w:type="dxa" w:w="680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加入 O M1 元数据字段  不改变 CPU iGPU NPU 顺序与 Core 通过规则</w:t>
            </w:r>
          </w:p>
        </w:tc>
      </w:tr>
      <w:tr>
        <w:trPr>
          <w:cantSplit w:val="true"/>
        </w:trPr>
        <w:tc>
          <w:tcPr>
            <w:tcW w:type="dxa" w:w="226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9.5 或 Employment Gate</w:t>
            </w:r>
          </w:p>
        </w:tc>
        <w:tc>
          <w:tcPr>
            <w:tcW w:type="dxa" w:w="6803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ADR 01  不要求 Core 改用 ros2_control</w:t>
            </w:r>
          </w:p>
        </w:tc>
      </w:tr>
      <w:tr>
        <w:trPr>
          <w:cantSplit w:val="true"/>
        </w:trP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10 与 13</w:t>
            </w:r>
          </w:p>
        </w:tc>
        <w:tc>
          <w:tcPr>
            <w:tcW w:type="dxa" w:w="680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Gate SC0 与 Gate W0  现有 Gate S 和 Gate F 保留</w:t>
            </w:r>
          </w:p>
        </w:tc>
      </w:tr>
      <w:tr>
        <w:trPr>
          <w:cantSplit w:val="true"/>
        </w:trPr>
        <w:tc>
          <w:tcPr>
            <w:tcW w:type="dxa" w:w="226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11.1 与附录 C</w:t>
            </w:r>
          </w:p>
        </w:tc>
        <w:tc>
          <w:tcPr>
            <w:tcW w:type="dxa" w:w="6803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每个 timestamp 增加 clock domain source measurement point synchronization status 与 contract version</w:t>
            </w:r>
          </w:p>
        </w:tc>
      </w:tr>
      <w:tr>
        <w:trPr>
          <w:cantSplit w:val="true"/>
        </w:trP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Research Bridge</w:t>
            </w:r>
          </w:p>
        </w:tc>
        <w:tc>
          <w:tcPr>
            <w:tcW w:type="dxa" w:w="680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加入 async action chunk semantics 与 stale observation action mismatch  不提前启动论文方法</w:t>
            </w:r>
          </w:p>
        </w:tc>
      </w:tr>
      <w:tr>
        <w:trPr>
          <w:cantSplit w:val="true"/>
        </w:trPr>
        <w:tc>
          <w:tcPr>
            <w:tcW w:type="dxa" w:w="2268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附录 A</w:t>
            </w:r>
          </w:p>
        </w:tc>
        <w:tc>
          <w:tcPr>
            <w:tcW w:type="dxa" w:w="6803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新增 T0 RT0 SC0 W0  保留 S0 Storage Gate 的原编号</w:t>
            </w:r>
          </w:p>
        </w:tc>
      </w:tr>
      <w:tr>
        <w:trPr>
          <w:cantSplit w:val="true"/>
        </w:trP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附录 D</w:t>
            </w:r>
          </w:p>
        </w:tc>
        <w:tc>
          <w:tcPr>
            <w:tcW w:type="dxa" w:w="680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增加本 Addendum 的 R1 至 R11 官方来源  并记录访问日期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  <w:keepNext/>
        <w:keepNext/>
      </w:pPr>
      <w:r>
        <w:rPr>
          <w:rFonts w:ascii="Noto Sans CJK SC" w:hAnsi="Noto Sans CJK SC" w:eastAsia="Noto Sans CJK SC"/>
          <w:b/>
          <w:color w:val="000000"/>
          <w:sz w:val="34"/>
        </w:rPr>
        <w:t>八 版本与安全声明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LeRobot v0.6.0 继续作为项目冻结基线。官方已有 v0.6.1 且包含 breaking change，这支持 pin 版本并做 drift audit，不构成立即升级理由。参考 R10。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OpenVINO NPU dynamic shape 在 2026 文档中仍属于 preview，且只支持 bounded dynamic shapes 与受限模型范围。V2.9 以 available_devices 和 compile_model 作为真实 Gate 的做法保留。参考 R11。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ISO 12100 2010 在官方页面仍被列为 current，但页面同时提示后续版本正在推进。SC0 使用其风险评估与风险降低方法作为当前参考，并通过 V M1 继续监测版本变化。参考 R6。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000000"/>
        </w:rPr>
        <w:t>Zephyr Safety Committee 的目标是有限 source scope 的 IEC 61508 SIL 3 与 SC 3。项目不能把使用 Zephyr 转换为自身的 SIL claim。参考 R5。</w:t>
      </w:r>
    </w:p>
    <w:p>
      <w:pPr>
        <w:pStyle w:val="Heading1"/>
        <w:spacing w:before="240" w:after="120"/>
        <w:keepNext/>
        <w:keepNext/>
      </w:pPr>
      <w:r>
        <w:rPr>
          <w:rFonts w:ascii="Noto Sans CJK SC" w:hAnsi="Noto Sans CJK SC" w:eastAsia="Noto Sans CJK SC"/>
          <w:b/>
          <w:color w:val="000000"/>
          <w:sz w:val="34"/>
        </w:rPr>
        <w:t>九 批准与生效记录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color w:val="000000"/>
        </w:rPr>
        <w:t>项目负责人于 2026-09-23 完成审阅并全部批准，形成以下正式决定</w:t>
      </w:r>
    </w:p>
    <w:p>
      <w:pPr>
        <w:spacing w:after="40" w:line="276" w:lineRule="auto"/>
        <w:ind w:left="425" w:hanging="425"/>
      </w:pPr>
      <w:r>
        <w:rPr>
          <w:rFonts w:ascii="Noto Sans CJK SC" w:hAnsi="Noto Sans CJK SC" w:eastAsia="Noto Sans CJK SC"/>
          <w:color w:val="000000"/>
        </w:rPr>
        <w:t xml:space="preserve">1.  </w:t>
      </w:r>
      <w:r>
        <w:rPr>
          <w:rFonts w:ascii="Noto Sans CJK SC" w:hAnsi="Noto Sans CJK SC" w:eastAsia="Noto Sans CJK SC"/>
          <w:color w:val="000000"/>
        </w:rPr>
        <w:t>接受审计总状态 PASS WITH PATCHES。V2.9 技术主线与 Phase 顺序保持有效。</w:t>
      </w:r>
    </w:p>
    <w:p>
      <w:pPr>
        <w:spacing w:after="40" w:line="276" w:lineRule="auto"/>
        <w:ind w:left="425" w:hanging="425"/>
      </w:pPr>
      <w:r>
        <w:rPr>
          <w:rFonts w:ascii="Noto Sans CJK SC" w:hAnsi="Noto Sans CJK SC" w:eastAsia="Noto Sans CJK SC"/>
          <w:color w:val="000000"/>
        </w:rPr>
        <w:t xml:space="preserve">2.  </w:t>
      </w:r>
      <w:r>
        <w:rPr>
          <w:rFonts w:ascii="Noto Sans CJK SC" w:hAnsi="Noto Sans CJK SC" w:eastAsia="Noto Sans CJK SC"/>
          <w:color w:val="000000"/>
        </w:rPr>
        <w:t>批准 Gate T0、RT0、SC0、W0 的命名、落点和最低证据。</w:t>
      </w:r>
    </w:p>
    <w:p>
      <w:pPr>
        <w:spacing w:after="40" w:line="276" w:lineRule="auto"/>
        <w:ind w:left="425" w:hanging="425"/>
      </w:pPr>
      <w:r>
        <w:rPr>
          <w:rFonts w:ascii="Noto Sans CJK SC" w:hAnsi="Noto Sans CJK SC" w:eastAsia="Noto Sans CJK SC"/>
          <w:color w:val="000000"/>
        </w:rPr>
        <w:t xml:space="preserve">3.  </w:t>
      </w:r>
      <w:r>
        <w:rPr>
          <w:rFonts w:ascii="Noto Sans CJK SC" w:hAnsi="Noto Sans CJK SC" w:eastAsia="Noto Sans CJK SC"/>
          <w:color w:val="000000"/>
        </w:rPr>
        <w:t>批准 O M1、R M1、ADR 01、RB 01 四项补丁和 V M1 Version Drift Watch。</w:t>
      </w:r>
    </w:p>
    <w:p>
      <w:pPr>
        <w:spacing w:after="40" w:line="276" w:lineRule="auto"/>
        <w:ind w:left="425" w:hanging="425"/>
      </w:pPr>
      <w:r>
        <w:rPr>
          <w:rFonts w:ascii="Noto Sans CJK SC" w:hAnsi="Noto Sans CJK SC" w:eastAsia="Noto Sans CJK SC"/>
          <w:color w:val="000000"/>
        </w:rPr>
        <w:t xml:space="preserve">4.  </w:t>
      </w:r>
      <w:r>
        <w:rPr>
          <w:rFonts w:ascii="Noto Sans CJK SC" w:hAnsi="Noto Sans CJK SC" w:eastAsia="Noto Sans CJK SC"/>
          <w:color w:val="000000"/>
        </w:rPr>
        <w:t>采用合并方案 A：本 Addendum 作为 V2.9 的绑定伴随文件；待后续补丁表述和执行证据稳定后，再生成吸收补丁的 V2.10。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000000"/>
        </w:rPr>
        <w:t xml:space="preserve">执行状态  </w:t>
      </w:r>
      <w:r>
        <w:rPr>
          <w:rFonts w:ascii="Noto Sans CJK SC" w:hAnsi="Noto Sans CJK SC" w:eastAsia="Noto Sans CJK SC"/>
          <w:color w:val="000000"/>
        </w:rPr>
        <w:t>Phase 3 已按原 V2.9 完成，其完成结论不因本 Addendum 的后续批准而被追溯改写。Phase 4｜DK-2500 225U Real Edge 为下一阶段，须先完成 Phase 3 Stage Review 再正式启动。进入 Phase 4 时执行 V M1，并对 DK-2500 实验完整执行 O M1；Phase 3 只做可恢复字段的轻量补录。</w:t>
      </w:r>
    </w:p>
    <w:p>
      <w:pPr>
        <w:pStyle w:val="Heading1"/>
        <w:spacing w:before="240" w:after="120"/>
        <w:keepNext/>
        <w:keepNext/>
      </w:pPr>
      <w:r>
        <w:rPr>
          <w:rFonts w:ascii="Noto Sans CJK SC" w:hAnsi="Noto Sans CJK SC" w:eastAsia="Noto Sans CJK SC"/>
          <w:b/>
          <w:color w:val="000000"/>
          <w:sz w:val="34"/>
        </w:rPr>
        <w:t>附录 A 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794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3175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资料</w:t>
            </w:r>
          </w:p>
        </w:tc>
        <w:tc>
          <w:tcPr>
            <w:tcW w:type="dxa" w:w="5102"/>
            <w:shd w:fill="173A5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链接</w:t>
            </w:r>
          </w:p>
        </w:tc>
      </w:tr>
      <w:tr>
        <w:trPr>
          <w:cantSplit w:val="true"/>
        </w:trPr>
        <w:tc>
          <w:tcPr>
            <w:tcW w:type="dxa" w:w="7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R1</w:t>
            </w:r>
          </w:p>
        </w:tc>
        <w:tc>
          <w:tcPr>
            <w:tcW w:type="dxa" w:w="317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ROS 2 Clock and Time</w:t>
            </w:r>
          </w:p>
        </w:tc>
        <w:tc>
          <w:tcPr>
            <w:tcW w:type="dxa" w:w="51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https://design.ros2.org/articles/clock_and_time.html</w:t>
            </w:r>
          </w:p>
        </w:tc>
      </w:tr>
      <w:tr>
        <w:trPr>
          <w:cantSplit w:val="true"/>
        </w:trPr>
        <w:tc>
          <w:tcPr>
            <w:tcW w:type="dxa" w:w="79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R2</w:t>
            </w:r>
          </w:p>
        </w:tc>
        <w:tc>
          <w:tcPr>
            <w:tcW w:type="dxa" w:w="3175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ros2_control Controller Manager Determinism</w:t>
            </w:r>
          </w:p>
        </w:tc>
        <w:tc>
          <w:tcPr>
            <w:tcW w:type="dxa" w:w="5102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https://control.ros.org/master/doc/ros2_control/controller_manager/doc/userdoc.html</w:t>
            </w:r>
          </w:p>
        </w:tc>
      </w:tr>
      <w:tr>
        <w:trPr>
          <w:cantSplit w:val="true"/>
        </w:trPr>
        <w:tc>
          <w:tcPr>
            <w:tcW w:type="dxa" w:w="7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R3</w:t>
            </w:r>
          </w:p>
        </w:tc>
        <w:tc>
          <w:tcPr>
            <w:tcW w:type="dxa" w:w="317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OpenVINO 2026 Performance Hints and Thread Scheduling</w:t>
            </w:r>
          </w:p>
        </w:tc>
        <w:tc>
          <w:tcPr>
            <w:tcW w:type="dxa" w:w="51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https://docs.openvino.ai/2026/openvino-workflow/running-inference/inference-devices-and-modes/cpu-device/performance-hint-and-thread-scheduling.html</w:t>
            </w:r>
          </w:p>
        </w:tc>
      </w:tr>
      <w:tr>
        <w:trPr>
          <w:cantSplit w:val="true"/>
        </w:trPr>
        <w:tc>
          <w:tcPr>
            <w:tcW w:type="dxa" w:w="79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R4</w:t>
            </w:r>
          </w:p>
        </w:tc>
        <w:tc>
          <w:tcPr>
            <w:tcW w:type="dxa" w:w="3175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Zephyr Task Watchdog</w:t>
            </w:r>
          </w:p>
        </w:tc>
        <w:tc>
          <w:tcPr>
            <w:tcW w:type="dxa" w:w="5102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https://docs.zephyrproject.org/latest/services/task_wdt/index.html</w:t>
            </w:r>
          </w:p>
        </w:tc>
      </w:tr>
      <w:tr>
        <w:trPr>
          <w:cantSplit w:val="true"/>
        </w:trPr>
        <w:tc>
          <w:tcPr>
            <w:tcW w:type="dxa" w:w="7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R5</w:t>
            </w:r>
          </w:p>
        </w:tc>
        <w:tc>
          <w:tcPr>
            <w:tcW w:type="dxa" w:w="317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Zephyr Safety Overview</w:t>
            </w:r>
          </w:p>
        </w:tc>
        <w:tc>
          <w:tcPr>
            <w:tcW w:type="dxa" w:w="51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https://docs.zephyrproject.org/latest/safety/safety_overview.html</w:t>
            </w:r>
          </w:p>
        </w:tc>
      </w:tr>
      <w:tr>
        <w:trPr>
          <w:cantSplit w:val="true"/>
        </w:trPr>
        <w:tc>
          <w:tcPr>
            <w:tcW w:type="dxa" w:w="79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R6</w:t>
            </w:r>
          </w:p>
        </w:tc>
        <w:tc>
          <w:tcPr>
            <w:tcW w:type="dxa" w:w="3175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ISO 12100 2010 Risk Assessment and Risk Reduction</w:t>
            </w:r>
          </w:p>
        </w:tc>
        <w:tc>
          <w:tcPr>
            <w:tcW w:type="dxa" w:w="5102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https://www.iso.org/standard/51528.html</w:t>
            </w:r>
          </w:p>
        </w:tc>
      </w:tr>
      <w:tr>
        <w:trPr>
          <w:cantSplit w:val="true"/>
        </w:trPr>
        <w:tc>
          <w:tcPr>
            <w:tcW w:type="dxa" w:w="7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R7</w:t>
            </w:r>
          </w:p>
        </w:tc>
        <w:tc>
          <w:tcPr>
            <w:tcW w:type="dxa" w:w="317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ros2_control Jazzy Getting Started and Architecture</w:t>
            </w:r>
          </w:p>
        </w:tc>
        <w:tc>
          <w:tcPr>
            <w:tcW w:type="dxa" w:w="51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https://control.ros.org/jazzy/doc/getting_started/getting_started.html</w:t>
            </w:r>
          </w:p>
        </w:tc>
      </w:tr>
      <w:tr>
        <w:trPr>
          <w:cantSplit w:val="true"/>
        </w:trPr>
        <w:tc>
          <w:tcPr>
            <w:tcW w:type="dxa" w:w="79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R8</w:t>
            </w:r>
          </w:p>
        </w:tc>
        <w:tc>
          <w:tcPr>
            <w:tcW w:type="dxa" w:w="3175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LeRobot Asynchronous Inference</w:t>
            </w:r>
          </w:p>
        </w:tc>
        <w:tc>
          <w:tcPr>
            <w:tcW w:type="dxa" w:w="5102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https://huggingface.co/docs/lerobot/async</w:t>
            </w:r>
          </w:p>
        </w:tc>
      </w:tr>
      <w:tr>
        <w:trPr>
          <w:cantSplit w:val="true"/>
        </w:trPr>
        <w:tc>
          <w:tcPr>
            <w:tcW w:type="dxa" w:w="7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R9</w:t>
            </w:r>
          </w:p>
        </w:tc>
        <w:tc>
          <w:tcPr>
            <w:tcW w:type="dxa" w:w="317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ICLR 2026 Real Time Robot Execution with Masked Action Chunking</w:t>
            </w:r>
          </w:p>
        </w:tc>
        <w:tc>
          <w:tcPr>
            <w:tcW w:type="dxa" w:w="51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https://proceedings.iclr.cc/paper_files/paper/2026/hash/c35834443b7881e782e52b3519fe27c7-Abstract-Conference.html</w:t>
            </w:r>
          </w:p>
        </w:tc>
      </w:tr>
      <w:tr>
        <w:trPr>
          <w:cantSplit w:val="true"/>
        </w:trPr>
        <w:tc>
          <w:tcPr>
            <w:tcW w:type="dxa" w:w="794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R10</w:t>
            </w:r>
          </w:p>
        </w:tc>
        <w:tc>
          <w:tcPr>
            <w:tcW w:type="dxa" w:w="3175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LeRobot Releases</w:t>
            </w:r>
          </w:p>
        </w:tc>
        <w:tc>
          <w:tcPr>
            <w:tcW w:type="dxa" w:w="5102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https://github.com/huggingface/lerobot/releases</w:t>
            </w:r>
          </w:p>
        </w:tc>
      </w:tr>
      <w:tr>
        <w:trPr>
          <w:cantSplit w:val="true"/>
        </w:trPr>
        <w:tc>
          <w:tcPr>
            <w:tcW w:type="dxa" w:w="7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R11</w:t>
            </w:r>
          </w:p>
        </w:tc>
        <w:tc>
          <w:tcPr>
            <w:tcW w:type="dxa" w:w="317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OpenVINO 2026 NPU Device</w:t>
            </w:r>
          </w:p>
        </w:tc>
        <w:tc>
          <w:tcPr>
            <w:tcW w:type="dxa" w:w="51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4"/>
              </w:rPr>
              <w:t>https://docs.openvino.ai/2026/openvino-workflow/running-inference/inference-devices-and-modes/npu-device.html</w:t>
            </w:r>
          </w:p>
        </w:tc>
      </w:tr>
    </w:tbl>
    <w:p>
      <w:pPr>
        <w:spacing w:after="20"/>
      </w:pPr>
    </w:p>
    <w:p>
      <w:pPr>
        <w:spacing w:before="0" w:after="0" w:line="288" w:lineRule="auto"/>
      </w:pPr>
      <w:r>
        <w:rPr>
          <w:rFonts w:ascii="Noto Sans CJK SC" w:hAnsi="Noto Sans CJK SC" w:eastAsia="Noto Sans CJK SC"/>
          <w:color w:val="000000"/>
        </w:rPr>
        <w:t>以上外部资料访问日期均为 2026-09-18。V2.9 原文是本审计的内部冻结基线。</w:t>
      </w:r>
    </w:p>
    <w:sectPr w:rsidR="00FC693F" w:rsidRPr="0006063C" w:rsidSect="00034616"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L1V2.9 Deep Research Architecture Audit Addendum 01</dc:title>
  <dc:subject>SO-101 Physical AI Runtime architecture audit and gate patches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