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L1 V2.9 跨平台架构与验证补充文件 02</w:t>
      </w:r>
    </w:p>
    <w:p>
      <w:pPr>
        <w:pStyle w:val="SmallNote"/>
      </w:pPr>
      <w:r>
        <w:t>Portability Addendum 02｜正式版</w:t>
      </w:r>
    </w:p>
    <w:tbl>
      <w:tblPr>
        <w:tblW w:type="auto" w:w="0"/>
        <w:jc w:val="center"/>
        <w:tblLayout w:type="fixed"/>
        <w:tblLook w:firstColumn="1" w:firstRow="1" w:lastColumn="0" w:lastRow="0" w:noHBand="0" w:noVBand="1" w:val="04A0"/>
      </w:tblPr>
      <w:tblGrid>
        <w:gridCol w:w="2045"/>
        <w:gridCol w:w="7805"/>
      </w:tblGrid>
      <w:tr>
        <w:trPr>
          <w:tblHeader/>
        </w:trPr>
        <w:tc>
          <w:tcPr>
            <w:tcW w:type="dxa" w:w="2045"/>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项目</w:t>
            </w:r>
          </w:p>
        </w:tc>
        <w:tc>
          <w:tcPr>
            <w:tcW w:type="dxa" w:w="7805"/>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正式记录</w:t>
            </w:r>
          </w:p>
        </w:tc>
      </w:tr>
      <w:tr>
        <w:tc>
          <w:tcPr>
            <w:tcW w:type="dxa" w:w="2045"/>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基线</w:t>
            </w:r>
          </w:p>
        </w:tc>
        <w:tc>
          <w:tcPr>
            <w:tcW w:type="dxa" w:w="7805"/>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SO-101 Physical AI Runtime L1 最终执行书 V2.9</w:t>
            </w:r>
          </w:p>
        </w:tc>
      </w:tr>
      <w:tr>
        <w:tc>
          <w:tcPr>
            <w:tcW w:type="dxa" w:w="2045"/>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文件关系</w:t>
            </w:r>
          </w:p>
        </w:tc>
        <w:tc>
          <w:tcPr>
            <w:tcW w:type="dxa" w:w="7805"/>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V2.9 的绑定伴随文件；与已批准的 Addendum 01 并行生效</w:t>
            </w:r>
          </w:p>
        </w:tc>
      </w:tr>
      <w:tr>
        <w:tc>
          <w:tcPr>
            <w:tcW w:type="dxa" w:w="2045"/>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批准与生效</w:t>
            </w:r>
          </w:p>
        </w:tc>
        <w:tc>
          <w:tcPr>
            <w:tcW w:type="dxa" w:w="7805"/>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2026 年 9 月 23 日；项目负责人已批准本补充文件的原草案</w:t>
            </w:r>
          </w:p>
        </w:tc>
      </w:tr>
      <w:tr>
        <w:tc>
          <w:tcPr>
            <w:tcW w:type="dxa" w:w="2045"/>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当前状态</w:t>
            </w:r>
          </w:p>
        </w:tc>
        <w:tc>
          <w:tcPr>
            <w:tcW w:type="dxa" w:w="7805"/>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Phase 3 已按原 V2.9 完成；其既有 PASS 不追溯改判</w:t>
            </w:r>
          </w:p>
        </w:tc>
      </w:tr>
      <w:tr>
        <w:tc>
          <w:tcPr>
            <w:tcW w:type="dxa" w:w="2045"/>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核心决定</w:t>
            </w:r>
          </w:p>
        </w:tc>
        <w:tc>
          <w:tcPr>
            <w:tcW w:type="dxa" w:w="7805"/>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先证明架构具备迁移准备；E1 再用第二平台证明真实迁移</w:t>
            </w:r>
          </w:p>
        </w:tc>
      </w:tr>
    </w:tbl>
    <w:p>
      <w:pPr>
        <w:spacing w:after="0"/>
      </w:pPr>
    </w:p>
    <w:p>
      <w:r>
        <w:t>本文件把跨平台意图转成资产边界、统一接口和可核查证据。Intel/OpenVINO 仍是首个 Reference Edge；Phase 0 至 Phase 8 的顺序与现有技术 Gate 保留。Phase 3 的新增要求从本文件生效后用于证据盘点或后续复现，无法从既有日志可靠恢复的证据标记为历史缺口，不要求重跑或撤销已完成结论。</w:t>
      </w:r>
    </w:p>
    <w:p>
      <w:pPr>
        <w:pStyle w:val="Heading1"/>
      </w:pPr>
      <w:r>
        <w:t>一 文件定位与四项规则</w:t>
      </w:r>
    </w:p>
    <w:tbl>
      <w:tblPr>
        <w:tblW w:type="auto" w:w="0"/>
        <w:jc w:val="center"/>
        <w:tblLayout w:type="fixed"/>
        <w:tblLook w:firstColumn="1" w:firstRow="1" w:lastColumn="0" w:lastRow="0" w:noHBand="0" w:noVBand="1" w:val="04A0"/>
      </w:tblPr>
      <w:tblGrid>
        <w:gridCol w:w="2131"/>
        <w:gridCol w:w="7718"/>
      </w:tblGrid>
      <w:tr>
        <w:trPr>
          <w:tblHeader/>
        </w:trPr>
        <w:tc>
          <w:tcPr>
            <w:tcW w:type="dxa" w:w="2131"/>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规则</w:t>
            </w:r>
          </w:p>
        </w:tc>
        <w:tc>
          <w:tcPr>
            <w:tcW w:type="dxa" w:w="771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正式要求</w:t>
            </w:r>
          </w:p>
        </w:tc>
      </w:tr>
      <w:tr>
        <w:tc>
          <w:tcPr>
            <w:tcW w:type="dxa" w:w="2131"/>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A1 可迁移源资产</w:t>
            </w:r>
          </w:p>
        </w:tc>
        <w:tc>
          <w:tcPr>
            <w:tcW w:type="dxa" w:w="771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模型源资产与特定平台部署产物分离；源资产是模型身份的唯一真相源。</w:t>
            </w:r>
          </w:p>
        </w:tc>
      </w:tr>
      <w:tr>
        <w:tc>
          <w:tcPr>
            <w:tcW w:type="dxa" w:w="2131"/>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A2 推理能力契约</w:t>
            </w:r>
          </w:p>
        </w:tc>
        <w:tc>
          <w:tcPr>
            <w:tcW w:type="dxa" w:w="771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InferenceBackend 使用统一接口，且显式报告设备、精度、形状等能力和限制。</w:t>
            </w:r>
          </w:p>
        </w:tc>
      </w:tr>
      <w:tr>
        <w:tc>
          <w:tcPr>
            <w:tcW w:type="dxa" w:w="2131"/>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A3 可迁移性准备验收</w:t>
            </w:r>
          </w:p>
        </w:tc>
        <w:tc>
          <w:tcPr>
            <w:tcW w:type="dxa" w:w="771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Phase 5B 检查上层 Runtime、机器人适配层和安全语义边界；通过不等于已跨平台部署。</w:t>
            </w:r>
          </w:p>
        </w:tc>
      </w:tr>
      <w:tr>
        <w:tc>
          <w:tcPr>
            <w:tcW w:type="dxa" w:w="2131"/>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A4 跨厂商验证</w:t>
            </w:r>
          </w:p>
        </w:tc>
        <w:tc>
          <w:tcPr>
            <w:tcW w:type="dxa" w:w="771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E1 以同一 Policy Contract 和 Runtime 迁移至少一个第二 Backend，统一评估正确性、性能与失败行为。</w:t>
            </w:r>
          </w:p>
        </w:tc>
      </w:tr>
    </w:tbl>
    <w:p>
      <w:pPr>
        <w:spacing w:after="0"/>
      </w:pPr>
    </w:p>
    <w:p>
      <w:r>
        <w:t>适用原则：平台差异应被限制在 Backend 或设备 Adapter 边界内，并由测试证明该边界有效。本文约束未来实现及验收，但不引入新的主 Phase，也不要求在 Core 阶段完成 TensorRT 或 QNN。</w:t>
      </w:r>
    </w:p>
    <w:p>
      <w:pPr>
        <w:pStyle w:val="Heading1"/>
      </w:pPr>
      <w:r>
        <w:t>二 Policy Package 的资产分层</w:t>
      </w:r>
    </w:p>
    <w:p>
      <w:r>
        <w:t>Policy Package 分为可迁移源资产、可选的交换图、目标平台产物。三层可以一起交付，却不可混为同一个模型身份。</w:t>
      </w:r>
    </w:p>
    <w:tbl>
      <w:tblPr>
        <w:tblW w:type="auto" w:w="0"/>
        <w:jc w:val="center"/>
        <w:tblLayout w:type="fixed"/>
        <w:tblLook w:firstColumn="1" w:firstRow="1" w:lastColumn="0" w:lastRow="0" w:noHBand="0" w:noVBand="1" w:val="04A0"/>
      </w:tblPr>
      <w:tblGrid>
        <w:gridCol w:w="1469"/>
        <w:gridCol w:w="3830"/>
        <w:gridCol w:w="4550"/>
      </w:tblGrid>
      <w:tr>
        <w:trPr>
          <w:tblHeader/>
        </w:trPr>
        <w:tc>
          <w:tcPr>
            <w:tcW w:type="dxa" w:w="1469"/>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层</w:t>
            </w:r>
          </w:p>
        </w:tc>
        <w:tc>
          <w:tcPr>
            <w:tcW w:type="dxa" w:w="383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内容</w:t>
            </w:r>
          </w:p>
        </w:tc>
        <w:tc>
          <w:tcPr>
            <w:tcW w:type="dxa" w:w="455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身份与要求</w:t>
            </w:r>
          </w:p>
        </w:tc>
      </w:tr>
      <w:tr>
        <w:tc>
          <w:tcPr>
            <w:tcW w:type="dxa" w:w="1469"/>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A 可迁移源资产</w:t>
            </w:r>
          </w:p>
        </w:tc>
        <w:tc>
          <w:tcPr>
            <w:tcW w:type="dxa" w:w="383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checkpoint、模型与预处理配置、Observation/Action Schema、归一化参数、测试向量、参考输出</w:t>
            </w:r>
          </w:p>
        </w:tc>
        <w:tc>
          <w:tcPr>
            <w:tcW w:type="dxa" w:w="455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Source of Truth；保留版本、输入输出语义和可复现转换说明。</w:t>
            </w:r>
          </w:p>
        </w:tc>
      </w:tr>
      <w:tr>
        <w:tc>
          <w:tcPr>
            <w:tcW w:type="dxa" w:w="1469"/>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B 交换产物</w:t>
            </w:r>
          </w:p>
        </w:tc>
        <w:tc>
          <w:tcPr>
            <w:tcW w:type="dxa" w:w="383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ONNX 或其他中间图；仅在当前模型兼容时存在</w:t>
            </w:r>
          </w:p>
        </w:tc>
        <w:tc>
          <w:tcPr>
            <w:tcW w:type="dxa" w:w="455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可选桥梁；不把 ONNX 作为所有模型的强制路径。</w:t>
            </w:r>
          </w:p>
        </w:tc>
      </w:tr>
      <w:tr>
        <w:tc>
          <w:tcPr>
            <w:tcW w:type="dxa" w:w="1469"/>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C 目标平台产物</w:t>
            </w:r>
          </w:p>
        </w:tc>
        <w:tc>
          <w:tcPr>
            <w:tcW w:type="dxa" w:w="383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OpenVINO IR/缓存、TensorRT engine、QNN context binary 等</w:t>
            </w:r>
          </w:p>
        </w:tc>
        <w:tc>
          <w:tcPr>
            <w:tcW w:type="dxa" w:w="455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由 A（必要时经 B）导出或编译；记录目标设备和构建配置，可重新生成。</w:t>
            </w:r>
          </w:p>
        </w:tc>
      </w:tr>
    </w:tbl>
    <w:p>
      <w:pPr>
        <w:spacing w:after="0"/>
      </w:pPr>
    </w:p>
    <w:p>
      <w:pPr>
        <w:spacing w:after="140"/>
      </w:pPr>
      <w:r>
        <w:rPr>
          <w:b/>
        </w:rPr>
        <w:t xml:space="preserve">冻结判断　</w:t>
      </w:r>
      <w:r>
        <w:t>Policy 不等于 OpenVINO IR；IR 是面向 OpenVINO 的目标产物。IR、engine、context 的可重建性以保存足够的源资产、工具链版本和转换记录为前提。</w:t>
      </w:r>
    </w:p>
    <w:p>
      <w:pPr>
        <w:pStyle w:val="Heading1"/>
      </w:pPr>
      <w:r>
        <w:t>三 Phase 3 的正确性证据</w:t>
      </w:r>
    </w:p>
    <w:p>
      <w:r>
        <w:t>已完成的 ACT → OpenVINO 流程在后续整理时应留下同一组参考输入与两条可比较的输出：PyTorch 原实现的输出、OpenVINO 实现的输出，以及按既有任务语义选取的误差与行为说明。</w:t>
      </w:r>
    </w:p>
    <w:p>
      <w:pPr>
        <w:pStyle w:val="SmallNote"/>
        <w:ind w:left="288"/>
      </w:pPr>
      <w:r>
        <w:rPr>
          <w:rFonts w:ascii="Consolas" w:hAnsi="Consolas"/>
          <w:sz w:val="16"/>
        </w:rPr>
        <w:t>源资产与固定测试向量 → PyTorch 参考输出 ↔ OpenVINO 输出 → 数值差异 / 行为记录</w:t>
      </w:r>
    </w:p>
    <w:p>
      <w:r>
        <w:t>证据至少说明 checkpoint 与配置版本、相机和关节字段的顺序与单位、预处理和归一化、输入形状与数据类型、目标设备和推理精度、比较方法及容差。数值差异在合理范围内，只支持给定测试输入上的实现一致性；真机任务语义还应结合既有 rollout 或后续执行证据解释。</w:t>
      </w:r>
    </w:p>
    <w:p>
      <w:r>
        <w:t>Phase 3 已按原 V2.9 PASS。本条对历史实验仅做可恢复字段的归档检查；无法恢复的字段记为历史证据缺口，并从下一次转换或回归时补齐。</w:t>
      </w:r>
    </w:p>
    <w:p>
      <w:pPr>
        <w:pStyle w:val="Heading1"/>
      </w:pPr>
      <w:r>
        <w:t>四 InferenceBackend 的接口与能力</w:t>
      </w:r>
    </w:p>
    <w:p>
      <w:r>
        <w:t>InferenceBackend 是 Runtime 调用模型推理的边界。上层发出统一输入并接收 PolicyOutput；OpenVINO、TensorRT 和 QNN 等设备 API 留在各自 Backend 内。</w:t>
      </w:r>
    </w:p>
    <w:tbl>
      <w:tblPr>
        <w:tblW w:type="auto" w:w="0"/>
        <w:jc w:val="center"/>
        <w:tblLayout w:type="fixed"/>
        <w:tblLook w:firstColumn="1" w:firstRow="1" w:lastColumn="0" w:lastRow="0" w:noHBand="0" w:noVBand="1" w:val="04A0"/>
      </w:tblPr>
      <w:tblGrid>
        <w:gridCol w:w="2952"/>
        <w:gridCol w:w="6898"/>
      </w:tblGrid>
      <w:tr>
        <w:trPr>
          <w:tblHeader/>
        </w:trPr>
        <w:tc>
          <w:tcPr>
            <w:tcW w:type="dxa" w:w="2952"/>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接口项</w:t>
            </w:r>
          </w:p>
        </w:tc>
        <w:tc>
          <w:tcPr>
            <w:tcW w:type="dxa" w:w="689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约定</w:t>
            </w:r>
          </w:p>
        </w:tc>
      </w:tr>
      <w:tr>
        <w:tc>
          <w:tcPr>
            <w:tcW w:type="dxa" w:w="2952"/>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prepare(policy_package)</w:t>
            </w:r>
          </w:p>
        </w:tc>
        <w:tc>
          <w:tcPr>
            <w:tcW w:type="dxa" w:w="689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核对资产、配置和目标设备，准备推理资源。</w:t>
            </w:r>
          </w:p>
        </w:tc>
      </w:tr>
      <w:tr>
        <w:tc>
          <w:tcPr>
            <w:tcW w:type="dxa" w:w="2952"/>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infer(observation)</w:t>
            </w:r>
          </w:p>
        </w:tc>
        <w:tc>
          <w:tcPr>
            <w:tcW w:type="dxa" w:w="689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按统一语义返回 PolicyOutput，或返回可解释的错误。</w:t>
            </w:r>
          </w:p>
        </w:tc>
      </w:tr>
      <w:tr>
        <w:tc>
          <w:tcPr>
            <w:tcW w:type="dxa" w:w="2952"/>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health() 与 shutdown()</w:t>
            </w:r>
          </w:p>
        </w:tc>
        <w:tc>
          <w:tcPr>
            <w:tcW w:type="dxa" w:w="689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报告运行状态并释放资源。</w:t>
            </w:r>
          </w:p>
        </w:tc>
      </w:tr>
      <w:tr>
        <w:tc>
          <w:tcPr>
            <w:tcW w:type="dxa" w:w="2952"/>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capabilities()</w:t>
            </w:r>
          </w:p>
        </w:tc>
        <w:tc>
          <w:tcPr>
            <w:tcW w:type="dxa" w:w="689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报告所支持的设备、精度、输入布局、形状、异步、批量、量化、内存模式和预热要求。</w:t>
            </w:r>
          </w:p>
        </w:tc>
      </w:tr>
    </w:tbl>
    <w:p>
      <w:pPr>
        <w:spacing w:after="0"/>
      </w:pPr>
    </w:p>
    <w:p>
      <w:pPr>
        <w:spacing w:after="140"/>
      </w:pPr>
      <w:r>
        <w:rPr>
          <w:b/>
        </w:rPr>
        <w:t xml:space="preserve">禁止泄漏　</w:t>
      </w:r>
      <w:r>
        <w:t>上层 Runtime 的公开接口不得暴露 ov::InferRequest、CUDA Stream、TensorRT IExecutionContext、QNN Context 等私有类型。</w:t>
      </w:r>
    </w:p>
    <w:p>
      <w:r>
        <w:t>能力信息不应写成对具体设备的普遍承诺。每个 Backend 结合实际设备、驱动、模型和软件版本报告其可用能力；Runtime据此选择、降级、拒绝启动并记录原因。能力字段可在 Phase 5 设计时根据真实用例收敛。</w:t>
      </w:r>
    </w:p>
    <w:p>
      <w:pPr>
        <w:pStyle w:val="Heading1"/>
      </w:pPr>
      <w:r>
        <w:t>五 统一 Observation 与 Action 数据契约</w:t>
      </w:r>
    </w:p>
    <w:p>
      <w:r>
        <w:t>Observation 和 Action 使用明确的字段名、时间、单位、坐标系、关节顺序、有效性和版本。SO-101 的 servo id、Feetech 单位、串口协议、关节映射和硬件范围，由 SO101 Adapter 转换，不进入 Policy、InferenceBackend、ActionBuffer 或通用 Metrics。</w:t>
      </w:r>
    </w:p>
    <w:tbl>
      <w:tblPr>
        <w:tblW w:type="auto" w:w="0"/>
        <w:jc w:val="center"/>
        <w:tblLayout w:type="fixed"/>
        <w:tblLook w:firstColumn="1" w:firstRow="1" w:lastColumn="0" w:lastRow="0" w:noHBand="0" w:noVBand="1" w:val="04A0"/>
      </w:tblPr>
      <w:tblGrid>
        <w:gridCol w:w="1930"/>
        <w:gridCol w:w="3384"/>
        <w:gridCol w:w="4536"/>
      </w:tblGrid>
      <w:tr>
        <w:trPr>
          <w:tblHeader/>
        </w:trPr>
        <w:tc>
          <w:tcPr>
            <w:tcW w:type="dxa" w:w="193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边界</w:t>
            </w:r>
          </w:p>
        </w:tc>
        <w:tc>
          <w:tcPr>
            <w:tcW w:type="dxa" w:w="3384"/>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输入与输出示例</w:t>
            </w:r>
          </w:p>
        </w:tc>
        <w:tc>
          <w:tcPr>
            <w:tcW w:type="dxa" w:w="4536"/>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迁移判断</w:t>
            </w:r>
          </w:p>
        </w:tc>
      </w:tr>
      <w:tr>
        <w:tc>
          <w:tcPr>
            <w:tcW w:type="dxa" w:w="193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机器人适配器</w:t>
            </w:r>
          </w:p>
        </w:tc>
        <w:tc>
          <w:tcPr>
            <w:tcW w:type="dxa" w:w="3384"/>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Feetech/LeRobot 表示 ↔ 统一关节位置（rad、固定顺序）</w:t>
            </w:r>
          </w:p>
        </w:tc>
        <w:tc>
          <w:tcPr>
            <w:tcW w:type="dxa" w:w="4536"/>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换机器人时新增或替换 Adapter，并核对动作空间与任务语义；不能假设原策略权重直接适用。</w:t>
            </w:r>
          </w:p>
        </w:tc>
      </w:tr>
      <w:tr>
        <w:tc>
          <w:tcPr>
            <w:tcW w:type="dxa" w:w="193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统一数据契约</w:t>
            </w:r>
          </w:p>
        </w:tc>
        <w:tc>
          <w:tcPr>
            <w:tcW w:type="dxa" w:w="3384"/>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image.front RGB；关节位置；capture/state/assembled 时间；action_chunk</w:t>
            </w:r>
          </w:p>
        </w:tc>
        <w:tc>
          <w:tcPr>
            <w:tcW w:type="dxa" w:w="4536"/>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字段、形状、频率与坐标系均写入 schema 和版本，避免隐式约定。</w:t>
            </w:r>
          </w:p>
        </w:tc>
      </w:tr>
    </w:tbl>
    <w:p>
      <w:pPr>
        <w:spacing w:after="0"/>
      </w:pPr>
    </w:p>
    <w:p>
      <w:pPr>
        <w:spacing w:after="140"/>
      </w:pPr>
      <w:r>
        <w:rPr>
          <w:b/>
        </w:rPr>
        <w:t xml:space="preserve">冻结判断　</w:t>
      </w:r>
      <w:r>
        <w:t>设备专有表示在 Adapter 处终止；统一数据结构只能保证接口可复用，不承诺不同机器人的动作或任务等价。</w:t>
      </w:r>
    </w:p>
    <w:p>
      <w:pPr>
        <w:pStyle w:val="Heading1"/>
      </w:pPr>
      <w:r>
        <w:t>六 Gate PR 可迁移性准备验收</w:t>
      </w:r>
    </w:p>
    <w:p>
      <w:r>
        <w:t>Gate PR 建议在 Phase 5B Runtime Architecture Freeze 后、进入 Phase 6/7 集成前验收，并在 Phase 8 Employment Gate 复核。它是针对已建立的架构边界的检查，不增加独立研发阶段。</w:t>
      </w:r>
    </w:p>
    <w:tbl>
      <w:tblPr>
        <w:tblW w:type="auto" w:w="0"/>
        <w:jc w:val="center"/>
        <w:tblLayout w:type="fixed"/>
        <w:tblLook w:firstColumn="1" w:firstRow="1" w:lastColumn="0" w:lastRow="0" w:noHBand="0" w:noVBand="1" w:val="04A0"/>
      </w:tblPr>
      <w:tblGrid>
        <w:gridCol w:w="1901"/>
        <w:gridCol w:w="7949"/>
      </w:tblGrid>
      <w:tr>
        <w:trPr>
          <w:tblHeader/>
        </w:trPr>
        <w:tc>
          <w:tcPr>
            <w:tcW w:type="dxa" w:w="1901"/>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检查域</w:t>
            </w:r>
          </w:p>
        </w:tc>
        <w:tc>
          <w:tcPr>
            <w:tcW w:type="dxa" w:w="7949"/>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PASS 证据</w:t>
            </w:r>
          </w:p>
        </w:tc>
      </w:tr>
      <w:tr>
        <w:tc>
          <w:tcPr>
            <w:tcW w:type="dxa" w:w="1901"/>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模型资产</w:t>
            </w:r>
          </w:p>
        </w:tc>
        <w:tc>
          <w:tcPr>
            <w:tcW w:type="dxa" w:w="7949"/>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源资产和测试向量可追溯；OpenVINO 产物标记为目标平台产物。</w:t>
            </w:r>
          </w:p>
        </w:tc>
      </w:tr>
      <w:tr>
        <w:tc>
          <w:tcPr>
            <w:tcW w:type="dxa" w:w="1901"/>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数据接口</w:t>
            </w:r>
          </w:p>
        </w:tc>
        <w:tc>
          <w:tcPr>
            <w:tcW w:type="dxa" w:w="7949"/>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Observation、Action 和 PolicyOutput 无 Intel、OpenVINO、SO-101 或 Feetech 私有类型。</w:t>
            </w:r>
          </w:p>
        </w:tc>
      </w:tr>
      <w:tr>
        <w:tc>
          <w:tcPr>
            <w:tcW w:type="dxa" w:w="1901"/>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推理边界</w:t>
            </w:r>
          </w:p>
        </w:tc>
        <w:tc>
          <w:tcPr>
            <w:tcW w:type="dxa" w:w="7949"/>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公开 InferenceBackend 接口无 Vendor API；能力与限制可报告。</w:t>
            </w:r>
          </w:p>
        </w:tc>
      </w:tr>
      <w:tr>
        <w:tc>
          <w:tcPr>
            <w:tcW w:type="dxa" w:w="1901"/>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替换实验</w:t>
            </w:r>
          </w:p>
        </w:tc>
        <w:tc>
          <w:tcPr>
            <w:tcW w:type="dxa" w:w="7949"/>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FakeBackend 与 OpenVINOBackend 运行同一组契约测试；切换时不改 ActionBuffer、Metrics 和 Safety。</w:t>
            </w:r>
          </w:p>
        </w:tc>
      </w:tr>
      <w:tr>
        <w:tc>
          <w:tcPr>
            <w:tcW w:type="dxa" w:w="1901"/>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设备适配</w:t>
            </w:r>
          </w:p>
        </w:tc>
        <w:tc>
          <w:tcPr>
            <w:tcW w:type="dxa" w:w="7949"/>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SO-101 私有转换停留在 Adapter；数据 schema、映射和单位可查。</w:t>
            </w:r>
          </w:p>
        </w:tc>
      </w:tr>
      <w:tr>
        <w:tc>
          <w:tcPr>
            <w:tcW w:type="dxa" w:w="1901"/>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安全与指标</w:t>
            </w:r>
          </w:p>
        </w:tc>
        <w:tc>
          <w:tcPr>
            <w:tcW w:type="dxa" w:w="7949"/>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Safety Contract 不依赖 Zephyr/STM32 API；latency、Age、jitter 的定义与 Backend 无关，并遵守 Addendum 01 的时钟契约。</w:t>
            </w:r>
          </w:p>
        </w:tc>
      </w:tr>
      <w:tr>
        <w:tc>
          <w:tcPr>
            <w:tcW w:type="dxa" w:w="1901"/>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架构文档</w:t>
            </w:r>
          </w:p>
        </w:tc>
        <w:tc>
          <w:tcPr>
            <w:tcW w:type="dxa" w:w="7949"/>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图和代码清楚标明 Vendor、设备、Runtime 与 Safety 边界。</w:t>
            </w:r>
          </w:p>
        </w:tc>
      </w:tr>
    </w:tbl>
    <w:p>
      <w:pPr>
        <w:spacing w:after="0"/>
      </w:pPr>
    </w:p>
    <w:p>
      <w:r>
        <w:t>PASS 表示现有代码没有封死未来的迁移路径，不表示目标模型已在第二硬件上成功导出、运行，或达到相同的任务表现。若本 Gate 未过，应记录泄漏位置和修复结果，再对受影响的集成部分验收。</w:t>
      </w:r>
    </w:p>
    <w:p>
      <w:pPr>
        <w:pStyle w:val="Heading1"/>
      </w:pPr>
      <w:r>
        <w:t>七 共用的 Backend 契约测试</w:t>
      </w:r>
    </w:p>
    <w:p>
      <w:r>
        <w:t>Phase 5 起，同一测试规范覆盖 FakeBackend、PyTorchBackend（如保留）和 OpenVINOBackend；E1 新增的 Backend 复用规范。FakeBackend 可返回确定的动作或受控延迟，用来单独检验 Runtime。</w:t>
      </w:r>
    </w:p>
    <w:tbl>
      <w:tblPr>
        <w:tblW w:type="auto" w:w="0"/>
        <w:jc w:val="center"/>
        <w:tblLayout w:type="fixed"/>
        <w:tblLook w:firstColumn="1" w:firstRow="1" w:lastColumn="0" w:lastRow="0" w:noHBand="0" w:noVBand="1" w:val="04A0"/>
      </w:tblPr>
      <w:tblGrid>
        <w:gridCol w:w="1872"/>
        <w:gridCol w:w="7978"/>
      </w:tblGrid>
      <w:tr>
        <w:trPr>
          <w:tblHeader/>
        </w:trPr>
        <w:tc>
          <w:tcPr>
            <w:tcW w:type="dxa" w:w="1872"/>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测试类</w:t>
            </w:r>
          </w:p>
        </w:tc>
        <w:tc>
          <w:tcPr>
            <w:tcW w:type="dxa" w:w="797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最低检查内容</w:t>
            </w:r>
          </w:p>
        </w:tc>
      </w:tr>
      <w:tr>
        <w:tc>
          <w:tcPr>
            <w:tcW w:type="dxa" w:w="1872"/>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正常路径</w:t>
            </w:r>
          </w:p>
        </w:tc>
        <w:tc>
          <w:tcPr>
            <w:tcW w:type="dxa" w:w="797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输入输出 schema、shape、dtype、model_version、时间字段和状态。</w:t>
            </w:r>
          </w:p>
        </w:tc>
      </w:tr>
      <w:tr>
        <w:tc>
          <w:tcPr>
            <w:tcW w:type="dxa" w:w="1872"/>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异常路径</w:t>
            </w:r>
          </w:p>
        </w:tc>
        <w:tc>
          <w:tcPr>
            <w:tcW w:type="dxa" w:w="797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无效输入、初始化失败、超时、推理失败、关闭与资源释放。</w:t>
            </w:r>
          </w:p>
        </w:tc>
      </w:tr>
      <w:tr>
        <w:tc>
          <w:tcPr>
            <w:tcW w:type="dxa" w:w="1872"/>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行为差异</w:t>
            </w:r>
          </w:p>
        </w:tc>
        <w:tc>
          <w:tcPr>
            <w:tcW w:type="dxa" w:w="797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允许的数值容差或确定性范围；不能将不同精度的结果强行判为位级相等。</w:t>
            </w:r>
          </w:p>
        </w:tc>
      </w:tr>
      <w:tr>
        <w:tc>
          <w:tcPr>
            <w:tcW w:type="dxa" w:w="1872"/>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替换路径</w:t>
            </w:r>
          </w:p>
        </w:tc>
        <w:tc>
          <w:tcPr>
            <w:tcW w:type="dxa" w:w="797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替换 Backend 后上层编译/配置与动作缓存、指标、安全接口不发生 Vendor 相关变动。</w:t>
            </w:r>
          </w:p>
        </w:tc>
      </w:tr>
    </w:tbl>
    <w:p>
      <w:pPr>
        <w:spacing w:after="0"/>
      </w:pPr>
    </w:p>
    <w:p>
      <w:pPr>
        <w:pStyle w:val="Heading1"/>
      </w:pPr>
      <w:r>
        <w:t>八 E1 跨厂商验证</w:t>
      </w:r>
    </w:p>
    <w:p>
      <w:r>
        <w:t>E1 从同一可迁移源资产出发，先在 OpenVINO 和一个可行的第二 Backend 上建立可比较的实现，再让二者输出同一 PolicyOutput，接入相同的 ActionBuffer 与 SafetyFilter。第二 Backend 可选 TensorRT 或条件成熟时的 QNN；具体选型按 E1 时的硬件、模型兼容性和可获得证据决定。</w:t>
      </w:r>
    </w:p>
    <w:tbl>
      <w:tblPr>
        <w:tblW w:type="auto" w:w="0"/>
        <w:jc w:val="center"/>
        <w:tblLayout w:type="fixed"/>
        <w:tblLook w:firstColumn="1" w:firstRow="1" w:lastColumn="0" w:lastRow="0" w:noHBand="0" w:noVBand="1" w:val="04A0"/>
      </w:tblPr>
      <w:tblGrid>
        <w:gridCol w:w="1930"/>
        <w:gridCol w:w="7920"/>
      </w:tblGrid>
      <w:tr>
        <w:trPr>
          <w:tblHeader/>
        </w:trPr>
        <w:tc>
          <w:tcPr>
            <w:tcW w:type="dxa" w:w="193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类别</w:t>
            </w:r>
          </w:p>
        </w:tc>
        <w:tc>
          <w:tcPr>
            <w:tcW w:type="dxa" w:w="792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统一记录</w:t>
            </w:r>
          </w:p>
        </w:tc>
      </w:tr>
      <w:tr>
        <w:tc>
          <w:tcPr>
            <w:tcW w:type="dxa" w:w="193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正确性与兼容</w:t>
            </w:r>
          </w:p>
        </w:tc>
        <w:tc>
          <w:tcPr>
            <w:tcW w:type="dxa" w:w="792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参考输出差异、任务/rollout 行为、算子支持、图修改。</w:t>
            </w:r>
          </w:p>
        </w:tc>
      </w:tr>
      <w:tr>
        <w:tc>
          <w:tcPr>
            <w:tcW w:type="dxa" w:w="193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转换与精度</w:t>
            </w:r>
          </w:p>
        </w:tc>
        <w:tc>
          <w:tcPr>
            <w:tcW w:type="dxa" w:w="792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转换成功/失败、编译时长、FP32/FP16/INT8 的实际可用组合。</w:t>
            </w:r>
          </w:p>
        </w:tc>
      </w:tr>
      <w:tr>
        <w:tc>
          <w:tcPr>
            <w:tcW w:type="dxa" w:w="193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推理与系统</w:t>
            </w:r>
          </w:p>
        </w:tc>
        <w:tc>
          <w:tcPr>
            <w:tcW w:type="dxa" w:w="792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P50/P95/P99、内存、CPU 和加速器资源、加载与预热。</w:t>
            </w:r>
          </w:p>
        </w:tc>
      </w:tr>
      <w:tr>
        <w:tc>
          <w:tcPr>
            <w:tcW w:type="dxa" w:w="193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执行与可靠性</w:t>
            </w:r>
          </w:p>
        </w:tc>
        <w:tc>
          <w:tcPr>
            <w:tcW w:type="dxa" w:w="7920"/>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queue delay、jitter、action age、启动、超时、恢复与失败行为。</w:t>
            </w:r>
          </w:p>
        </w:tc>
      </w:tr>
    </w:tbl>
    <w:p>
      <w:pPr>
        <w:spacing w:after="0"/>
      </w:pPr>
    </w:p>
    <w:p>
      <w:r>
        <w:t>E1 的结论应指出：同一模型在不同推理实现上的差异发生于导出、图编译、精度、设备执行、Runtime 调度还是执行安全层，以及相应改动属于哪一层。不可把平台成绩差异单独归因于芯片。</w:t>
      </w:r>
    </w:p>
    <w:p>
      <w:pPr>
        <w:pStyle w:val="Heading1"/>
      </w:pPr>
      <w:r>
        <w:t>九 Safety Contract 的可迁移边界</w:t>
      </w:r>
    </w:p>
    <w:p>
      <w:r>
        <w:t>通用安全语义覆盖 heartbeat、enable/disable、fault、watchdog、timeout、safe state、recovery 和 fault code。首个实现继续采用现有 STM32/Zephyr 与通信链。UART/CAN、GPIO、Zephyr thread、S32K MCAL 等属于实现或传输适配层。</w:t>
      </w:r>
    </w:p>
    <w:p>
      <w:r>
        <w:t>安全语义的可复用只意味着接口和状态约定可以作为新平台设计的输入；若迁移到车辆硬件，仍须重新分析危害、权限、时序、物理安全状态及故障注入证据。继续遵守 Addendum 01 的 SC0 与 W0，不将软件接口可迁移误写为功能安全认证。</w:t>
      </w:r>
    </w:p>
    <w:p>
      <w:pPr>
        <w:pStyle w:val="Heading1"/>
      </w:pPr>
      <w:r>
        <w:t>十 与既有 Phase 和 Addendum 01 的合并</w:t>
      </w:r>
    </w:p>
    <w:tbl>
      <w:tblPr>
        <w:tblW w:type="auto" w:w="0"/>
        <w:jc w:val="center"/>
        <w:tblLayout w:type="fixed"/>
        <w:tblLook w:firstColumn="1" w:firstRow="1" w:lastColumn="0" w:lastRow="0" w:noHBand="0" w:noVBand="1" w:val="04A0"/>
      </w:tblPr>
      <w:tblGrid>
        <w:gridCol w:w="1627"/>
        <w:gridCol w:w="4608"/>
        <w:gridCol w:w="3614"/>
      </w:tblGrid>
      <w:tr>
        <w:trPr>
          <w:tblHeader/>
        </w:trPr>
        <w:tc>
          <w:tcPr>
            <w:tcW w:type="dxa" w:w="1627"/>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阶段</w:t>
            </w:r>
          </w:p>
        </w:tc>
        <w:tc>
          <w:tcPr>
            <w:tcW w:type="dxa" w:w="460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本文件落点</w:t>
            </w:r>
          </w:p>
        </w:tc>
        <w:tc>
          <w:tcPr>
            <w:tcW w:type="dxa" w:w="3614"/>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DCE7F2"/>
          </w:tcPr>
          <w:p>
            <w:pPr>
              <w:spacing w:after="0" w:line="264" w:lineRule="auto"/>
            </w:pPr>
            <w:r>
              <w:rPr>
                <w:b/>
                <w:color w:val="000000"/>
                <w:sz w:val="17"/>
              </w:rPr>
              <w:t>执行时间</w:t>
            </w:r>
          </w:p>
        </w:tc>
      </w:tr>
      <w:tr>
        <w:tc>
          <w:tcPr>
            <w:tcW w:type="dxa" w:w="1627"/>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Phase 0–2</w:t>
            </w:r>
          </w:p>
        </w:tc>
        <w:tc>
          <w:tcPr>
            <w:tcW w:type="dxa" w:w="460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逐步规范源资产和统一数据语义，不改变已有 PASS。</w:t>
            </w:r>
          </w:p>
        </w:tc>
        <w:tc>
          <w:tcPr>
            <w:tcW w:type="dxa" w:w="3614"/>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已有证据沿用。</w:t>
            </w:r>
          </w:p>
        </w:tc>
      </w:tr>
      <w:tr>
        <w:tc>
          <w:tcPr>
            <w:tcW w:type="dxa" w:w="1627"/>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Phase 3</w:t>
            </w:r>
          </w:p>
        </w:tc>
        <w:tc>
          <w:tcPr>
            <w:tcW w:type="dxa" w:w="460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资产分层与参考输入/输出记录。</w:t>
            </w:r>
          </w:p>
        </w:tc>
        <w:tc>
          <w:tcPr>
            <w:tcW w:type="dxa" w:w="3614"/>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已完成；仅盘点可恢复证据，缺口标记。</w:t>
            </w:r>
          </w:p>
        </w:tc>
      </w:tr>
      <w:tr>
        <w:tc>
          <w:tcPr>
            <w:tcW w:type="dxa" w:w="1627"/>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Phase 4</w:t>
            </w:r>
          </w:p>
        </w:tc>
        <w:tc>
          <w:tcPr>
            <w:tcW w:type="dxa" w:w="460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沿用同一源资产，在 Intel Real Edge 说明设备差异。</w:t>
            </w:r>
          </w:p>
        </w:tc>
        <w:tc>
          <w:tcPr>
            <w:tcW w:type="dxa" w:w="3614"/>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与 Addendum 01 的 O M1、V M1 合并。</w:t>
            </w:r>
          </w:p>
        </w:tc>
      </w:tr>
      <w:tr>
        <w:tc>
          <w:tcPr>
            <w:tcW w:type="dxa" w:w="1627"/>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Phase 5A/5B</w:t>
            </w:r>
          </w:p>
        </w:tc>
        <w:tc>
          <w:tcPr>
            <w:tcW w:type="dxa" w:w="460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Backend 接口、能力声明、契约测试；完成 Gate PR。</w:t>
            </w:r>
          </w:p>
        </w:tc>
        <w:tc>
          <w:tcPr>
            <w:tcW w:type="dxa" w:w="3614"/>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与 T0、R M1、RT0 和 ADR 01 同期安排。</w:t>
            </w:r>
          </w:p>
        </w:tc>
      </w:tr>
      <w:tr>
        <w:tc>
          <w:tcPr>
            <w:tcW w:type="dxa" w:w="1627"/>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Phase 6</w:t>
            </w:r>
          </w:p>
        </w:tc>
        <w:tc>
          <w:tcPr>
            <w:tcW w:type="dxa" w:w="460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Safety Contract 与 STM32/Zephyr 实现分离。</w:t>
            </w:r>
          </w:p>
        </w:tc>
        <w:tc>
          <w:tcPr>
            <w:tcW w:type="dxa" w:w="3614"/>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与 SC0、W0 同期核查。</w:t>
            </w:r>
          </w:p>
        </w:tc>
      </w:tr>
      <w:tr>
        <w:tc>
          <w:tcPr>
            <w:tcW w:type="dxa" w:w="1627"/>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Phase 7/8</w:t>
            </w:r>
          </w:p>
        </w:tc>
        <w:tc>
          <w:tcPr>
            <w:tcW w:type="dxa" w:w="460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完整真机链的边界复核与 Architecture Talk。</w:t>
            </w:r>
          </w:p>
        </w:tc>
        <w:tc>
          <w:tcPr>
            <w:tcW w:type="dxa" w:w="3614"/>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shd w:fill="F7F9FB"/>
          </w:tcPr>
          <w:p>
            <w:pPr>
              <w:spacing w:after="0" w:line="264" w:lineRule="auto"/>
            </w:pPr>
            <w:r>
              <w:rPr>
                <w:sz w:val="17"/>
              </w:rPr>
              <w:t>沿用原集成及就业验收。</w:t>
            </w:r>
          </w:p>
        </w:tc>
      </w:tr>
      <w:tr>
        <w:tc>
          <w:tcPr>
            <w:tcW w:type="dxa" w:w="1627"/>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E1</w:t>
            </w:r>
          </w:p>
        </w:tc>
        <w:tc>
          <w:tcPr>
            <w:tcW w:type="dxa" w:w="4608"/>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真正迁移至少一个第二 Backend 并进行统一评估。</w:t>
            </w:r>
          </w:p>
        </w:tc>
        <w:tc>
          <w:tcPr>
            <w:tcW w:type="dxa" w:w="3614"/>
            <w:tcBorders>
              <w:top w:val="single" w:sz="5" w:color="D9D9D9"/>
              <w:left w:val="single" w:sz="5" w:color="D9D9D9"/>
              <w:bottom w:val="single" w:sz="5" w:color="D9D9D9"/>
              <w:right w:val="single" w:sz="5" w:color="D9D9D9"/>
            </w:tcBorders>
            <w:tcMar>
              <w:top w:w="95" w:type="dxa"/>
              <w:bottom w:w="95" w:type="dxa"/>
              <w:left w:w="115" w:type="dxa"/>
              <w:right w:w="115" w:type="dxa"/>
            </w:tcMar>
            <w:vAlign w:val="center"/>
          </w:tcPr>
          <w:p>
            <w:pPr>
              <w:spacing w:after="0" w:line="264" w:lineRule="auto"/>
            </w:pPr>
            <w:r>
              <w:rPr>
                <w:sz w:val="17"/>
              </w:rPr>
              <w:t>Core 完成后按 E1 原有定位启动。</w:t>
            </w:r>
          </w:p>
        </w:tc>
      </w:tr>
    </w:tbl>
    <w:p>
      <w:pPr>
        <w:spacing w:after="0"/>
      </w:pPr>
    </w:p>
    <w:p>
      <w:r>
        <w:t>若本文件与 Addendum 01 同时涉及时间或安全证据，以 Addendum 01 的 T0、RT0、SC0、W0 及其非追溯处理为最低约束；本文件负责模型资产、推理边界和跨厂商验证。V2.9 主文件仍作为冻结历史基线，后续是否吸收到新主版本，另按版本审查决定。</w:t>
      </w:r>
    </w:p>
    <w:p>
      <w:pPr>
        <w:pStyle w:val="Heading1"/>
      </w:pPr>
      <w:r>
        <w:t>十一 Phase 8 架构讲解与正式表述</w:t>
      </w:r>
    </w:p>
    <w:p>
      <w:r>
        <w:t>Architecture Talk 应使用自己的代码、配置和实验说明：哪些资产可迁移；哪些目标产物必须重新生成；更换 Backend 时哪些代码要改、哪些上层契约应保持；哪些设备能力需要显式协商；一次真实跨平台差异应归到哪一层。</w:t>
      </w:r>
    </w:p>
    <w:p>
      <w:pPr>
        <w:spacing w:after="140"/>
      </w:pPr>
      <w:r>
        <w:rPr>
          <w:b/>
        </w:rPr>
        <w:t xml:space="preserve">项目表述　</w:t>
      </w:r>
      <w:r>
        <w:t>L1 是一套以 SO-101 为首个机器人载体、以 Intel/OpenVINO 为首个 Reference Edge 实现的可迁移 Physical AI Runtime。这里的“可迁移”先由 Gate PR 验证架构准备度，再由 E1 验证实际迁移。</w:t>
      </w:r>
    </w:p>
    <w:p>
      <w:pPr>
        <w:pStyle w:val="Heading1"/>
      </w:pPr>
      <w:r>
        <w:t>十二 批准记录与执行边界</w:t>
      </w:r>
    </w:p>
    <w:p>
      <w:r>
        <w:t>项目负责人于 2026 年 9 月 23 日批准前述 Portability Addendum 草案，指定其成为 Addendum 02。本正式版将草案的十部分及 A1–A4 决策规范化，并补入 Phase 3 已完成的非追溯规则，以保持与已生效的 Addendum 01 一致。</w:t>
      </w:r>
    </w:p>
    <w:p>
      <w:pPr>
        <w:pStyle w:val="ListBullet"/>
      </w:pPr>
      <w:r>
        <w:t>批准 A1 至 A4 及 Gate PR；不变更 V2.9 的 Phase 0–8 主路线、Intel Reference Edge、Core Gate 和 E1 定位。</w:t>
      </w:r>
    </w:p>
    <w:p>
      <w:pPr>
        <w:pStyle w:val="ListBullet"/>
      </w:pPr>
      <w:r>
        <w:t>Phase 3 保留原 PASS；只归档可恢复的源资产、转换记录和正确性证据，历史缺口不要求重跑。</w:t>
      </w:r>
    </w:p>
    <w:p>
      <w:pPr>
        <w:pStyle w:val="ListBullet"/>
      </w:pPr>
      <w:r>
        <w:t>Phase 5/6 在真实实现基础上收敛 Backend、Adapter 与 Safety Contract；验收后按原 Review 分流与回流机制处理。</w:t>
      </w:r>
    </w:p>
    <w:p>
      <w:pPr>
        <w:pStyle w:val="ListBullet"/>
      </w:pPr>
      <w:r>
        <w:t>在 E1 之前不以学习全部 TensorRT/QNN、购买额外板卡或运行三个平台为 Core 完成条件。</w:t>
      </w:r>
    </w:p>
    <w:p>
      <w:pPr>
        <w:pStyle w:val="SmallNote"/>
      </w:pPr>
      <w:r>
        <w:t>依据文件：L1 V2.9 S1/S2 Employment Gate 增强版；L1 V2.9 Deep Research Architecture Audit Addendum 01 正式版（2026-09-23 批准）。本文件是项目内部架构与验收约定，具体硬件能力由各 Phase 的实际配置和证据判定。</w:t>
      </w:r>
    </w:p>
    <w:sectPr w:rsidR="00FC693F" w:rsidRPr="0006063C" w:rsidSect="00034616">
      <w:footerReference w:type="default" r:id="rId9"/>
      <w:pgSz w:w="12240" w:h="15840"/>
      <w:pgMar w:top="1123" w:right="1181" w:bottom="1008" w:left="1181"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L1 V2.9  |  Addendum 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Noto Sans CJK SC" w:hAnsi="Noto Sans CJK SC" w:eastAsia="Noto Sans CJK SC"/>
      <w:color w:val="1C20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Noto Sans CJK SC" w:hAnsi="Noto Sans CJK SC" w:eastAsia="Noto Sans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CJK SC" w:hAnsi="Noto Sans CJK SC" w:eastAsia="Noto Sans CJK SC"/>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Noto Sans CJK SC" w:hAnsi="Noto Sans CJK SC" w:eastAsia="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100"/>
    </w:pPr>
    <w:rPr>
      <w:color w:val="3C414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