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0975" w14:textId="21D30DC9" w:rsidR="31F0B627" w:rsidRPr="0014096E" w:rsidRDefault="00046B7E" w:rsidP="0014096E">
      <w:pPr>
        <w:pStyle w:val="Heading1"/>
        <w:jc w:val="center"/>
        <w:rPr>
          <w:sz w:val="40"/>
          <w:szCs w:val="40"/>
        </w:rPr>
      </w:pPr>
      <w:r w:rsidRPr="0BC65251">
        <w:rPr>
          <w:sz w:val="40"/>
          <w:szCs w:val="40"/>
        </w:rPr>
        <w:t>Big Rivers</w:t>
      </w:r>
      <w:r w:rsidR="3E8A0E1D" w:rsidRPr="0BC65251">
        <w:rPr>
          <w:sz w:val="40"/>
          <w:szCs w:val="40"/>
        </w:rPr>
        <w:t xml:space="preserve"> Condition Index</w:t>
      </w:r>
      <w:r w:rsidR="3AE53151" w:rsidRPr="0BC65251">
        <w:rPr>
          <w:sz w:val="40"/>
          <w:szCs w:val="40"/>
        </w:rPr>
        <w:t xml:space="preserve"> (</w:t>
      </w:r>
      <w:r w:rsidRPr="0BC65251">
        <w:rPr>
          <w:sz w:val="40"/>
          <w:szCs w:val="40"/>
        </w:rPr>
        <w:t>BR</w:t>
      </w:r>
      <w:r w:rsidR="3AE53151" w:rsidRPr="0BC65251">
        <w:rPr>
          <w:sz w:val="40"/>
          <w:szCs w:val="40"/>
        </w:rPr>
        <w:t>CI)</w:t>
      </w:r>
    </w:p>
    <w:p w14:paraId="299115C0" w14:textId="4450F3B6" w:rsidR="6105506E" w:rsidRDefault="6105506E" w:rsidP="6105506E">
      <w:pPr>
        <w:rPr>
          <w:i/>
          <w:iCs/>
        </w:rPr>
      </w:pPr>
    </w:p>
    <w:p w14:paraId="099D2B26" w14:textId="02338085" w:rsidR="1706BEAC" w:rsidRPr="00E163B9" w:rsidRDefault="1706BEAC" w:rsidP="0BC65251">
      <w:pPr>
        <w:pStyle w:val="Heading2"/>
        <w:rPr>
          <w:rFonts w:eastAsiaTheme="minorEastAsia"/>
          <w:b/>
          <w:bCs/>
        </w:rPr>
      </w:pPr>
      <w:r w:rsidRPr="0BC65251">
        <w:rPr>
          <w:b/>
          <w:bCs/>
        </w:rPr>
        <w:t xml:space="preserve">What is the </w:t>
      </w:r>
      <w:r w:rsidR="00F10FC4" w:rsidRPr="0BC65251">
        <w:rPr>
          <w:b/>
          <w:bCs/>
        </w:rPr>
        <w:t>Big Rivers</w:t>
      </w:r>
      <w:r w:rsidRPr="0BC65251">
        <w:rPr>
          <w:b/>
          <w:bCs/>
        </w:rPr>
        <w:t xml:space="preserve"> Condition Index?</w:t>
      </w:r>
    </w:p>
    <w:p w14:paraId="665C6765" w14:textId="6410C8A9" w:rsidR="53B74D89" w:rsidRDefault="74F3975A" w:rsidP="3CDFD89A">
      <w:r w:rsidRPr="0BC65251">
        <w:rPr>
          <w:b/>
          <w:bCs/>
          <w:u w:val="single"/>
        </w:rPr>
        <w:t>One sentence:</w:t>
      </w:r>
      <w:r>
        <w:t xml:space="preserve"> A</w:t>
      </w:r>
      <w:r w:rsidR="2EAB2CB8">
        <w:t>n</w:t>
      </w:r>
      <w:r>
        <w:t xml:space="preserve"> </w:t>
      </w:r>
      <w:r w:rsidR="744FFBD0">
        <w:t>index</w:t>
      </w:r>
      <w:r>
        <w:t xml:space="preserve"> which </w:t>
      </w:r>
      <w:r w:rsidR="1D572C79">
        <w:t>a</w:t>
      </w:r>
      <w:r w:rsidR="32A7B916">
        <w:t>ssesses</w:t>
      </w:r>
      <w:r>
        <w:t xml:space="preserve"> </w:t>
      </w:r>
      <w:r w:rsidR="007C3BD3" w:rsidRPr="005147AC">
        <w:t>HUC 12 watersheds</w:t>
      </w:r>
      <w:r w:rsidR="007C3BD3">
        <w:t xml:space="preserve"> containing large rivers (Mean flow over 6000cfs)</w:t>
      </w:r>
      <w:r>
        <w:t xml:space="preserve"> </w:t>
      </w:r>
      <w:r w:rsidR="3890EA54">
        <w:t xml:space="preserve">for aquatic habitat quality </w:t>
      </w:r>
      <w:r>
        <w:t xml:space="preserve">in the Middle Southeast </w:t>
      </w:r>
      <w:r w:rsidR="5FAAACA6">
        <w:t>based on a defined set of indicators</w:t>
      </w:r>
      <w:r w:rsidR="00F10FC4">
        <w:t>,</w:t>
      </w:r>
      <w:r w:rsidR="5FAAACA6">
        <w:t xml:space="preserve"> </w:t>
      </w:r>
      <w:r>
        <w:t xml:space="preserve">and </w:t>
      </w:r>
      <w:r w:rsidR="6DF8D9B4">
        <w:t>reclassifies</w:t>
      </w:r>
      <w:r w:rsidR="59DE2F02">
        <w:t xml:space="preserve"> the watershed</w:t>
      </w:r>
      <w:r w:rsidR="57712BAF">
        <w:t xml:space="preserve"> </w:t>
      </w:r>
      <w:r w:rsidR="27E0506B">
        <w:t>into</w:t>
      </w:r>
      <w:r w:rsidR="57712BAF">
        <w:t xml:space="preserve"> </w:t>
      </w:r>
      <w:r w:rsidR="5F06FCE1">
        <w:t>bins</w:t>
      </w:r>
      <w:r w:rsidR="34ED45DF">
        <w:t xml:space="preserve"> for</w:t>
      </w:r>
      <w:r w:rsidR="4C14C5EC">
        <w:t xml:space="preserve"> </w:t>
      </w:r>
      <w:r w:rsidR="57712BAF">
        <w:t xml:space="preserve">restoration, enhancement, or maintenance. </w:t>
      </w:r>
    </w:p>
    <w:p w14:paraId="3C5399DA" w14:textId="78C94173" w:rsidR="007C3BD3" w:rsidRDefault="74F3975A" w:rsidP="3CDFD89A">
      <w:r w:rsidRPr="0BC65251">
        <w:rPr>
          <w:b/>
          <w:bCs/>
          <w:u w:val="single"/>
        </w:rPr>
        <w:t>A little more detail:</w:t>
      </w:r>
      <w:r w:rsidRPr="0BC65251">
        <w:rPr>
          <w:u w:val="single"/>
        </w:rPr>
        <w:t xml:space="preserve"> </w:t>
      </w:r>
      <w:r w:rsidR="6A559E7B">
        <w:t xml:space="preserve">The </w:t>
      </w:r>
      <w:r w:rsidR="007C3BD3">
        <w:t>Big Rivers</w:t>
      </w:r>
      <w:r w:rsidR="6A559E7B">
        <w:t xml:space="preserve"> Condition Index (</w:t>
      </w:r>
      <w:r w:rsidR="007C3BD3">
        <w:t>B</w:t>
      </w:r>
      <w:r w:rsidR="6A559E7B">
        <w:t xml:space="preserve">RCI) is a product of the 2021 Middle Southeast Blueprint. </w:t>
      </w:r>
      <w:r w:rsidR="6351046F">
        <w:t xml:space="preserve">The </w:t>
      </w:r>
      <w:r w:rsidR="00F10FC4">
        <w:t>BRCI</w:t>
      </w:r>
      <w:r w:rsidR="05205D84">
        <w:t xml:space="preserve"> evaluates</w:t>
      </w:r>
      <w:r w:rsidR="2C1996AF">
        <w:t xml:space="preserve"> HUC-12</w:t>
      </w:r>
      <w:r w:rsidR="05205D84">
        <w:t xml:space="preserve"> watersheds in the Middle Southeast</w:t>
      </w:r>
      <w:r w:rsidR="6FF9159B">
        <w:t xml:space="preserve"> </w:t>
      </w:r>
      <w:r w:rsidR="06087C60">
        <w:t>to determine the</w:t>
      </w:r>
      <w:r w:rsidR="2F068EB0">
        <w:t xml:space="preserve"> aquatic</w:t>
      </w:r>
      <w:r w:rsidR="06087C60">
        <w:t xml:space="preserve"> habitat condition and</w:t>
      </w:r>
      <w:r w:rsidR="124453C6">
        <w:t xml:space="preserve"> suggests</w:t>
      </w:r>
      <w:r w:rsidR="06087C60">
        <w:t xml:space="preserve"> </w:t>
      </w:r>
      <w:r w:rsidR="5F096FFD">
        <w:t xml:space="preserve">broad </w:t>
      </w:r>
      <w:r w:rsidR="06087C60">
        <w:t>management action</w:t>
      </w:r>
      <w:r w:rsidR="5DFE63CF">
        <w:t>s in the watershed</w:t>
      </w:r>
      <w:r w:rsidR="06087C60">
        <w:t xml:space="preserve">. The model </w:t>
      </w:r>
      <w:r w:rsidR="67A49F51">
        <w:t xml:space="preserve">identifies </w:t>
      </w:r>
      <w:r w:rsidR="74BBD1A3">
        <w:t xml:space="preserve">defined </w:t>
      </w:r>
      <w:r w:rsidR="67A49F51">
        <w:t xml:space="preserve">big </w:t>
      </w:r>
      <w:r w:rsidR="00F10FC4">
        <w:t>rivers and</w:t>
      </w:r>
      <w:r w:rsidR="007C3BD3">
        <w:t xml:space="preserve"> excludes smaller streams and rivers</w:t>
      </w:r>
      <w:r w:rsidR="67A49F51">
        <w:t xml:space="preserve">. </w:t>
      </w:r>
      <w:r w:rsidR="007C3BD3">
        <w:t xml:space="preserve">The BRCI complements the Streams and Rivers Condition Index (SRCI) which classifies these smaller waterbodies. </w:t>
      </w:r>
    </w:p>
    <w:p w14:paraId="3A5D03F1" w14:textId="63CCF02A" w:rsidR="442A0D60" w:rsidRDefault="67A49F51" w:rsidP="007C3BD3">
      <w:r>
        <w:t xml:space="preserve">Next the index </w:t>
      </w:r>
      <w:r w:rsidR="06087C60">
        <w:t xml:space="preserve">utilizes </w:t>
      </w:r>
      <w:r w:rsidR="26629047">
        <w:t>four</w:t>
      </w:r>
      <w:r w:rsidR="6FF9159B">
        <w:t xml:space="preserve"> </w:t>
      </w:r>
      <w:r w:rsidR="0E72DC66">
        <w:t xml:space="preserve">indicators </w:t>
      </w:r>
      <w:r w:rsidR="37E0DAF1">
        <w:t>to determine aquatic habitat conditions</w:t>
      </w:r>
      <w:r w:rsidR="6FF9159B">
        <w:t>:</w:t>
      </w:r>
      <w:r w:rsidR="007C3BD3">
        <w:t xml:space="preserve"> habitat diversity, linear connectedness (inundation), linear connectivity (barriers), and sinuosity.</w:t>
      </w:r>
      <w:r w:rsidR="1A5FDE68">
        <w:t xml:space="preserve"> </w:t>
      </w:r>
      <w:r w:rsidR="4874C622">
        <w:t>Watersheds are scored 0-</w:t>
      </w:r>
      <w:r w:rsidR="007C3BD3">
        <w:t>32</w:t>
      </w:r>
      <w:r w:rsidR="4874C622">
        <w:t xml:space="preserve"> based on the decision framework </w:t>
      </w:r>
      <w:r w:rsidR="5514484F">
        <w:t>(</w:t>
      </w:r>
      <w:r w:rsidR="22262F1E">
        <w:t>Figure 1)</w:t>
      </w:r>
      <w:r w:rsidR="4874C622">
        <w:t xml:space="preserve"> </w:t>
      </w:r>
      <w:r w:rsidR="1EF62006">
        <w:t xml:space="preserve">into one of four </w:t>
      </w:r>
      <w:r w:rsidR="5CD0F478">
        <w:t xml:space="preserve">management </w:t>
      </w:r>
      <w:r w:rsidR="1EF62006">
        <w:t xml:space="preserve">categories: (0) </w:t>
      </w:r>
      <w:r w:rsidR="1FD55789">
        <w:t>u</w:t>
      </w:r>
      <w:r w:rsidR="1EF62006">
        <w:t>navailable, (</w:t>
      </w:r>
      <w:r w:rsidR="15FE8F50">
        <w:t>1</w:t>
      </w:r>
      <w:r w:rsidR="1EF62006">
        <w:t>-</w:t>
      </w:r>
      <w:r w:rsidR="007C3BD3">
        <w:t>1</w:t>
      </w:r>
      <w:r w:rsidR="478D8ABC">
        <w:t>6</w:t>
      </w:r>
      <w:r w:rsidR="1EF62006">
        <w:t xml:space="preserve">) </w:t>
      </w:r>
      <w:r w:rsidR="5C4F819A">
        <w:t>r</w:t>
      </w:r>
      <w:r w:rsidR="1EF62006">
        <w:t>estoration</w:t>
      </w:r>
      <w:r w:rsidR="1C85D567">
        <w:t xml:space="preserve">, </w:t>
      </w:r>
      <w:r w:rsidR="3FC7AB58">
        <w:t>(</w:t>
      </w:r>
      <w:r w:rsidR="007C3BD3">
        <w:t>17-28</w:t>
      </w:r>
      <w:r w:rsidR="3FC7AB58">
        <w:t xml:space="preserve">) </w:t>
      </w:r>
      <w:r w:rsidR="65DFAE28">
        <w:t>e</w:t>
      </w:r>
      <w:r w:rsidR="3FC7AB58">
        <w:t>nhancement, and (</w:t>
      </w:r>
      <w:r w:rsidR="007C3BD3">
        <w:t>29-32</w:t>
      </w:r>
      <w:r w:rsidR="3FC7AB58">
        <w:t xml:space="preserve">) maintenance. </w:t>
      </w:r>
      <w:r w:rsidR="4D354D86">
        <w:t xml:space="preserve">The index suggests lower scoring watersheds are in need restoration management actions, whereas higher scoring watersheds </w:t>
      </w:r>
      <w:proofErr w:type="gramStart"/>
      <w:r w:rsidR="4D354D86">
        <w:t>are in need of</w:t>
      </w:r>
      <w:proofErr w:type="gramEnd"/>
      <w:r w:rsidR="4D354D86">
        <w:t xml:space="preserve"> enhancement or maintenance actions. </w:t>
      </w:r>
    </w:p>
    <w:p w14:paraId="69BD3A4C" w14:textId="77777777" w:rsidR="007C3BD3" w:rsidRDefault="007C3BD3" w:rsidP="007C3BD3"/>
    <w:p w14:paraId="2D0381A5" w14:textId="1AC262B0" w:rsidR="0005020B" w:rsidRDefault="007C3BD3" w:rsidP="007C3BD3">
      <w:r>
        <w:rPr>
          <w:noProof/>
        </w:rPr>
        <w:drawing>
          <wp:inline distT="0" distB="0" distL="0" distR="0" wp14:anchorId="197143F3" wp14:editId="5DD8FF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5D3B" w14:textId="229836DC" w:rsidR="442A0D60" w:rsidRDefault="0005020B" w:rsidP="0005020B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Decision</w:t>
      </w:r>
      <w:r w:rsidR="0014096E">
        <w:t xml:space="preserve"> and Scoring</w:t>
      </w:r>
      <w:r>
        <w:t xml:space="preserve"> Framework for the </w:t>
      </w:r>
      <w:r w:rsidR="007C3BD3">
        <w:t>Big Rivers</w:t>
      </w:r>
      <w:r>
        <w:t xml:space="preserve"> Condition Index</w:t>
      </w:r>
    </w:p>
    <w:p w14:paraId="785C140E" w14:textId="593216E3" w:rsidR="104ADB29" w:rsidRDefault="104ADB29" w:rsidP="0BC65251">
      <w:pPr>
        <w:pStyle w:val="Heading2"/>
        <w:rPr>
          <w:rFonts w:eastAsiaTheme="minorEastAsia"/>
          <w:b/>
          <w:bCs/>
        </w:rPr>
      </w:pPr>
      <w:r w:rsidRPr="0BC65251">
        <w:rPr>
          <w:b/>
          <w:bCs/>
        </w:rPr>
        <w:lastRenderedPageBreak/>
        <w:t xml:space="preserve">What data </w:t>
      </w:r>
      <w:r w:rsidR="00A62208" w:rsidRPr="0BC65251">
        <w:rPr>
          <w:b/>
          <w:bCs/>
        </w:rPr>
        <w:t>are</w:t>
      </w:r>
      <w:r w:rsidRPr="0BC65251">
        <w:rPr>
          <w:b/>
          <w:bCs/>
        </w:rPr>
        <w:t xml:space="preserve"> being used to evaluate the </w:t>
      </w:r>
      <w:r w:rsidR="007A65AF" w:rsidRPr="0BC65251">
        <w:rPr>
          <w:b/>
          <w:bCs/>
        </w:rPr>
        <w:t>watershed indicators</w:t>
      </w:r>
      <w:r w:rsidRPr="0BC65251">
        <w:rPr>
          <w:b/>
          <w:bCs/>
        </w:rPr>
        <w:t>?</w:t>
      </w:r>
      <w:r w:rsidR="007A65AF" w:rsidRPr="0BC65251">
        <w:rPr>
          <w:b/>
          <w:bCs/>
        </w:rPr>
        <w:t xml:space="preserve"> What metrics were developed for the indicators?</w:t>
      </w:r>
    </w:p>
    <w:p w14:paraId="43930DE2" w14:textId="3920B23C" w:rsidR="00771AF1" w:rsidRDefault="104ADB29" w:rsidP="3CDFD89A">
      <w:r w:rsidRPr="3CDFD89A">
        <w:t xml:space="preserve">The </w:t>
      </w:r>
      <w:r w:rsidR="00F10FC4">
        <w:t>Big Rivers</w:t>
      </w:r>
      <w:r w:rsidRPr="3CDFD89A">
        <w:t xml:space="preserve"> Condition Index </w:t>
      </w:r>
      <w:r w:rsidR="004B150C">
        <w:t>uses</w:t>
      </w:r>
      <w:r w:rsidR="00C238C3">
        <w:t xml:space="preserve"> </w:t>
      </w:r>
      <w:r w:rsidR="00C238C3" w:rsidRPr="005147AC">
        <w:t xml:space="preserve">the </w:t>
      </w:r>
      <w:r w:rsidR="00CD3B17" w:rsidRPr="005147AC">
        <w:t xml:space="preserve">medium resolution National Hydrography Dataset </w:t>
      </w:r>
      <w:r w:rsidR="007B7211" w:rsidRPr="005147AC">
        <w:t xml:space="preserve">for identifying the stream and river segments </w:t>
      </w:r>
      <w:r w:rsidR="00CD3B17" w:rsidRPr="005147AC">
        <w:t xml:space="preserve">and the Watershed Boundary Dataset </w:t>
      </w:r>
      <w:r w:rsidR="00E154EA" w:rsidRPr="005147AC">
        <w:t xml:space="preserve">for the 12-digit HUC </w:t>
      </w:r>
      <w:r w:rsidR="00F41DF5" w:rsidRPr="005147AC">
        <w:t>watersheds</w:t>
      </w:r>
      <w:r w:rsidR="00E154EA">
        <w:t>.</w:t>
      </w:r>
      <w:r w:rsidR="00F41DF5">
        <w:t xml:space="preserve"> </w:t>
      </w:r>
      <w:r w:rsidR="00F304C2">
        <w:t xml:space="preserve">It analyzes </w:t>
      </w:r>
      <w:r w:rsidR="006C2210">
        <w:t xml:space="preserve">conditions within </w:t>
      </w:r>
      <w:r w:rsidR="00F304C2">
        <w:t>the watersheds using</w:t>
      </w:r>
      <w:r w:rsidR="004B150C">
        <w:t xml:space="preserve"> </w:t>
      </w:r>
      <w:r w:rsidR="00F10FC4">
        <w:t>six</w:t>
      </w:r>
      <w:r w:rsidRPr="3CDFD89A">
        <w:t xml:space="preserve"> datasets: </w:t>
      </w:r>
    </w:p>
    <w:p w14:paraId="63E054C5" w14:textId="3E0DEE44" w:rsidR="00F10FC4" w:rsidRDefault="378C22FC" w:rsidP="3FA12A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BC65251">
        <w:rPr>
          <w:b/>
          <w:bCs/>
        </w:rPr>
        <w:t xml:space="preserve">SE </w:t>
      </w:r>
      <w:r w:rsidR="00F10FC4" w:rsidRPr="0BC65251">
        <w:rPr>
          <w:b/>
          <w:bCs/>
        </w:rPr>
        <w:t>Inundation Frequency</w:t>
      </w:r>
      <w:r w:rsidR="5DFE788A">
        <w:t xml:space="preserve"> </w:t>
      </w:r>
      <w:r w:rsidR="33412456">
        <w:t>https://gcpolcc.databasin.org/datasets/0d0c5fb9d42f45d3a0a23872eda23543/</w:t>
      </w:r>
    </w:p>
    <w:p w14:paraId="314696D7" w14:textId="0CEF0CE1" w:rsidR="00F10FC4" w:rsidRDefault="5709DC75" w:rsidP="3FA12A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BC65251">
        <w:rPr>
          <w:b/>
          <w:bCs/>
        </w:rPr>
        <w:t xml:space="preserve">SE </w:t>
      </w:r>
      <w:r w:rsidR="00F10FC4" w:rsidRPr="0BC65251">
        <w:rPr>
          <w:b/>
          <w:bCs/>
        </w:rPr>
        <w:t>Floodplain Connectivity</w:t>
      </w:r>
      <w:r w:rsidR="03A5274F" w:rsidRPr="0BC65251">
        <w:rPr>
          <w:b/>
          <w:bCs/>
        </w:rPr>
        <w:t xml:space="preserve"> </w:t>
      </w:r>
      <w:r w:rsidR="03A5274F">
        <w:t>https://gcpolcc.databasin.org/maps/030c4e0d39324be687a9738f092c3731/</w:t>
      </w:r>
    </w:p>
    <w:p w14:paraId="1E121FB2" w14:textId="3EFEE3B7" w:rsidR="00F10FC4" w:rsidRDefault="00F10FC4" w:rsidP="3FA12A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BC65251">
        <w:rPr>
          <w:b/>
          <w:bCs/>
        </w:rPr>
        <w:t>National Inventory of Dams</w:t>
      </w:r>
      <w:r w:rsidR="758F39F0" w:rsidRPr="0BC65251">
        <w:rPr>
          <w:b/>
          <w:bCs/>
        </w:rPr>
        <w:t xml:space="preserve">  </w:t>
      </w:r>
      <w:r w:rsidR="758F39F0">
        <w:t xml:space="preserve">                                              https://www.arcgis.com/home/item.html?id=eb00145cf8af416babe7b6a7458f7966</w:t>
      </w:r>
    </w:p>
    <w:p w14:paraId="0A03335D" w14:textId="12583535" w:rsidR="00F10FC4" w:rsidRDefault="00F10FC4" w:rsidP="3FA12A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BC65251">
        <w:rPr>
          <w:b/>
          <w:bCs/>
        </w:rPr>
        <w:t>National Land Cover Data 201</w:t>
      </w:r>
      <w:r w:rsidR="0B760DA5" w:rsidRPr="0BC65251">
        <w:rPr>
          <w:b/>
          <w:bCs/>
        </w:rPr>
        <w:t>6</w:t>
      </w:r>
      <w:r w:rsidR="3C4FB73D" w:rsidRPr="0BC65251">
        <w:rPr>
          <w:b/>
          <w:bCs/>
        </w:rPr>
        <w:t xml:space="preserve"> </w:t>
      </w:r>
      <w:r w:rsidR="3C4FB73D">
        <w:t xml:space="preserve">                                                                       https://www.mrlc.gov/national-land-cover-database-nlcd-2016</w:t>
      </w:r>
    </w:p>
    <w:p w14:paraId="3AEEBDDC" w14:textId="6766942F" w:rsidR="00F10FC4" w:rsidRDefault="00F10FC4" w:rsidP="3FA12A70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 w:rsidRPr="0BC65251">
        <w:rPr>
          <w:b/>
          <w:bCs/>
        </w:rPr>
        <w:t>NHDPlus</w:t>
      </w:r>
      <w:proofErr w:type="spellEnd"/>
      <w:r w:rsidRPr="0BC65251">
        <w:rPr>
          <w:b/>
          <w:bCs/>
        </w:rPr>
        <w:t xml:space="preserve"> V2</w:t>
      </w:r>
      <w:r w:rsidR="34341F22" w:rsidRPr="0BC65251">
        <w:rPr>
          <w:b/>
          <w:bCs/>
        </w:rPr>
        <w:t xml:space="preserve">  </w:t>
      </w:r>
      <w:r w:rsidR="34341F22">
        <w:t xml:space="preserve">                                                                                            https://www.epa.gov/waterdata/nhdplus-national-hydrography-dataset-plus</w:t>
      </w:r>
    </w:p>
    <w:p w14:paraId="26DF062B" w14:textId="36B99EF1" w:rsidR="00F10FC4" w:rsidRDefault="00F10FC4" w:rsidP="3FA12A7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BC65251">
        <w:rPr>
          <w:b/>
          <w:bCs/>
        </w:rPr>
        <w:t>NA River Width Dataset</w:t>
      </w:r>
      <w:r w:rsidR="2537AF28">
        <w:t xml:space="preserve">                                                                   http://gaia.geosci.unc.edu/NARWidth/</w:t>
      </w:r>
    </w:p>
    <w:p w14:paraId="797EB659" w14:textId="2627610F" w:rsidR="104ADB29" w:rsidRDefault="4E4AE24F" w:rsidP="00771AF1">
      <w:r w:rsidRPr="3CDFD89A">
        <w:t xml:space="preserve">Further details on the datasets and how they were used can be found in </w:t>
      </w:r>
      <w:r w:rsidR="004B17B5">
        <w:t>Table 1.</w:t>
      </w:r>
    </w:p>
    <w:p w14:paraId="7E906DE8" w14:textId="7B1A1C80" w:rsidR="00A263E0" w:rsidRDefault="00A263E0" w:rsidP="00A263E0">
      <w:pPr>
        <w:pStyle w:val="Caption"/>
        <w:keepNext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Datasets used to evaluate watersheds for aquatic habitat condition.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88"/>
        <w:gridCol w:w="1677"/>
        <w:gridCol w:w="2004"/>
        <w:gridCol w:w="1519"/>
        <w:gridCol w:w="1867"/>
      </w:tblGrid>
      <w:tr w:rsidR="00F10FC4" w:rsidRPr="00F10FC4" w14:paraId="200DB440" w14:textId="77777777" w:rsidTr="00F10FC4">
        <w:trPr>
          <w:trHeight w:val="300"/>
        </w:trPr>
        <w:tc>
          <w:tcPr>
            <w:tcW w:w="2288" w:type="dxa"/>
            <w:hideMark/>
          </w:tcPr>
          <w:p w14:paraId="69210441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Indicator/Component </w:t>
            </w:r>
          </w:p>
        </w:tc>
        <w:tc>
          <w:tcPr>
            <w:tcW w:w="1677" w:type="dxa"/>
            <w:hideMark/>
          </w:tcPr>
          <w:p w14:paraId="32AD1B6A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2004" w:type="dxa"/>
            <w:hideMark/>
          </w:tcPr>
          <w:p w14:paraId="36018E45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Scale </w:t>
            </w:r>
          </w:p>
        </w:tc>
        <w:tc>
          <w:tcPr>
            <w:tcW w:w="1519" w:type="dxa"/>
            <w:hideMark/>
          </w:tcPr>
          <w:p w14:paraId="74BBC1F5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Target/Metric </w:t>
            </w:r>
          </w:p>
        </w:tc>
        <w:tc>
          <w:tcPr>
            <w:tcW w:w="1867" w:type="dxa"/>
            <w:hideMark/>
          </w:tcPr>
          <w:p w14:paraId="620CCC7D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Source </w:t>
            </w:r>
          </w:p>
        </w:tc>
      </w:tr>
      <w:tr w:rsidR="00F10FC4" w:rsidRPr="00F10FC4" w14:paraId="3EAB5DAD" w14:textId="77777777" w:rsidTr="00F10FC4">
        <w:trPr>
          <w:trHeight w:val="300"/>
        </w:trPr>
        <w:tc>
          <w:tcPr>
            <w:tcW w:w="2288" w:type="dxa"/>
            <w:hideMark/>
          </w:tcPr>
          <w:p w14:paraId="48C8B0C0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Habitat Diversity (Sandbars, Secondary Channels, Deep Water Refugia, </w:t>
            </w:r>
            <w:proofErr w:type="gramStart"/>
            <w:r w:rsidRPr="00F10FC4">
              <w:rPr>
                <w:rFonts w:ascii="Calibri" w:eastAsia="Times New Roman" w:hAnsi="Calibri" w:cs="Calibri"/>
              </w:rPr>
              <w:t>Seasonally-inundated</w:t>
            </w:r>
            <w:proofErr w:type="gramEnd"/>
            <w:r w:rsidRPr="00F10FC4">
              <w:rPr>
                <w:rFonts w:ascii="Calibri" w:eastAsia="Times New Roman" w:hAnsi="Calibri" w:cs="Calibri"/>
              </w:rPr>
              <w:t> floodplains) </w:t>
            </w:r>
          </w:p>
        </w:tc>
        <w:tc>
          <w:tcPr>
            <w:tcW w:w="1677" w:type="dxa"/>
            <w:hideMark/>
          </w:tcPr>
          <w:p w14:paraId="563183C0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Configuration </w:t>
            </w:r>
          </w:p>
        </w:tc>
        <w:tc>
          <w:tcPr>
            <w:tcW w:w="2004" w:type="dxa"/>
            <w:hideMark/>
          </w:tcPr>
          <w:p w14:paraId="449839F6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HUC12 </w:t>
            </w:r>
          </w:p>
        </w:tc>
        <w:tc>
          <w:tcPr>
            <w:tcW w:w="1519" w:type="dxa"/>
            <w:hideMark/>
          </w:tcPr>
          <w:p w14:paraId="1EF46AB6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Presence of all </w:t>
            </w:r>
          </w:p>
        </w:tc>
        <w:tc>
          <w:tcPr>
            <w:tcW w:w="1867" w:type="dxa"/>
            <w:hideMark/>
          </w:tcPr>
          <w:p w14:paraId="21AE8184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GCPO Inundation Frequency; GCPO Floodplain Connectivity </w:t>
            </w:r>
          </w:p>
        </w:tc>
      </w:tr>
      <w:tr w:rsidR="00F10FC4" w:rsidRPr="00F10FC4" w14:paraId="433A95CD" w14:textId="77777777" w:rsidTr="00F10FC4">
        <w:trPr>
          <w:trHeight w:val="300"/>
        </w:trPr>
        <w:tc>
          <w:tcPr>
            <w:tcW w:w="2288" w:type="dxa"/>
            <w:hideMark/>
          </w:tcPr>
          <w:p w14:paraId="4F357C94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Linear Connectivity </w:t>
            </w:r>
          </w:p>
        </w:tc>
        <w:tc>
          <w:tcPr>
            <w:tcW w:w="1677" w:type="dxa"/>
            <w:hideMark/>
          </w:tcPr>
          <w:p w14:paraId="51F92596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Configuration </w:t>
            </w:r>
          </w:p>
        </w:tc>
        <w:tc>
          <w:tcPr>
            <w:tcW w:w="2004" w:type="dxa"/>
            <w:hideMark/>
          </w:tcPr>
          <w:p w14:paraId="5E23D3F1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HUC12 </w:t>
            </w:r>
          </w:p>
        </w:tc>
        <w:tc>
          <w:tcPr>
            <w:tcW w:w="1519" w:type="dxa"/>
            <w:hideMark/>
          </w:tcPr>
          <w:p w14:paraId="1F86A656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No barriers to movement </w:t>
            </w:r>
          </w:p>
        </w:tc>
        <w:tc>
          <w:tcPr>
            <w:tcW w:w="1867" w:type="dxa"/>
            <w:hideMark/>
          </w:tcPr>
          <w:p w14:paraId="0BA7E64C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National Inventory of Dams </w:t>
            </w:r>
          </w:p>
        </w:tc>
      </w:tr>
      <w:tr w:rsidR="00F10FC4" w:rsidRPr="00F10FC4" w14:paraId="1A96C7C2" w14:textId="77777777" w:rsidTr="00F10FC4">
        <w:trPr>
          <w:trHeight w:val="300"/>
        </w:trPr>
        <w:tc>
          <w:tcPr>
            <w:tcW w:w="2288" w:type="dxa"/>
            <w:hideMark/>
          </w:tcPr>
          <w:p w14:paraId="3991A90C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Lateral Connectedness - Intermittent h2o </w:t>
            </w:r>
          </w:p>
        </w:tc>
        <w:tc>
          <w:tcPr>
            <w:tcW w:w="1677" w:type="dxa"/>
            <w:hideMark/>
          </w:tcPr>
          <w:p w14:paraId="240F0774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Condition </w:t>
            </w:r>
          </w:p>
        </w:tc>
        <w:tc>
          <w:tcPr>
            <w:tcW w:w="2004" w:type="dxa"/>
            <w:hideMark/>
          </w:tcPr>
          <w:p w14:paraId="6F9DBBAA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HUC12 </w:t>
            </w:r>
          </w:p>
        </w:tc>
        <w:tc>
          <w:tcPr>
            <w:tcW w:w="1519" w:type="dxa"/>
            <w:hideMark/>
          </w:tcPr>
          <w:p w14:paraId="11355063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&gt;8 of 13 categories present </w:t>
            </w:r>
          </w:p>
        </w:tc>
        <w:tc>
          <w:tcPr>
            <w:tcW w:w="1867" w:type="dxa"/>
            <w:hideMark/>
          </w:tcPr>
          <w:p w14:paraId="4559A188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GCPO Inundation Frequency </w:t>
            </w:r>
          </w:p>
        </w:tc>
      </w:tr>
      <w:tr w:rsidR="00F10FC4" w:rsidRPr="00F10FC4" w14:paraId="2CC0965F" w14:textId="77777777" w:rsidTr="00F10FC4">
        <w:trPr>
          <w:trHeight w:val="300"/>
        </w:trPr>
        <w:tc>
          <w:tcPr>
            <w:tcW w:w="2288" w:type="dxa"/>
            <w:hideMark/>
          </w:tcPr>
          <w:p w14:paraId="257A1FCA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Lateral Connectedness - Inundated open land </w:t>
            </w:r>
          </w:p>
        </w:tc>
        <w:tc>
          <w:tcPr>
            <w:tcW w:w="1677" w:type="dxa"/>
            <w:hideMark/>
          </w:tcPr>
          <w:p w14:paraId="592258B4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Condition </w:t>
            </w:r>
          </w:p>
        </w:tc>
        <w:tc>
          <w:tcPr>
            <w:tcW w:w="2004" w:type="dxa"/>
            <w:hideMark/>
          </w:tcPr>
          <w:p w14:paraId="15B1E6CE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HUC12 </w:t>
            </w:r>
          </w:p>
        </w:tc>
        <w:tc>
          <w:tcPr>
            <w:tcW w:w="1519" w:type="dxa"/>
            <w:hideMark/>
          </w:tcPr>
          <w:p w14:paraId="64F03883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&gt;7% of inundated area in HUC12 </w:t>
            </w:r>
          </w:p>
        </w:tc>
        <w:tc>
          <w:tcPr>
            <w:tcW w:w="1867" w:type="dxa"/>
            <w:hideMark/>
          </w:tcPr>
          <w:p w14:paraId="6EB4E4F6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GCPO Inundation Frequency and NLCD 2011 </w:t>
            </w:r>
          </w:p>
        </w:tc>
      </w:tr>
      <w:tr w:rsidR="00F10FC4" w:rsidRPr="00F10FC4" w14:paraId="33F127EB" w14:textId="77777777" w:rsidTr="00F10FC4">
        <w:trPr>
          <w:trHeight w:val="300"/>
        </w:trPr>
        <w:tc>
          <w:tcPr>
            <w:tcW w:w="2288" w:type="dxa"/>
            <w:hideMark/>
          </w:tcPr>
          <w:p w14:paraId="73558EA7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Lateral Connectedness - Permanent h2o </w:t>
            </w:r>
          </w:p>
        </w:tc>
        <w:tc>
          <w:tcPr>
            <w:tcW w:w="1677" w:type="dxa"/>
            <w:hideMark/>
          </w:tcPr>
          <w:p w14:paraId="344E9C32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Condition </w:t>
            </w:r>
          </w:p>
        </w:tc>
        <w:tc>
          <w:tcPr>
            <w:tcW w:w="2004" w:type="dxa"/>
            <w:hideMark/>
          </w:tcPr>
          <w:p w14:paraId="46CB09FF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HUC12 </w:t>
            </w:r>
          </w:p>
        </w:tc>
        <w:tc>
          <w:tcPr>
            <w:tcW w:w="1519" w:type="dxa"/>
            <w:hideMark/>
          </w:tcPr>
          <w:p w14:paraId="764B61B0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&gt;5 of 12 categories present </w:t>
            </w:r>
          </w:p>
        </w:tc>
        <w:tc>
          <w:tcPr>
            <w:tcW w:w="1867" w:type="dxa"/>
            <w:hideMark/>
          </w:tcPr>
          <w:p w14:paraId="44EF85E9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GCPO Inundation Frequency </w:t>
            </w:r>
          </w:p>
        </w:tc>
      </w:tr>
      <w:tr w:rsidR="00F10FC4" w:rsidRPr="00F10FC4" w14:paraId="5F2F875A" w14:textId="77777777" w:rsidTr="00F10FC4">
        <w:trPr>
          <w:trHeight w:val="300"/>
        </w:trPr>
        <w:tc>
          <w:tcPr>
            <w:tcW w:w="2288" w:type="dxa"/>
            <w:hideMark/>
          </w:tcPr>
          <w:p w14:paraId="459527E8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Sinuosity </w:t>
            </w:r>
          </w:p>
        </w:tc>
        <w:tc>
          <w:tcPr>
            <w:tcW w:w="1677" w:type="dxa"/>
            <w:hideMark/>
          </w:tcPr>
          <w:p w14:paraId="0628B857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Condition </w:t>
            </w:r>
          </w:p>
        </w:tc>
        <w:tc>
          <w:tcPr>
            <w:tcW w:w="2004" w:type="dxa"/>
            <w:hideMark/>
          </w:tcPr>
          <w:p w14:paraId="633498E7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HUC12 </w:t>
            </w:r>
          </w:p>
        </w:tc>
        <w:tc>
          <w:tcPr>
            <w:tcW w:w="1519" w:type="dxa"/>
            <w:hideMark/>
          </w:tcPr>
          <w:p w14:paraId="73DAB1B4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10FC4">
              <w:rPr>
                <w:rFonts w:ascii="Calibri" w:eastAsia="Times New Roman" w:hAnsi="Calibri" w:cs="Calibri"/>
              </w:rPr>
              <w:t>Good (&gt;1.2) </w:t>
            </w:r>
          </w:p>
        </w:tc>
        <w:tc>
          <w:tcPr>
            <w:tcW w:w="1867" w:type="dxa"/>
            <w:hideMark/>
          </w:tcPr>
          <w:p w14:paraId="27E033CA" w14:textId="77777777" w:rsidR="00F10FC4" w:rsidRPr="00F10FC4" w:rsidRDefault="00F10FC4" w:rsidP="00F10F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F10FC4">
              <w:rPr>
                <w:rFonts w:ascii="Calibri" w:eastAsia="Times New Roman" w:hAnsi="Calibri" w:cs="Calibri"/>
              </w:rPr>
              <w:t>NHDPlus</w:t>
            </w:r>
            <w:proofErr w:type="spellEnd"/>
            <w:r w:rsidRPr="00F10FC4">
              <w:rPr>
                <w:rFonts w:ascii="Calibri" w:eastAsia="Times New Roman" w:hAnsi="Calibri" w:cs="Calibri"/>
              </w:rPr>
              <w:t> V2 and NA River Width Dataset.   </w:t>
            </w:r>
          </w:p>
        </w:tc>
      </w:tr>
    </w:tbl>
    <w:p w14:paraId="238944B8" w14:textId="6C21B0B0" w:rsidR="6105506E" w:rsidRDefault="6105506E" w:rsidP="6105506E"/>
    <w:p w14:paraId="6A0A799B" w14:textId="23336B52" w:rsidR="045E365E" w:rsidRDefault="045E365E" w:rsidP="0BC65251">
      <w:pPr>
        <w:pStyle w:val="Heading2"/>
        <w:rPr>
          <w:b/>
          <w:bCs/>
        </w:rPr>
      </w:pPr>
      <w:r w:rsidRPr="0BC65251">
        <w:rPr>
          <w:b/>
          <w:bCs/>
        </w:rPr>
        <w:lastRenderedPageBreak/>
        <w:t>What does the final output look like?</w:t>
      </w:r>
    </w:p>
    <w:p w14:paraId="06A8F3CC" w14:textId="3D50DB68" w:rsidR="00F10FC4" w:rsidRPr="00F10FC4" w:rsidRDefault="00F10FC4" w:rsidP="00F10FC4">
      <w:r>
        <w:rPr>
          <w:noProof/>
        </w:rPr>
        <w:drawing>
          <wp:inline distT="0" distB="0" distL="0" distR="0" wp14:anchorId="61FDF34E" wp14:editId="06D04D41">
            <wp:extent cx="5844538" cy="45167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38" cy="45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1D4" w14:textId="2FC0BA06" w:rsidR="045E365E" w:rsidRDefault="2140B3D1" w:rsidP="3CDFD89A">
      <w:r>
        <w:t xml:space="preserve">The final output is a spatial dataset </w:t>
      </w:r>
      <w:r w:rsidR="21D07F65">
        <w:t xml:space="preserve">that classifies </w:t>
      </w:r>
      <w:r w:rsidR="21D07F65" w:rsidRPr="005147AC">
        <w:t>HUC-12 watersheds</w:t>
      </w:r>
      <w:r w:rsidR="21D07F65">
        <w:t xml:space="preserve"> based on their index </w:t>
      </w:r>
      <w:r w:rsidR="2CCB8060">
        <w:t>score</w:t>
      </w:r>
      <w:r>
        <w:t xml:space="preserve"> </w:t>
      </w:r>
      <w:r w:rsidR="479F8E1E">
        <w:t>of</w:t>
      </w:r>
      <w:r>
        <w:t xml:space="preserve"> unavailable, restore, enhance, or maintain. </w:t>
      </w:r>
    </w:p>
    <w:p w14:paraId="21D370AC" w14:textId="1850C331" w:rsidR="00543879" w:rsidRDefault="00543879" w:rsidP="005A503E">
      <w:pPr>
        <w:pStyle w:val="Heading2"/>
      </w:pPr>
      <w:r w:rsidRPr="0BC65251">
        <w:rPr>
          <w:b/>
          <w:bCs/>
        </w:rPr>
        <w:t>Cav</w:t>
      </w:r>
      <w:r w:rsidR="00956909" w:rsidRPr="0BC65251">
        <w:rPr>
          <w:b/>
          <w:bCs/>
        </w:rPr>
        <w:t>eats?</w:t>
      </w:r>
      <w:r>
        <w:tab/>
      </w:r>
    </w:p>
    <w:p w14:paraId="67BA89B1" w14:textId="431FCE3F" w:rsidR="00543879" w:rsidRDefault="00476EC9" w:rsidP="0003005F">
      <w:pPr>
        <w:pStyle w:val="ListParagraph"/>
        <w:numPr>
          <w:ilvl w:val="0"/>
          <w:numId w:val="6"/>
        </w:numPr>
      </w:pPr>
      <w:r>
        <w:t>Holes in</w:t>
      </w:r>
      <w:r w:rsidR="003867FA">
        <w:t xml:space="preserve"> the input</w:t>
      </w:r>
      <w:r>
        <w:t xml:space="preserve"> dataset</w:t>
      </w:r>
    </w:p>
    <w:p w14:paraId="21795E2E" w14:textId="04FECF43" w:rsidR="00476EC9" w:rsidRPr="00476EC9" w:rsidRDefault="0003005F" w:rsidP="0003005F">
      <w:pPr>
        <w:pStyle w:val="ListParagraph"/>
        <w:numPr>
          <w:ilvl w:val="0"/>
          <w:numId w:val="6"/>
        </w:numPr>
      </w:pPr>
      <w:r>
        <w:t>Metrics not included in the index</w:t>
      </w:r>
    </w:p>
    <w:p w14:paraId="4E2CEDB1" w14:textId="47962FF4" w:rsidR="045E365E" w:rsidRDefault="045E365E" w:rsidP="0BC65251">
      <w:pPr>
        <w:pStyle w:val="Heading2"/>
        <w:rPr>
          <w:b/>
          <w:bCs/>
        </w:rPr>
      </w:pPr>
      <w:r w:rsidRPr="0BC65251">
        <w:rPr>
          <w:b/>
          <w:bCs/>
        </w:rPr>
        <w:t>How is this tool being used?</w:t>
      </w:r>
      <w:r w:rsidR="5E84C313" w:rsidRPr="0BC65251">
        <w:rPr>
          <w:b/>
          <w:bCs/>
        </w:rPr>
        <w:t xml:space="preserve"> How can this tool be used?</w:t>
      </w:r>
    </w:p>
    <w:p w14:paraId="62C322F5" w14:textId="4A2AB6A4" w:rsidR="1906D2D4" w:rsidRDefault="1906D2D4" w:rsidP="3CDFD89A">
      <w:r w:rsidRPr="3CDFD89A">
        <w:t>The tool is being incorporated into the 2021 Middle Southeast Blueprint update. It will hel</w:t>
      </w:r>
      <w:r w:rsidR="09FF62C6" w:rsidRPr="3CDFD89A">
        <w:t>p guide development of the overall Southeast Blueprint</w:t>
      </w:r>
      <w:r w:rsidR="3EA2BA44" w:rsidRPr="3CDFD89A">
        <w:t>. The</w:t>
      </w:r>
      <w:r w:rsidR="09FF62C6" w:rsidRPr="3CDFD89A">
        <w:t xml:space="preserve"> goal of </w:t>
      </w:r>
      <w:r w:rsidR="1EB6843D" w:rsidRPr="3CDFD89A">
        <w:t xml:space="preserve">Southeast Blueprint is </w:t>
      </w:r>
      <w:r w:rsidR="09FF62C6" w:rsidRPr="3CDFD89A">
        <w:t>a connected network of lands and waters throughout the southeast which supports thriving fish and wildlife populations</w:t>
      </w:r>
      <w:r w:rsidR="6E786A23" w:rsidRPr="3CDFD89A">
        <w:t xml:space="preserve"> and improved quality of life for the people in the geography.</w:t>
      </w:r>
      <w:r w:rsidR="6ECC79B2" w:rsidRPr="3CDFD89A">
        <w:t xml:space="preserve"> This tool will help in identifying the </w:t>
      </w:r>
      <w:r w:rsidR="2931B907" w:rsidRPr="3CDFD89A">
        <w:t>connected network</w:t>
      </w:r>
      <w:r w:rsidR="6ECC79B2" w:rsidRPr="3CDFD89A">
        <w:t>.</w:t>
      </w:r>
    </w:p>
    <w:p w14:paraId="7C5704B4" w14:textId="42A591B7" w:rsidR="6E786A23" w:rsidRDefault="6E786A23" w:rsidP="3CDFD89A">
      <w:r w:rsidRPr="3CDFD89A">
        <w:t xml:space="preserve">This tool </w:t>
      </w:r>
      <w:r w:rsidR="7CD1A66D" w:rsidRPr="3CDFD89A">
        <w:t>was developed to help support management decisions as well</w:t>
      </w:r>
      <w:r w:rsidRPr="3CDFD89A">
        <w:t>. The tool can help prioritize resources</w:t>
      </w:r>
      <w:r w:rsidR="482E4EEF" w:rsidRPr="3CDFD89A">
        <w:t xml:space="preserve"> (funding, personnel, etc.)</w:t>
      </w:r>
      <w:r w:rsidRPr="3CDFD89A">
        <w:t xml:space="preserve"> </w:t>
      </w:r>
      <w:r w:rsidR="0C31C4D1" w:rsidRPr="3CDFD89A">
        <w:t>depending on the</w:t>
      </w:r>
      <w:r w:rsidRPr="3CDFD89A">
        <w:t xml:space="preserve"> </w:t>
      </w:r>
      <w:r w:rsidR="0C31C4D1" w:rsidRPr="3CDFD89A">
        <w:t xml:space="preserve">management </w:t>
      </w:r>
      <w:r w:rsidR="60F6582C" w:rsidRPr="3CDFD89A">
        <w:t xml:space="preserve">action desired- watershed restoration, enhancement, or maintenance. </w:t>
      </w:r>
      <w:r w:rsidR="650B83B5" w:rsidRPr="3CDFD89A">
        <w:t xml:space="preserve">Further, it can help identify larger regions which </w:t>
      </w:r>
      <w:r w:rsidR="01A31EAB" w:rsidRPr="3CDFD89A">
        <w:t>have potential to</w:t>
      </w:r>
      <w:r w:rsidR="650B83B5" w:rsidRPr="3CDFD89A">
        <w:t xml:space="preserve"> support aquatic species </w:t>
      </w:r>
      <w:r w:rsidR="3F9CBDCC" w:rsidRPr="3CDFD89A">
        <w:t>restoration efforts</w:t>
      </w:r>
      <w:r w:rsidR="650B83B5" w:rsidRPr="3CDFD89A">
        <w:t xml:space="preserve"> in the future</w:t>
      </w:r>
      <w:r w:rsidR="50C6E8CE" w:rsidRPr="3CDFD89A">
        <w:t xml:space="preserve">, ex: SCGN recovery efforts. </w:t>
      </w:r>
      <w:r w:rsidR="00F10FC4">
        <w:t>It can also be used in conjunction with the Streams and Rivers condition Index for a full picture of aquatic resources in the region.</w:t>
      </w:r>
    </w:p>
    <w:p w14:paraId="6FF5694A" w14:textId="52CD38FB" w:rsidR="104ADB29" w:rsidRDefault="104ADB29" w:rsidP="0BC65251">
      <w:pPr>
        <w:pStyle w:val="Heading2"/>
        <w:rPr>
          <w:rFonts w:eastAsiaTheme="minorEastAsia"/>
          <w:b/>
          <w:bCs/>
        </w:rPr>
      </w:pPr>
      <w:r w:rsidRPr="0BC65251">
        <w:rPr>
          <w:b/>
          <w:bCs/>
        </w:rPr>
        <w:lastRenderedPageBreak/>
        <w:t xml:space="preserve">Where does the </w:t>
      </w:r>
      <w:r w:rsidR="00F10FC4" w:rsidRPr="0BC65251">
        <w:rPr>
          <w:b/>
          <w:bCs/>
        </w:rPr>
        <w:t>Big Rivers</w:t>
      </w:r>
      <w:r w:rsidRPr="0BC65251">
        <w:rPr>
          <w:b/>
          <w:bCs/>
        </w:rPr>
        <w:t xml:space="preserve"> Condition Index fit in the 2021 Middle Southeast Blueprint?</w:t>
      </w:r>
    </w:p>
    <w:p w14:paraId="4F7D792E" w14:textId="18E0CAF6" w:rsidR="104ADB29" w:rsidRDefault="104ADB29" w:rsidP="3CDFD89A">
      <w:r w:rsidRPr="3CDFD89A">
        <w:t xml:space="preserve">Filed Under: </w:t>
      </w:r>
      <w:proofErr w:type="spellStart"/>
      <w:r w:rsidRPr="3CDFD89A">
        <w:t>Mid Southeast</w:t>
      </w:r>
      <w:proofErr w:type="spellEnd"/>
      <w:r w:rsidRPr="3CDFD89A">
        <w:t xml:space="preserve"> BP Update&gt; Aquatics </w:t>
      </w:r>
      <w:proofErr w:type="gramStart"/>
      <w:r w:rsidRPr="3CDFD89A">
        <w:t>&gt;  Habitat</w:t>
      </w:r>
      <w:proofErr w:type="gramEnd"/>
      <w:r w:rsidRPr="3CDFD89A">
        <w:t xml:space="preserve"> &gt; </w:t>
      </w:r>
      <w:r w:rsidR="00F10FC4">
        <w:t>Big</w:t>
      </w:r>
      <w:r w:rsidRPr="3CDFD89A">
        <w:t xml:space="preserve"> Rivers Condition Index</w:t>
      </w:r>
    </w:p>
    <w:p w14:paraId="45873506" w14:textId="50BD2E3C" w:rsidR="3CDFD89A" w:rsidRDefault="3CDFD89A"/>
    <w:p w14:paraId="207A1EB1" w14:textId="65262678" w:rsidR="4A046C92" w:rsidRDefault="4A046C92" w:rsidP="4A046C92"/>
    <w:p w14:paraId="7EB2F3BD" w14:textId="4DF83C6F" w:rsidR="27F8474A" w:rsidRDefault="27F8474A" w:rsidP="7291A793"/>
    <w:sectPr w:rsidR="27F8474A" w:rsidSect="008644D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57E1C"/>
    <w:multiLevelType w:val="hybridMultilevel"/>
    <w:tmpl w:val="EEC0F704"/>
    <w:lvl w:ilvl="0" w:tplc="58923D2A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11A"/>
    <w:multiLevelType w:val="hybridMultilevel"/>
    <w:tmpl w:val="502049AE"/>
    <w:lvl w:ilvl="0" w:tplc="E5F23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6E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43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80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6C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41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A1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00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E5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C0794"/>
    <w:multiLevelType w:val="hybridMultilevel"/>
    <w:tmpl w:val="FFFFFFFF"/>
    <w:lvl w:ilvl="0" w:tplc="DC34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0C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A2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66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62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EA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4F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A6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66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811"/>
    <w:multiLevelType w:val="hybridMultilevel"/>
    <w:tmpl w:val="91C0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A7FBA"/>
    <w:multiLevelType w:val="hybridMultilevel"/>
    <w:tmpl w:val="9A927EFE"/>
    <w:lvl w:ilvl="0" w:tplc="5882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44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8B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0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24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6F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E6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E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61F6"/>
    <w:multiLevelType w:val="hybridMultilevel"/>
    <w:tmpl w:val="FFFFFFFF"/>
    <w:lvl w:ilvl="0" w:tplc="E7484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CD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E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46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C2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EC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6F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EC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73CA9"/>
    <w:multiLevelType w:val="hybridMultilevel"/>
    <w:tmpl w:val="9A0A1A5A"/>
    <w:lvl w:ilvl="0" w:tplc="58923D2A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1AF6F"/>
    <w:rsid w:val="00004341"/>
    <w:rsid w:val="00005937"/>
    <w:rsid w:val="000129C3"/>
    <w:rsid w:val="00022DE0"/>
    <w:rsid w:val="0002636C"/>
    <w:rsid w:val="0003005F"/>
    <w:rsid w:val="00040D79"/>
    <w:rsid w:val="00046B7E"/>
    <w:rsid w:val="0005020B"/>
    <w:rsid w:val="00051814"/>
    <w:rsid w:val="000548B4"/>
    <w:rsid w:val="00066849"/>
    <w:rsid w:val="000716FD"/>
    <w:rsid w:val="00083567"/>
    <w:rsid w:val="00091985"/>
    <w:rsid w:val="00092626"/>
    <w:rsid w:val="000A4360"/>
    <w:rsid w:val="000A5AFF"/>
    <w:rsid w:val="000A6C90"/>
    <w:rsid w:val="000C3828"/>
    <w:rsid w:val="000D1E25"/>
    <w:rsid w:val="000D2B22"/>
    <w:rsid w:val="000F5CC2"/>
    <w:rsid w:val="00123E76"/>
    <w:rsid w:val="00125FEE"/>
    <w:rsid w:val="001319AB"/>
    <w:rsid w:val="0014096E"/>
    <w:rsid w:val="001B0001"/>
    <w:rsid w:val="001B0531"/>
    <w:rsid w:val="001B0BF0"/>
    <w:rsid w:val="001B6265"/>
    <w:rsid w:val="001E1E00"/>
    <w:rsid w:val="002033F3"/>
    <w:rsid w:val="002039B9"/>
    <w:rsid w:val="002347B8"/>
    <w:rsid w:val="00234B62"/>
    <w:rsid w:val="00237C1F"/>
    <w:rsid w:val="00244E28"/>
    <w:rsid w:val="00246C38"/>
    <w:rsid w:val="00256257"/>
    <w:rsid w:val="00256645"/>
    <w:rsid w:val="002610B5"/>
    <w:rsid w:val="002630C5"/>
    <w:rsid w:val="0026443B"/>
    <w:rsid w:val="00274C54"/>
    <w:rsid w:val="0028788E"/>
    <w:rsid w:val="002B3406"/>
    <w:rsid w:val="002B3FCA"/>
    <w:rsid w:val="002B6602"/>
    <w:rsid w:val="002C6AA2"/>
    <w:rsid w:val="002E01E7"/>
    <w:rsid w:val="002E1D27"/>
    <w:rsid w:val="002E5E34"/>
    <w:rsid w:val="002F3C85"/>
    <w:rsid w:val="002F594A"/>
    <w:rsid w:val="002F64CF"/>
    <w:rsid w:val="002F6511"/>
    <w:rsid w:val="003003A9"/>
    <w:rsid w:val="003042BD"/>
    <w:rsid w:val="003208DC"/>
    <w:rsid w:val="00321A13"/>
    <w:rsid w:val="00326923"/>
    <w:rsid w:val="00327B3C"/>
    <w:rsid w:val="00336EB6"/>
    <w:rsid w:val="00345DF3"/>
    <w:rsid w:val="003478D7"/>
    <w:rsid w:val="00352EC1"/>
    <w:rsid w:val="00380DBC"/>
    <w:rsid w:val="00381495"/>
    <w:rsid w:val="003843F3"/>
    <w:rsid w:val="003867FA"/>
    <w:rsid w:val="00393D32"/>
    <w:rsid w:val="00394357"/>
    <w:rsid w:val="00395637"/>
    <w:rsid w:val="003A16ED"/>
    <w:rsid w:val="003A4F52"/>
    <w:rsid w:val="003C66E0"/>
    <w:rsid w:val="003C7898"/>
    <w:rsid w:val="003E39A9"/>
    <w:rsid w:val="003F06C9"/>
    <w:rsid w:val="003F3C11"/>
    <w:rsid w:val="00400731"/>
    <w:rsid w:val="00401589"/>
    <w:rsid w:val="00401943"/>
    <w:rsid w:val="00404252"/>
    <w:rsid w:val="00405EF6"/>
    <w:rsid w:val="00414B87"/>
    <w:rsid w:val="00416630"/>
    <w:rsid w:val="004267C9"/>
    <w:rsid w:val="00444853"/>
    <w:rsid w:val="004554EC"/>
    <w:rsid w:val="00456807"/>
    <w:rsid w:val="0046012D"/>
    <w:rsid w:val="00476EC9"/>
    <w:rsid w:val="0047746E"/>
    <w:rsid w:val="004A3B8F"/>
    <w:rsid w:val="004A5066"/>
    <w:rsid w:val="004B150C"/>
    <w:rsid w:val="004B17B5"/>
    <w:rsid w:val="004C6649"/>
    <w:rsid w:val="004D04D0"/>
    <w:rsid w:val="004E5168"/>
    <w:rsid w:val="004E762D"/>
    <w:rsid w:val="00512CA0"/>
    <w:rsid w:val="005147AC"/>
    <w:rsid w:val="00514BA3"/>
    <w:rsid w:val="005156BE"/>
    <w:rsid w:val="0053191C"/>
    <w:rsid w:val="005357B9"/>
    <w:rsid w:val="00537700"/>
    <w:rsid w:val="00543879"/>
    <w:rsid w:val="00552F3C"/>
    <w:rsid w:val="0055362A"/>
    <w:rsid w:val="00554B8C"/>
    <w:rsid w:val="00557334"/>
    <w:rsid w:val="005643AD"/>
    <w:rsid w:val="005722A2"/>
    <w:rsid w:val="00574033"/>
    <w:rsid w:val="00581357"/>
    <w:rsid w:val="00582B59"/>
    <w:rsid w:val="005931C8"/>
    <w:rsid w:val="00597340"/>
    <w:rsid w:val="005A503E"/>
    <w:rsid w:val="005C0AC7"/>
    <w:rsid w:val="005C29A3"/>
    <w:rsid w:val="005C4F3D"/>
    <w:rsid w:val="005C6C57"/>
    <w:rsid w:val="005E2F12"/>
    <w:rsid w:val="005E35F3"/>
    <w:rsid w:val="00607F13"/>
    <w:rsid w:val="00624571"/>
    <w:rsid w:val="006463AD"/>
    <w:rsid w:val="0065478F"/>
    <w:rsid w:val="0066198F"/>
    <w:rsid w:val="00665648"/>
    <w:rsid w:val="0067723B"/>
    <w:rsid w:val="0068308E"/>
    <w:rsid w:val="00692519"/>
    <w:rsid w:val="006A38BA"/>
    <w:rsid w:val="006A5884"/>
    <w:rsid w:val="006B00E5"/>
    <w:rsid w:val="006C1FC7"/>
    <w:rsid w:val="006C2210"/>
    <w:rsid w:val="006D3DC8"/>
    <w:rsid w:val="006E2A3D"/>
    <w:rsid w:val="006E49A3"/>
    <w:rsid w:val="006F18E5"/>
    <w:rsid w:val="006F7622"/>
    <w:rsid w:val="00706234"/>
    <w:rsid w:val="00710FCB"/>
    <w:rsid w:val="00734C30"/>
    <w:rsid w:val="00737A7F"/>
    <w:rsid w:val="00741924"/>
    <w:rsid w:val="007517C7"/>
    <w:rsid w:val="007625D0"/>
    <w:rsid w:val="00771AF1"/>
    <w:rsid w:val="00777255"/>
    <w:rsid w:val="00783CE4"/>
    <w:rsid w:val="00785E81"/>
    <w:rsid w:val="0079290C"/>
    <w:rsid w:val="00797B47"/>
    <w:rsid w:val="0079C38C"/>
    <w:rsid w:val="007A3A13"/>
    <w:rsid w:val="007A65AF"/>
    <w:rsid w:val="007A692A"/>
    <w:rsid w:val="007B7211"/>
    <w:rsid w:val="007C28F9"/>
    <w:rsid w:val="007C3BD3"/>
    <w:rsid w:val="007D116D"/>
    <w:rsid w:val="007D2437"/>
    <w:rsid w:val="007E127A"/>
    <w:rsid w:val="007E77E1"/>
    <w:rsid w:val="007F3400"/>
    <w:rsid w:val="007F3D6E"/>
    <w:rsid w:val="008052BD"/>
    <w:rsid w:val="0081493C"/>
    <w:rsid w:val="00821E39"/>
    <w:rsid w:val="00822BC0"/>
    <w:rsid w:val="008323B7"/>
    <w:rsid w:val="00857106"/>
    <w:rsid w:val="00857F0B"/>
    <w:rsid w:val="008644D5"/>
    <w:rsid w:val="0087031F"/>
    <w:rsid w:val="00883F52"/>
    <w:rsid w:val="0089251E"/>
    <w:rsid w:val="00895CF6"/>
    <w:rsid w:val="008C5973"/>
    <w:rsid w:val="008F0456"/>
    <w:rsid w:val="00906611"/>
    <w:rsid w:val="00914096"/>
    <w:rsid w:val="00914390"/>
    <w:rsid w:val="00914598"/>
    <w:rsid w:val="0092019B"/>
    <w:rsid w:val="00920887"/>
    <w:rsid w:val="009478A7"/>
    <w:rsid w:val="009517C2"/>
    <w:rsid w:val="00956909"/>
    <w:rsid w:val="009613EA"/>
    <w:rsid w:val="009B1803"/>
    <w:rsid w:val="009B3F79"/>
    <w:rsid w:val="009B7349"/>
    <w:rsid w:val="009C764B"/>
    <w:rsid w:val="009E23E9"/>
    <w:rsid w:val="009E4149"/>
    <w:rsid w:val="009E43DD"/>
    <w:rsid w:val="009E4AB9"/>
    <w:rsid w:val="009F3EC4"/>
    <w:rsid w:val="00A240E2"/>
    <w:rsid w:val="00A263E0"/>
    <w:rsid w:val="00A427E2"/>
    <w:rsid w:val="00A514F1"/>
    <w:rsid w:val="00A52555"/>
    <w:rsid w:val="00A52A7C"/>
    <w:rsid w:val="00A5461D"/>
    <w:rsid w:val="00A62208"/>
    <w:rsid w:val="00A63C83"/>
    <w:rsid w:val="00A7354B"/>
    <w:rsid w:val="00A73C0E"/>
    <w:rsid w:val="00A73FB7"/>
    <w:rsid w:val="00A776E6"/>
    <w:rsid w:val="00A90C93"/>
    <w:rsid w:val="00A96767"/>
    <w:rsid w:val="00A9714E"/>
    <w:rsid w:val="00AA5A37"/>
    <w:rsid w:val="00AB3D58"/>
    <w:rsid w:val="00AD3625"/>
    <w:rsid w:val="00AD3BD2"/>
    <w:rsid w:val="00AE1369"/>
    <w:rsid w:val="00AE3DB8"/>
    <w:rsid w:val="00AF1010"/>
    <w:rsid w:val="00B005BE"/>
    <w:rsid w:val="00B010C9"/>
    <w:rsid w:val="00B16CF4"/>
    <w:rsid w:val="00B210DE"/>
    <w:rsid w:val="00B21A5A"/>
    <w:rsid w:val="00B35BC6"/>
    <w:rsid w:val="00B43C04"/>
    <w:rsid w:val="00B474BB"/>
    <w:rsid w:val="00B4771D"/>
    <w:rsid w:val="00B56867"/>
    <w:rsid w:val="00B56EA4"/>
    <w:rsid w:val="00B669CA"/>
    <w:rsid w:val="00B82743"/>
    <w:rsid w:val="00B9441E"/>
    <w:rsid w:val="00BA0FE6"/>
    <w:rsid w:val="00BA4046"/>
    <w:rsid w:val="00BB74F7"/>
    <w:rsid w:val="00BC3191"/>
    <w:rsid w:val="00BD6FE8"/>
    <w:rsid w:val="00BE395B"/>
    <w:rsid w:val="00C01745"/>
    <w:rsid w:val="00C238C3"/>
    <w:rsid w:val="00C37839"/>
    <w:rsid w:val="00C44DC9"/>
    <w:rsid w:val="00C45480"/>
    <w:rsid w:val="00C75833"/>
    <w:rsid w:val="00C83816"/>
    <w:rsid w:val="00C83C89"/>
    <w:rsid w:val="00C9210F"/>
    <w:rsid w:val="00CA5284"/>
    <w:rsid w:val="00CB7751"/>
    <w:rsid w:val="00CC270A"/>
    <w:rsid w:val="00CC465B"/>
    <w:rsid w:val="00CD3B17"/>
    <w:rsid w:val="00D05010"/>
    <w:rsid w:val="00D13DB5"/>
    <w:rsid w:val="00D16EBD"/>
    <w:rsid w:val="00D17A5B"/>
    <w:rsid w:val="00D21491"/>
    <w:rsid w:val="00D24023"/>
    <w:rsid w:val="00D24D9A"/>
    <w:rsid w:val="00D263E9"/>
    <w:rsid w:val="00D43EAC"/>
    <w:rsid w:val="00D65901"/>
    <w:rsid w:val="00D80220"/>
    <w:rsid w:val="00D84DA9"/>
    <w:rsid w:val="00D97EE5"/>
    <w:rsid w:val="00DC665F"/>
    <w:rsid w:val="00DD2A18"/>
    <w:rsid w:val="00DD32BA"/>
    <w:rsid w:val="00DD39F0"/>
    <w:rsid w:val="00DD6750"/>
    <w:rsid w:val="00DE7C40"/>
    <w:rsid w:val="00E03CD6"/>
    <w:rsid w:val="00E04683"/>
    <w:rsid w:val="00E07D91"/>
    <w:rsid w:val="00E154EA"/>
    <w:rsid w:val="00E163B9"/>
    <w:rsid w:val="00E16E39"/>
    <w:rsid w:val="00E32F31"/>
    <w:rsid w:val="00E340EF"/>
    <w:rsid w:val="00E43C0E"/>
    <w:rsid w:val="00E452EA"/>
    <w:rsid w:val="00E52C62"/>
    <w:rsid w:val="00E55FBC"/>
    <w:rsid w:val="00E70244"/>
    <w:rsid w:val="00E76B18"/>
    <w:rsid w:val="00E77197"/>
    <w:rsid w:val="00E80D57"/>
    <w:rsid w:val="00E80F7D"/>
    <w:rsid w:val="00E82448"/>
    <w:rsid w:val="00E87752"/>
    <w:rsid w:val="00E938D3"/>
    <w:rsid w:val="00E97CB6"/>
    <w:rsid w:val="00EB01B3"/>
    <w:rsid w:val="00EB316C"/>
    <w:rsid w:val="00EE0BE4"/>
    <w:rsid w:val="00EE14F4"/>
    <w:rsid w:val="00EE51E8"/>
    <w:rsid w:val="00EF46F8"/>
    <w:rsid w:val="00EF4B0D"/>
    <w:rsid w:val="00F10FC4"/>
    <w:rsid w:val="00F16F15"/>
    <w:rsid w:val="00F23298"/>
    <w:rsid w:val="00F26E4F"/>
    <w:rsid w:val="00F304C2"/>
    <w:rsid w:val="00F3431B"/>
    <w:rsid w:val="00F40C9A"/>
    <w:rsid w:val="00F41DF5"/>
    <w:rsid w:val="00F4624A"/>
    <w:rsid w:val="00F65E3D"/>
    <w:rsid w:val="00F751AA"/>
    <w:rsid w:val="00F847A6"/>
    <w:rsid w:val="00F90B58"/>
    <w:rsid w:val="00F945E2"/>
    <w:rsid w:val="00FB07F7"/>
    <w:rsid w:val="00FB68CA"/>
    <w:rsid w:val="01019F0A"/>
    <w:rsid w:val="01392FF3"/>
    <w:rsid w:val="013CFBC7"/>
    <w:rsid w:val="0155C7F4"/>
    <w:rsid w:val="016A452F"/>
    <w:rsid w:val="01A31EAB"/>
    <w:rsid w:val="01BAB579"/>
    <w:rsid w:val="02629111"/>
    <w:rsid w:val="02716370"/>
    <w:rsid w:val="02D15E54"/>
    <w:rsid w:val="03A5274F"/>
    <w:rsid w:val="03DA3843"/>
    <w:rsid w:val="043A9AA1"/>
    <w:rsid w:val="044A48CD"/>
    <w:rsid w:val="045E365E"/>
    <w:rsid w:val="04D85722"/>
    <w:rsid w:val="05205D84"/>
    <w:rsid w:val="05295563"/>
    <w:rsid w:val="052B8553"/>
    <w:rsid w:val="05BFE037"/>
    <w:rsid w:val="05C02176"/>
    <w:rsid w:val="05FF7AEF"/>
    <w:rsid w:val="06087C60"/>
    <w:rsid w:val="062BF611"/>
    <w:rsid w:val="06BBCFEA"/>
    <w:rsid w:val="07338534"/>
    <w:rsid w:val="077F664E"/>
    <w:rsid w:val="07B78E72"/>
    <w:rsid w:val="0809B0F0"/>
    <w:rsid w:val="083F1AA1"/>
    <w:rsid w:val="08B2A46B"/>
    <w:rsid w:val="0972F48E"/>
    <w:rsid w:val="09FF62C6"/>
    <w:rsid w:val="0A064E01"/>
    <w:rsid w:val="0A0F4609"/>
    <w:rsid w:val="0A2C5ABD"/>
    <w:rsid w:val="0A31B574"/>
    <w:rsid w:val="0A9402A5"/>
    <w:rsid w:val="0B3761CF"/>
    <w:rsid w:val="0B715FC2"/>
    <w:rsid w:val="0B760DA5"/>
    <w:rsid w:val="0B79D4E1"/>
    <w:rsid w:val="0BBD83F2"/>
    <w:rsid w:val="0BC65251"/>
    <w:rsid w:val="0BF04AFA"/>
    <w:rsid w:val="0C31C4D1"/>
    <w:rsid w:val="0C6D9C20"/>
    <w:rsid w:val="0C78B30B"/>
    <w:rsid w:val="0CCEC55D"/>
    <w:rsid w:val="0D7143BC"/>
    <w:rsid w:val="0D921B9B"/>
    <w:rsid w:val="0DBC4154"/>
    <w:rsid w:val="0DEBF968"/>
    <w:rsid w:val="0E72DC66"/>
    <w:rsid w:val="0EAEDB28"/>
    <w:rsid w:val="0EC701CB"/>
    <w:rsid w:val="0EFE035A"/>
    <w:rsid w:val="0F25FE39"/>
    <w:rsid w:val="0F291CB6"/>
    <w:rsid w:val="0F3EEF85"/>
    <w:rsid w:val="0F4D92E5"/>
    <w:rsid w:val="0FB00117"/>
    <w:rsid w:val="0FCF58E7"/>
    <w:rsid w:val="1024CA2A"/>
    <w:rsid w:val="1048A7B8"/>
    <w:rsid w:val="104ADB29"/>
    <w:rsid w:val="10F39F00"/>
    <w:rsid w:val="119B88EF"/>
    <w:rsid w:val="11F5C5F0"/>
    <w:rsid w:val="1208486E"/>
    <w:rsid w:val="124453C6"/>
    <w:rsid w:val="125D4B44"/>
    <w:rsid w:val="12D9266D"/>
    <w:rsid w:val="132C4E43"/>
    <w:rsid w:val="14F4FDF4"/>
    <w:rsid w:val="15FE8F50"/>
    <w:rsid w:val="1606DE82"/>
    <w:rsid w:val="1620277C"/>
    <w:rsid w:val="16828C8A"/>
    <w:rsid w:val="16A6AE65"/>
    <w:rsid w:val="16C17371"/>
    <w:rsid w:val="16DEF6EA"/>
    <w:rsid w:val="1706BEAC"/>
    <w:rsid w:val="172ADE45"/>
    <w:rsid w:val="1799AB88"/>
    <w:rsid w:val="179A7158"/>
    <w:rsid w:val="17B5A881"/>
    <w:rsid w:val="17F0AE12"/>
    <w:rsid w:val="1801D6B9"/>
    <w:rsid w:val="18134F9F"/>
    <w:rsid w:val="18324C08"/>
    <w:rsid w:val="18F367D7"/>
    <w:rsid w:val="1906D2D4"/>
    <w:rsid w:val="19349C70"/>
    <w:rsid w:val="1940E199"/>
    <w:rsid w:val="19998F82"/>
    <w:rsid w:val="19F3B082"/>
    <w:rsid w:val="1A315E57"/>
    <w:rsid w:val="1A4BED7A"/>
    <w:rsid w:val="1A5FDE68"/>
    <w:rsid w:val="1A6D1E29"/>
    <w:rsid w:val="1A7AC075"/>
    <w:rsid w:val="1A7C3349"/>
    <w:rsid w:val="1AB21761"/>
    <w:rsid w:val="1ADFED7A"/>
    <w:rsid w:val="1AE21C36"/>
    <w:rsid w:val="1AE34CF1"/>
    <w:rsid w:val="1B25AAD5"/>
    <w:rsid w:val="1B36417A"/>
    <w:rsid w:val="1B6C1078"/>
    <w:rsid w:val="1BAD5C12"/>
    <w:rsid w:val="1BE87645"/>
    <w:rsid w:val="1C62BE9E"/>
    <w:rsid w:val="1C81298A"/>
    <w:rsid w:val="1C85D567"/>
    <w:rsid w:val="1CE922EE"/>
    <w:rsid w:val="1D044951"/>
    <w:rsid w:val="1D3360CF"/>
    <w:rsid w:val="1D48F83F"/>
    <w:rsid w:val="1D572C79"/>
    <w:rsid w:val="1D876786"/>
    <w:rsid w:val="1DBC2638"/>
    <w:rsid w:val="1DC117EB"/>
    <w:rsid w:val="1DE367B0"/>
    <w:rsid w:val="1E0628DE"/>
    <w:rsid w:val="1E426DAD"/>
    <w:rsid w:val="1EB6843D"/>
    <w:rsid w:val="1EF62006"/>
    <w:rsid w:val="1FA688E9"/>
    <w:rsid w:val="1FA8AA66"/>
    <w:rsid w:val="1FD55789"/>
    <w:rsid w:val="1FFC89E4"/>
    <w:rsid w:val="200A0FE7"/>
    <w:rsid w:val="206452CA"/>
    <w:rsid w:val="207BC970"/>
    <w:rsid w:val="20B55678"/>
    <w:rsid w:val="21282B41"/>
    <w:rsid w:val="2140B3D1"/>
    <w:rsid w:val="2141539E"/>
    <w:rsid w:val="21689322"/>
    <w:rsid w:val="218E2FA5"/>
    <w:rsid w:val="21937DDE"/>
    <w:rsid w:val="21C646DF"/>
    <w:rsid w:val="21D07F65"/>
    <w:rsid w:val="21E819B8"/>
    <w:rsid w:val="21F6C510"/>
    <w:rsid w:val="22262F1E"/>
    <w:rsid w:val="222A616A"/>
    <w:rsid w:val="225126D9"/>
    <w:rsid w:val="2251AF92"/>
    <w:rsid w:val="2287CA16"/>
    <w:rsid w:val="22895397"/>
    <w:rsid w:val="22C32954"/>
    <w:rsid w:val="22D53679"/>
    <w:rsid w:val="239A82F7"/>
    <w:rsid w:val="23EFCEE9"/>
    <w:rsid w:val="245FCC03"/>
    <w:rsid w:val="24641164"/>
    <w:rsid w:val="2484643F"/>
    <w:rsid w:val="2485E349"/>
    <w:rsid w:val="2486EFDC"/>
    <w:rsid w:val="2518E6EB"/>
    <w:rsid w:val="252E65D2"/>
    <w:rsid w:val="2537AF28"/>
    <w:rsid w:val="25932F83"/>
    <w:rsid w:val="25F0AD19"/>
    <w:rsid w:val="26629047"/>
    <w:rsid w:val="2671D3EA"/>
    <w:rsid w:val="2672F8D8"/>
    <w:rsid w:val="2676216B"/>
    <w:rsid w:val="2688E7BF"/>
    <w:rsid w:val="2689F661"/>
    <w:rsid w:val="2693C485"/>
    <w:rsid w:val="269DD6A4"/>
    <w:rsid w:val="26D3D2FB"/>
    <w:rsid w:val="26D5FA8C"/>
    <w:rsid w:val="27053CC6"/>
    <w:rsid w:val="27149452"/>
    <w:rsid w:val="275918BD"/>
    <w:rsid w:val="27774DDD"/>
    <w:rsid w:val="2791B460"/>
    <w:rsid w:val="27976CC5"/>
    <w:rsid w:val="27B09522"/>
    <w:rsid w:val="27E0506B"/>
    <w:rsid w:val="27EE1DD6"/>
    <w:rsid w:val="27F7B006"/>
    <w:rsid w:val="27F8474A"/>
    <w:rsid w:val="2872944C"/>
    <w:rsid w:val="28BA36F8"/>
    <w:rsid w:val="28F3BDB0"/>
    <w:rsid w:val="2931B907"/>
    <w:rsid w:val="294A617F"/>
    <w:rsid w:val="298170AF"/>
    <w:rsid w:val="29AE8879"/>
    <w:rsid w:val="2A225FF8"/>
    <w:rsid w:val="2A289123"/>
    <w:rsid w:val="2A383AF0"/>
    <w:rsid w:val="2A6F06FD"/>
    <w:rsid w:val="2B07560C"/>
    <w:rsid w:val="2B3E1A61"/>
    <w:rsid w:val="2B8250C8"/>
    <w:rsid w:val="2BFBBD50"/>
    <w:rsid w:val="2C1900FE"/>
    <w:rsid w:val="2C1996AF"/>
    <w:rsid w:val="2C58F3FA"/>
    <w:rsid w:val="2CCB8060"/>
    <w:rsid w:val="2CEF78DD"/>
    <w:rsid w:val="2D208B9B"/>
    <w:rsid w:val="2D45CF6F"/>
    <w:rsid w:val="2D65FA67"/>
    <w:rsid w:val="2D6FE02B"/>
    <w:rsid w:val="2D7D3FB6"/>
    <w:rsid w:val="2D8F7E84"/>
    <w:rsid w:val="2DA45DA4"/>
    <w:rsid w:val="2DA6E3F3"/>
    <w:rsid w:val="2DBBC786"/>
    <w:rsid w:val="2DC82AF2"/>
    <w:rsid w:val="2DFB73E4"/>
    <w:rsid w:val="2EAB2CB8"/>
    <w:rsid w:val="2F068EB0"/>
    <w:rsid w:val="2FC712CD"/>
    <w:rsid w:val="2FD0BA32"/>
    <w:rsid w:val="3008C7C0"/>
    <w:rsid w:val="3012ADAE"/>
    <w:rsid w:val="302C6A26"/>
    <w:rsid w:val="302DD4BC"/>
    <w:rsid w:val="308E5890"/>
    <w:rsid w:val="30A6EE27"/>
    <w:rsid w:val="3103EB59"/>
    <w:rsid w:val="313E4F0B"/>
    <w:rsid w:val="319D1BD0"/>
    <w:rsid w:val="31C27EEB"/>
    <w:rsid w:val="31F0B627"/>
    <w:rsid w:val="323D843F"/>
    <w:rsid w:val="32961802"/>
    <w:rsid w:val="32A7B916"/>
    <w:rsid w:val="32B53988"/>
    <w:rsid w:val="32B88993"/>
    <w:rsid w:val="32E20CF2"/>
    <w:rsid w:val="3309889D"/>
    <w:rsid w:val="33412456"/>
    <w:rsid w:val="33521EB1"/>
    <w:rsid w:val="33CC3D16"/>
    <w:rsid w:val="34341F22"/>
    <w:rsid w:val="3463CE63"/>
    <w:rsid w:val="34ED45DF"/>
    <w:rsid w:val="3526EB59"/>
    <w:rsid w:val="35FEC750"/>
    <w:rsid w:val="3611C02E"/>
    <w:rsid w:val="36941A3B"/>
    <w:rsid w:val="36AC1CB7"/>
    <w:rsid w:val="36B35DEC"/>
    <w:rsid w:val="36BD5EE5"/>
    <w:rsid w:val="378C22FC"/>
    <w:rsid w:val="379B8133"/>
    <w:rsid w:val="37E0DAF1"/>
    <w:rsid w:val="381D12C5"/>
    <w:rsid w:val="3823C96C"/>
    <w:rsid w:val="3890EA54"/>
    <w:rsid w:val="38DE4CF3"/>
    <w:rsid w:val="38E8F700"/>
    <w:rsid w:val="391BE69A"/>
    <w:rsid w:val="39FA5C7C"/>
    <w:rsid w:val="3A6E8190"/>
    <w:rsid w:val="3AE07AB8"/>
    <w:rsid w:val="3AE53151"/>
    <w:rsid w:val="3AF63ECB"/>
    <w:rsid w:val="3B56A8EE"/>
    <w:rsid w:val="3B6F167F"/>
    <w:rsid w:val="3BED7B85"/>
    <w:rsid w:val="3C183951"/>
    <w:rsid w:val="3C261D84"/>
    <w:rsid w:val="3C4188EA"/>
    <w:rsid w:val="3C4FB73D"/>
    <w:rsid w:val="3C58C51B"/>
    <w:rsid w:val="3C6FC6DB"/>
    <w:rsid w:val="3C9A2A0F"/>
    <w:rsid w:val="3CDDF687"/>
    <w:rsid w:val="3CDFD89A"/>
    <w:rsid w:val="3D6532AF"/>
    <w:rsid w:val="3D7E9AEE"/>
    <w:rsid w:val="3D8BB753"/>
    <w:rsid w:val="3DC727CF"/>
    <w:rsid w:val="3DC87E32"/>
    <w:rsid w:val="3E2468D6"/>
    <w:rsid w:val="3E63BA68"/>
    <w:rsid w:val="3E7738C4"/>
    <w:rsid w:val="3E79C6E8"/>
    <w:rsid w:val="3E8A0E1D"/>
    <w:rsid w:val="3EA2BA44"/>
    <w:rsid w:val="3EBCF52C"/>
    <w:rsid w:val="3ED5B904"/>
    <w:rsid w:val="3F36FD05"/>
    <w:rsid w:val="3F50FCE7"/>
    <w:rsid w:val="3F6AB61C"/>
    <w:rsid w:val="3F9CBDCC"/>
    <w:rsid w:val="3FA12A70"/>
    <w:rsid w:val="3FB18371"/>
    <w:rsid w:val="3FB3F937"/>
    <w:rsid w:val="3FC08FFA"/>
    <w:rsid w:val="3FC7AB58"/>
    <w:rsid w:val="3FDAAA39"/>
    <w:rsid w:val="3FF5C431"/>
    <w:rsid w:val="400C0D1C"/>
    <w:rsid w:val="404E10D2"/>
    <w:rsid w:val="40B4A5E0"/>
    <w:rsid w:val="40DD1FA5"/>
    <w:rsid w:val="4130428A"/>
    <w:rsid w:val="4133E3A9"/>
    <w:rsid w:val="41507722"/>
    <w:rsid w:val="4162641F"/>
    <w:rsid w:val="4185D9C3"/>
    <w:rsid w:val="421FA25E"/>
    <w:rsid w:val="424A1356"/>
    <w:rsid w:val="42861412"/>
    <w:rsid w:val="429EE6D9"/>
    <w:rsid w:val="42E4DB2C"/>
    <w:rsid w:val="43031B8F"/>
    <w:rsid w:val="43058932"/>
    <w:rsid w:val="434CA98C"/>
    <w:rsid w:val="4387CD02"/>
    <w:rsid w:val="439C6757"/>
    <w:rsid w:val="43E40AA2"/>
    <w:rsid w:val="43EF0D9F"/>
    <w:rsid w:val="43FB6DA6"/>
    <w:rsid w:val="43FD2E86"/>
    <w:rsid w:val="442A0D60"/>
    <w:rsid w:val="443C5569"/>
    <w:rsid w:val="448FD3DD"/>
    <w:rsid w:val="44C90C49"/>
    <w:rsid w:val="45580173"/>
    <w:rsid w:val="455A1DE5"/>
    <w:rsid w:val="45AFED70"/>
    <w:rsid w:val="464554DE"/>
    <w:rsid w:val="465E6ADB"/>
    <w:rsid w:val="4678D798"/>
    <w:rsid w:val="469159D5"/>
    <w:rsid w:val="46B0185B"/>
    <w:rsid w:val="46CC42CC"/>
    <w:rsid w:val="46F094A0"/>
    <w:rsid w:val="4734CF48"/>
    <w:rsid w:val="478D8ABC"/>
    <w:rsid w:val="4793CFF2"/>
    <w:rsid w:val="479F8E1E"/>
    <w:rsid w:val="482E4EEF"/>
    <w:rsid w:val="4874C622"/>
    <w:rsid w:val="48A576A5"/>
    <w:rsid w:val="48A76EE3"/>
    <w:rsid w:val="48DF21D6"/>
    <w:rsid w:val="48E9DE83"/>
    <w:rsid w:val="4902E300"/>
    <w:rsid w:val="490536C9"/>
    <w:rsid w:val="494E49E3"/>
    <w:rsid w:val="49CFF4A5"/>
    <w:rsid w:val="49F2C852"/>
    <w:rsid w:val="4A046C92"/>
    <w:rsid w:val="4A1631C6"/>
    <w:rsid w:val="4A2C4E57"/>
    <w:rsid w:val="4A7AB3C1"/>
    <w:rsid w:val="4ACD86AF"/>
    <w:rsid w:val="4AF37E91"/>
    <w:rsid w:val="4AFA5DD8"/>
    <w:rsid w:val="4B16CDC3"/>
    <w:rsid w:val="4B362FFC"/>
    <w:rsid w:val="4B37E0D2"/>
    <w:rsid w:val="4B3F2193"/>
    <w:rsid w:val="4B9211A3"/>
    <w:rsid w:val="4B9227B2"/>
    <w:rsid w:val="4BBA066C"/>
    <w:rsid w:val="4BEF180E"/>
    <w:rsid w:val="4BF0BC16"/>
    <w:rsid w:val="4C14C5EC"/>
    <w:rsid w:val="4C192C9C"/>
    <w:rsid w:val="4C3B03E2"/>
    <w:rsid w:val="4CCD7BD5"/>
    <w:rsid w:val="4CFFD085"/>
    <w:rsid w:val="4D354D86"/>
    <w:rsid w:val="4D8F89D0"/>
    <w:rsid w:val="4DC8C6B9"/>
    <w:rsid w:val="4DD4E947"/>
    <w:rsid w:val="4E3A7B52"/>
    <w:rsid w:val="4E4AE24F"/>
    <w:rsid w:val="4E51ACAE"/>
    <w:rsid w:val="4E79DEEB"/>
    <w:rsid w:val="4EC9B265"/>
    <w:rsid w:val="4F0E3028"/>
    <w:rsid w:val="50C6E8CE"/>
    <w:rsid w:val="50DE2B4C"/>
    <w:rsid w:val="51B0AA3C"/>
    <w:rsid w:val="51E4B1DA"/>
    <w:rsid w:val="51E6799F"/>
    <w:rsid w:val="51FA1CB9"/>
    <w:rsid w:val="523321D9"/>
    <w:rsid w:val="527BCA78"/>
    <w:rsid w:val="528D869C"/>
    <w:rsid w:val="528F0EA0"/>
    <w:rsid w:val="5298C39A"/>
    <w:rsid w:val="529C37DC"/>
    <w:rsid w:val="52B3D606"/>
    <w:rsid w:val="52C864F6"/>
    <w:rsid w:val="52E427A1"/>
    <w:rsid w:val="533CD889"/>
    <w:rsid w:val="534A2EFF"/>
    <w:rsid w:val="53682328"/>
    <w:rsid w:val="53B74D89"/>
    <w:rsid w:val="53F9B74A"/>
    <w:rsid w:val="5447E10E"/>
    <w:rsid w:val="54628615"/>
    <w:rsid w:val="5487DF83"/>
    <w:rsid w:val="54AE2CCC"/>
    <w:rsid w:val="54D5B137"/>
    <w:rsid w:val="5514484F"/>
    <w:rsid w:val="55337B50"/>
    <w:rsid w:val="5540E079"/>
    <w:rsid w:val="5542A9BA"/>
    <w:rsid w:val="55663976"/>
    <w:rsid w:val="559B3EFC"/>
    <w:rsid w:val="559D86D3"/>
    <w:rsid w:val="56E6A748"/>
    <w:rsid w:val="5709DC75"/>
    <w:rsid w:val="5712CF2A"/>
    <w:rsid w:val="5733CE86"/>
    <w:rsid w:val="573EDBBC"/>
    <w:rsid w:val="575EB685"/>
    <w:rsid w:val="57712BAF"/>
    <w:rsid w:val="578525F8"/>
    <w:rsid w:val="57983DA4"/>
    <w:rsid w:val="57ADDB39"/>
    <w:rsid w:val="57D9D66E"/>
    <w:rsid w:val="57F8C675"/>
    <w:rsid w:val="580798D4"/>
    <w:rsid w:val="58558A04"/>
    <w:rsid w:val="58B753C0"/>
    <w:rsid w:val="58C1553E"/>
    <w:rsid w:val="58CBC2C2"/>
    <w:rsid w:val="5910558A"/>
    <w:rsid w:val="59DE2F02"/>
    <w:rsid w:val="5A250725"/>
    <w:rsid w:val="5A79CD1B"/>
    <w:rsid w:val="5A82B216"/>
    <w:rsid w:val="5A836952"/>
    <w:rsid w:val="5A8D3BCC"/>
    <w:rsid w:val="5B082B94"/>
    <w:rsid w:val="5B1AF53A"/>
    <w:rsid w:val="5B3B977A"/>
    <w:rsid w:val="5B45AEEE"/>
    <w:rsid w:val="5B7171CA"/>
    <w:rsid w:val="5B7420B6"/>
    <w:rsid w:val="5C2456F7"/>
    <w:rsid w:val="5C4F819A"/>
    <w:rsid w:val="5CD0F478"/>
    <w:rsid w:val="5D31D335"/>
    <w:rsid w:val="5DA3100A"/>
    <w:rsid w:val="5DE4E8E8"/>
    <w:rsid w:val="5DFE63CF"/>
    <w:rsid w:val="5DFE788A"/>
    <w:rsid w:val="5E482A7E"/>
    <w:rsid w:val="5E6E044C"/>
    <w:rsid w:val="5E77EEB7"/>
    <w:rsid w:val="5E84C313"/>
    <w:rsid w:val="5EEC7021"/>
    <w:rsid w:val="5F06FCE1"/>
    <w:rsid w:val="5F096FFD"/>
    <w:rsid w:val="5F3F2CE5"/>
    <w:rsid w:val="5F61658D"/>
    <w:rsid w:val="5F7A82DC"/>
    <w:rsid w:val="5FAAACA6"/>
    <w:rsid w:val="60439752"/>
    <w:rsid w:val="60B79469"/>
    <w:rsid w:val="60E2F801"/>
    <w:rsid w:val="60F6582C"/>
    <w:rsid w:val="6105506E"/>
    <w:rsid w:val="611E78CB"/>
    <w:rsid w:val="61A20CBA"/>
    <w:rsid w:val="61B593A6"/>
    <w:rsid w:val="62634285"/>
    <w:rsid w:val="62926BA5"/>
    <w:rsid w:val="62975F22"/>
    <w:rsid w:val="629DB253"/>
    <w:rsid w:val="62B8455B"/>
    <w:rsid w:val="62D0ACCE"/>
    <w:rsid w:val="6351046F"/>
    <w:rsid w:val="63C26BE1"/>
    <w:rsid w:val="63E68399"/>
    <w:rsid w:val="64ACCF6B"/>
    <w:rsid w:val="64CC83F4"/>
    <w:rsid w:val="64DAD285"/>
    <w:rsid w:val="650B83B5"/>
    <w:rsid w:val="651E7A30"/>
    <w:rsid w:val="6550EB97"/>
    <w:rsid w:val="65B066A7"/>
    <w:rsid w:val="65B3C042"/>
    <w:rsid w:val="65D32BCC"/>
    <w:rsid w:val="65D8C191"/>
    <w:rsid w:val="65DFAE28"/>
    <w:rsid w:val="65F1E9EE"/>
    <w:rsid w:val="66159463"/>
    <w:rsid w:val="665593DF"/>
    <w:rsid w:val="668F1069"/>
    <w:rsid w:val="66A95B14"/>
    <w:rsid w:val="66C7C527"/>
    <w:rsid w:val="66CFC06D"/>
    <w:rsid w:val="6718BED4"/>
    <w:rsid w:val="671D8B4B"/>
    <w:rsid w:val="678B563D"/>
    <w:rsid w:val="67A49F51"/>
    <w:rsid w:val="67CE4D9B"/>
    <w:rsid w:val="67D08773"/>
    <w:rsid w:val="67EFAD47"/>
    <w:rsid w:val="68153A44"/>
    <w:rsid w:val="68A374D9"/>
    <w:rsid w:val="68FAAB5E"/>
    <w:rsid w:val="69268F39"/>
    <w:rsid w:val="692F86A1"/>
    <w:rsid w:val="697ACE41"/>
    <w:rsid w:val="69B7B57B"/>
    <w:rsid w:val="6A21C7FC"/>
    <w:rsid w:val="6A33F609"/>
    <w:rsid w:val="6A3CE4DC"/>
    <w:rsid w:val="6A4468C9"/>
    <w:rsid w:val="6A559E7B"/>
    <w:rsid w:val="6AA920CD"/>
    <w:rsid w:val="6AAC32B4"/>
    <w:rsid w:val="6B76A58F"/>
    <w:rsid w:val="6BB7B5F4"/>
    <w:rsid w:val="6BE01454"/>
    <w:rsid w:val="6C1B4DF0"/>
    <w:rsid w:val="6CBD1C97"/>
    <w:rsid w:val="6CF33B28"/>
    <w:rsid w:val="6D52A8F2"/>
    <w:rsid w:val="6D94BA55"/>
    <w:rsid w:val="6DF8D9B4"/>
    <w:rsid w:val="6E2EA9A3"/>
    <w:rsid w:val="6E786A23"/>
    <w:rsid w:val="6E95B002"/>
    <w:rsid w:val="6E9716B7"/>
    <w:rsid w:val="6EA2D813"/>
    <w:rsid w:val="6ECC79B2"/>
    <w:rsid w:val="6EEAD214"/>
    <w:rsid w:val="6F27905D"/>
    <w:rsid w:val="6F96F8C5"/>
    <w:rsid w:val="6FDF2662"/>
    <w:rsid w:val="6FF9159B"/>
    <w:rsid w:val="70201F7C"/>
    <w:rsid w:val="7035206F"/>
    <w:rsid w:val="7057EE38"/>
    <w:rsid w:val="705C6F31"/>
    <w:rsid w:val="7091F765"/>
    <w:rsid w:val="70BD77E3"/>
    <w:rsid w:val="70C46D91"/>
    <w:rsid w:val="70DCC9A4"/>
    <w:rsid w:val="70E1AF6F"/>
    <w:rsid w:val="70EB2952"/>
    <w:rsid w:val="712EC1F1"/>
    <w:rsid w:val="7159A672"/>
    <w:rsid w:val="7194714C"/>
    <w:rsid w:val="724AFF83"/>
    <w:rsid w:val="725CAEF3"/>
    <w:rsid w:val="7291A793"/>
    <w:rsid w:val="733B0B59"/>
    <w:rsid w:val="734E9E1A"/>
    <w:rsid w:val="73769C5D"/>
    <w:rsid w:val="7394C28D"/>
    <w:rsid w:val="73B66A43"/>
    <w:rsid w:val="74303F76"/>
    <w:rsid w:val="7430A4E4"/>
    <w:rsid w:val="744FFBD0"/>
    <w:rsid w:val="748BEDE1"/>
    <w:rsid w:val="74BBD1A3"/>
    <w:rsid w:val="74F3975A"/>
    <w:rsid w:val="74FA562D"/>
    <w:rsid w:val="74FBA3A6"/>
    <w:rsid w:val="751B09F8"/>
    <w:rsid w:val="7543DC76"/>
    <w:rsid w:val="758F39F0"/>
    <w:rsid w:val="7648D358"/>
    <w:rsid w:val="7674C578"/>
    <w:rsid w:val="76A96C9C"/>
    <w:rsid w:val="76FE1563"/>
    <w:rsid w:val="776D3D95"/>
    <w:rsid w:val="778DA1E4"/>
    <w:rsid w:val="77BCA5DE"/>
    <w:rsid w:val="78094893"/>
    <w:rsid w:val="781073FB"/>
    <w:rsid w:val="7812E0A8"/>
    <w:rsid w:val="785D4102"/>
    <w:rsid w:val="78748AB4"/>
    <w:rsid w:val="788DBB1E"/>
    <w:rsid w:val="78CB4FBC"/>
    <w:rsid w:val="78FB121B"/>
    <w:rsid w:val="793BE384"/>
    <w:rsid w:val="794B8FFA"/>
    <w:rsid w:val="795FD3A4"/>
    <w:rsid w:val="79C78AF2"/>
    <w:rsid w:val="79CA6A1F"/>
    <w:rsid w:val="7A25E415"/>
    <w:rsid w:val="7A743DF5"/>
    <w:rsid w:val="7A9B7DFD"/>
    <w:rsid w:val="7AF99262"/>
    <w:rsid w:val="7B783B27"/>
    <w:rsid w:val="7B9B2C31"/>
    <w:rsid w:val="7BCC3F6F"/>
    <w:rsid w:val="7C2D5C6C"/>
    <w:rsid w:val="7C9AF055"/>
    <w:rsid w:val="7CA1EEDE"/>
    <w:rsid w:val="7CD1A66D"/>
    <w:rsid w:val="7D020AE1"/>
    <w:rsid w:val="7D2063BB"/>
    <w:rsid w:val="7D316548"/>
    <w:rsid w:val="7D8340FB"/>
    <w:rsid w:val="7DEB8740"/>
    <w:rsid w:val="7E300A1E"/>
    <w:rsid w:val="7E751DB3"/>
    <w:rsid w:val="7E850FF6"/>
    <w:rsid w:val="7ED6D84E"/>
    <w:rsid w:val="7F340BC9"/>
    <w:rsid w:val="7F598B11"/>
    <w:rsid w:val="7F62F9EC"/>
    <w:rsid w:val="7F7EF705"/>
    <w:rsid w:val="7F853353"/>
    <w:rsid w:val="7FED4A87"/>
    <w:rsid w:val="7FF5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AF6F"/>
  <w15:chartTrackingRefBased/>
  <w15:docId w15:val="{97BFCAD6-DAE1-420A-A7D7-78E006C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6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16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4E5168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E5168"/>
    <w:rPr>
      <w:color w:val="2B579A"/>
      <w:shd w:val="clear" w:color="auto" w:fill="E1DFDD"/>
    </w:rPr>
  </w:style>
  <w:style w:type="table" w:styleId="TableGrid">
    <w:name w:val="Table Grid"/>
    <w:basedOn w:val="TableNormal"/>
    <w:uiPriority w:val="59"/>
    <w:rsid w:val="001B62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62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40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0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5284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F1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0FC4"/>
  </w:style>
  <w:style w:type="character" w:customStyle="1" w:styleId="eop">
    <w:name w:val="eop"/>
    <w:basedOn w:val="DefaultParagraphFont"/>
    <w:rsid w:val="00F10FC4"/>
  </w:style>
  <w:style w:type="character" w:customStyle="1" w:styleId="spellingerror">
    <w:name w:val="spellingerror"/>
    <w:basedOn w:val="DefaultParagraphFont"/>
    <w:rsid w:val="00F1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71FA290B935478B3599609A1D986A" ma:contentTypeVersion="2" ma:contentTypeDescription="Create a new document." ma:contentTypeScope="" ma:versionID="1093d96438122e3e4c3d9cf415a53618">
  <xsd:schema xmlns:xsd="http://www.w3.org/2001/XMLSchema" xmlns:xs="http://www.w3.org/2001/XMLSchema" xmlns:p="http://schemas.microsoft.com/office/2006/metadata/properties" xmlns:ns2="e0afc5cb-780f-4406-b762-4a1603634844" targetNamespace="http://schemas.microsoft.com/office/2006/metadata/properties" ma:root="true" ma:fieldsID="50646861add7837a9fcbe1fb9d93be17" ns2:_="">
    <xsd:import namespace="e0afc5cb-780f-4406-b762-4a1603634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fc5cb-780f-4406-b762-4a1603634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7E936-EDCD-4B74-AFFC-174522CFD3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5D81F-1A9A-4021-A9A5-19404BFCC2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AE42F2-65AE-4C09-B15B-8D174E83C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fc5cb-780f-4406-b762-4a1603634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Daniel S</dc:creator>
  <cp:keywords/>
  <dc:description/>
  <cp:lastModifiedBy>DeVore, Christopher</cp:lastModifiedBy>
  <cp:revision>6</cp:revision>
  <dcterms:created xsi:type="dcterms:W3CDTF">2021-03-09T20:02:00Z</dcterms:created>
  <dcterms:modified xsi:type="dcterms:W3CDTF">2021-03-10T15:06:00Z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0x01010079B71FA290B935478B3599609A1D986A</vt:lpwstr>
  </property>
</Properties>
</file>