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B860C" w14:textId="77777777" w:rsidR="000C175D" w:rsidRPr="000C175D" w:rsidRDefault="000C175D" w:rsidP="000C175D">
      <w:r w:rsidRPr="000C175D">
        <w:t xml:space="preserve">Due to confidentiality constraints, sub-national death counts and rates are suppressed when the number of deaths is less than 10. Figures representing infant deaths and births have additional constraints for national and local data. </w:t>
      </w:r>
      <w:hyperlink r:id="rId4" w:anchor="Assurance of Confidentiality" w:tgtFrame="WONDER_Help" w:history="1">
        <w:r w:rsidRPr="000C175D">
          <w:rPr>
            <w:rStyle w:val="Hyperlink"/>
          </w:rPr>
          <w:t>More information.</w:t>
        </w:r>
      </w:hyperlink>
    </w:p>
    <w:p w14:paraId="10F266C9" w14:textId="77777777" w:rsidR="000C175D" w:rsidRPr="000C175D" w:rsidRDefault="000C175D" w:rsidP="000C175D">
      <w:r w:rsidRPr="000C175D">
        <w:t xml:space="preserve">Death rates are flagged as Unreliable when the rate is calculated with a numerator of 20 or less. </w:t>
      </w:r>
      <w:hyperlink r:id="rId5" w:anchor="Unreliable" w:tgtFrame="WONDER_Help" w:history="1">
        <w:r w:rsidRPr="000C175D">
          <w:rPr>
            <w:rStyle w:val="Hyperlink"/>
          </w:rPr>
          <w:t>More information.</w:t>
        </w:r>
      </w:hyperlink>
    </w:p>
    <w:p w14:paraId="3E5DDA20" w14:textId="77777777" w:rsidR="000C175D" w:rsidRPr="000C175D" w:rsidRDefault="000C175D" w:rsidP="000C175D">
      <w:r w:rsidRPr="000C175D">
        <w:t>About sub-national population figures for regions, divisions, states and counties: population figures for 1999 are from the 1990-1999 series of bridged-race intercensal estimates of the July 1 resident population; population figures for 2000 and 2010 are bridged-race April 1 census counts; population figures for 2001-2009 are from the revised 2000-2009 series of bridged-race intercensal estimates of the July 1 resident population; and population figures for 2011-2015 are bridged-race postcensal estimates of the July 1 resident population, from the Vintage 2015 series released by NCHS on June 28, 2016.</w:t>
      </w:r>
    </w:p>
    <w:p w14:paraId="3185E4CD" w14:textId="77777777" w:rsidR="000C175D" w:rsidRPr="000C175D" w:rsidRDefault="000C175D" w:rsidP="000C175D">
      <w:r w:rsidRPr="000C175D">
        <w:t xml:space="preserve">The population figures used in the calculation of death rates for the age group 'under 1 year' are the estimates of the resident population that is under one year of age. </w:t>
      </w:r>
      <w:hyperlink r:id="rId6" w:anchor="Age Group" w:tgtFrame="WONDER_Help" w:history="1">
        <w:r w:rsidRPr="000C175D">
          <w:rPr>
            <w:rStyle w:val="Hyperlink"/>
          </w:rPr>
          <w:t>More information.</w:t>
        </w:r>
      </w:hyperlink>
    </w:p>
    <w:p w14:paraId="78A76AE1" w14:textId="77777777" w:rsidR="000C175D" w:rsidRPr="000C175D" w:rsidRDefault="000C175D" w:rsidP="000C175D">
      <w:r w:rsidRPr="000C175D">
        <w:t xml:space="preserve">The populations used to calculate standard age-adjusted rates are documented here: </w:t>
      </w:r>
      <w:hyperlink r:id="rId7" w:anchor="2000 Standard Population" w:tgtFrame="WONDER_Help" w:history="1">
        <w:r w:rsidRPr="000C175D">
          <w:rPr>
            <w:rStyle w:val="Hyperlink"/>
          </w:rPr>
          <w:t>More information.</w:t>
        </w:r>
      </w:hyperlink>
    </w:p>
    <w:p w14:paraId="49BC34D8" w14:textId="77777777" w:rsidR="000C175D" w:rsidRPr="000C175D" w:rsidRDefault="000C175D" w:rsidP="000C175D">
      <w:r w:rsidRPr="000C175D">
        <w:t xml:space="preserve">The method used to calculate age-adjusted rates is documented here: </w:t>
      </w:r>
      <w:hyperlink r:id="rId8" w:anchor="Age-Adjusted Rates" w:tgtFrame="WONDER_Help" w:history="1">
        <w:r w:rsidRPr="000C175D">
          <w:rPr>
            <w:rStyle w:val="Hyperlink"/>
          </w:rPr>
          <w:t>More information.</w:t>
        </w:r>
      </w:hyperlink>
    </w:p>
    <w:p w14:paraId="54442D17" w14:textId="77777777" w:rsidR="000C175D" w:rsidRPr="000C175D" w:rsidRDefault="000C175D" w:rsidP="000C175D">
      <w:r w:rsidRPr="000C175D">
        <w:t xml:space="preserve">Deaths for persons of unknown age are included in counts and crude </w:t>
      </w:r>
      <w:proofErr w:type="gramStart"/>
      <w:r w:rsidRPr="000C175D">
        <w:t>rates, but</w:t>
      </w:r>
      <w:proofErr w:type="gramEnd"/>
      <w:r w:rsidRPr="000C175D">
        <w:t xml:space="preserve"> are not included in age-adjusted rates.</w:t>
      </w:r>
    </w:p>
    <w:p w14:paraId="5682B767" w14:textId="77777777" w:rsidR="000C175D" w:rsidRPr="000C175D" w:rsidRDefault="000C175D" w:rsidP="000C175D">
      <w:r w:rsidRPr="000C175D">
        <w:t xml:space="preserve">The method used to calculate 95% confidence intervals is documented here: </w:t>
      </w:r>
      <w:hyperlink r:id="rId9" w:anchor="Confidence-Intervals" w:tgtFrame="WONDER_Help" w:history="1">
        <w:r w:rsidRPr="000C175D">
          <w:rPr>
            <w:rStyle w:val="Hyperlink"/>
          </w:rPr>
          <w:t>More information.</w:t>
        </w:r>
      </w:hyperlink>
    </w:p>
    <w:p w14:paraId="6FC2C168" w14:textId="77777777" w:rsidR="000C175D" w:rsidRPr="000C175D" w:rsidRDefault="000C175D" w:rsidP="000C175D">
      <w:r w:rsidRPr="000C175D">
        <w:t xml:space="preserve">The method used to calculate standard errors is documented here: </w:t>
      </w:r>
      <w:hyperlink r:id="rId10" w:anchor="Standard-Errors" w:tgtFrame="WONDER_Help" w:history="1">
        <w:r w:rsidRPr="000C175D">
          <w:rPr>
            <w:rStyle w:val="Hyperlink"/>
          </w:rPr>
          <w:t>More information.</w:t>
        </w:r>
      </w:hyperlink>
    </w:p>
    <w:p w14:paraId="1D82AE91" w14:textId="77777777" w:rsidR="000C175D" w:rsidRPr="000C175D" w:rsidRDefault="000C175D" w:rsidP="000C175D">
      <w:r w:rsidRPr="000C175D">
        <w:t xml:space="preserve">As of April 3, 2017, the underlying cause of death has been revised for 125 deaths in 2014. </w:t>
      </w:r>
      <w:hyperlink r:id="rId11" w:anchor="2014-Revision" w:tgtFrame="WONDER_Help" w:history="1">
        <w:r w:rsidRPr="000C175D">
          <w:rPr>
            <w:rStyle w:val="Hyperlink"/>
          </w:rPr>
          <w:t>More information.</w:t>
        </w:r>
      </w:hyperlink>
    </w:p>
    <w:p w14:paraId="396FA6DA" w14:textId="77777777" w:rsidR="000C175D" w:rsidRPr="000C175D" w:rsidRDefault="000C175D" w:rsidP="000C175D">
      <w:r w:rsidRPr="000C175D">
        <w:t xml:space="preserve">Hoonah-Angoon Census Area, Alaska (FIPS code 02105) data are only available for 2014 and later; for computational purposes, counts and population estimates for 1999-2013 are set to zero. Thus, counts and rates shown in multi-year requests for this entity do not include any data for years prior to 2014, only data for 2014 and later. </w:t>
      </w:r>
      <w:hyperlink r:id="rId12" w:anchor="Hoonah-Angoon Census Area" w:tgtFrame="WONDER_Help" w:history="1">
        <w:r w:rsidRPr="000C175D">
          <w:rPr>
            <w:rStyle w:val="Hyperlink"/>
          </w:rPr>
          <w:t>More information.</w:t>
        </w:r>
      </w:hyperlink>
    </w:p>
    <w:p w14:paraId="0B60B930" w14:textId="77777777" w:rsidR="000C175D" w:rsidRPr="000C175D" w:rsidRDefault="000C175D" w:rsidP="000C175D">
      <w:r w:rsidRPr="000C175D">
        <w:t xml:space="preserve">Petersburg Borough/Census Area, Alaska (FIPS code 02195) data are only available for 2014 and later; for computational purposes, counts and population estimates for 1999-2013 are set to zero. Thus, counts and rates shown in multi-year requests for this entity do not include any data for years prior to 2014, only data for 2014 and later. </w:t>
      </w:r>
      <w:hyperlink r:id="rId13" w:anchor="Petersburg Borough/Census Area" w:tgtFrame="WONDER_Help" w:history="1">
        <w:r w:rsidRPr="000C175D">
          <w:rPr>
            <w:rStyle w:val="Hyperlink"/>
          </w:rPr>
          <w:t>More information.</w:t>
        </w:r>
      </w:hyperlink>
    </w:p>
    <w:p w14:paraId="18AD1E90" w14:textId="77777777" w:rsidR="000C175D" w:rsidRPr="000C175D" w:rsidRDefault="000C175D" w:rsidP="000C175D">
      <w:r w:rsidRPr="000C175D">
        <w:t>Prince of Wales-</w:t>
      </w:r>
      <w:proofErr w:type="spellStart"/>
      <w:r w:rsidRPr="000C175D">
        <w:t>Hyder</w:t>
      </w:r>
      <w:proofErr w:type="spellEnd"/>
      <w:r w:rsidRPr="000C175D">
        <w:t xml:space="preserve"> Census Area, Alaska (FIPS code 02198) data are only available for 2014 and later; for computational purposes, counts and population estimates for 1999-2013 are set to zero. Thus, counts and rates shown in multi-year requests for this entity do not include any data for years prior to 2014, only data for 2014 and later. </w:t>
      </w:r>
      <w:hyperlink r:id="rId14" w:anchor="Prince of Wales-Hyder Census Area" w:tgtFrame="WONDER_Help" w:history="1">
        <w:r w:rsidRPr="000C175D">
          <w:rPr>
            <w:rStyle w:val="Hyperlink"/>
          </w:rPr>
          <w:t>More information.</w:t>
        </w:r>
      </w:hyperlink>
    </w:p>
    <w:p w14:paraId="447A2FA9" w14:textId="77777777" w:rsidR="000C175D" w:rsidRPr="000C175D" w:rsidRDefault="000C175D" w:rsidP="000C175D">
      <w:r w:rsidRPr="000C175D">
        <w:t xml:space="preserve">Prince of Wales-Outer Ketchikan Census Area, Alaska (FIPS code 02201) data are available only for 1999-2013. For 2014 and beyond, death counts and population </w:t>
      </w:r>
      <w:proofErr w:type="gramStart"/>
      <w:r w:rsidRPr="000C175D">
        <w:t>estimates</w:t>
      </w:r>
      <w:proofErr w:type="gramEnd"/>
      <w:r w:rsidRPr="000C175D">
        <w:t xml:space="preserve"> for Prince of Wales-Outer Ketchikan Census Area Census Area are reported as Prince of Wales-</w:t>
      </w:r>
      <w:proofErr w:type="spellStart"/>
      <w:r w:rsidRPr="000C175D">
        <w:t>Hyder</w:t>
      </w:r>
      <w:proofErr w:type="spellEnd"/>
      <w:r w:rsidRPr="000C175D">
        <w:t xml:space="preserve"> Census Area (FIPS code 02198). Death counts and population estimates for this entity from multi-year requests, only reflect data from 1999 through 2013; for 2014 and beyond they have been set to zero. </w:t>
      </w:r>
      <w:hyperlink r:id="rId15" w:anchor="Prince of Wales-Outer Ketchikan Census Area" w:tgtFrame="WONDER_Help" w:history="1">
        <w:r w:rsidRPr="000C175D">
          <w:rPr>
            <w:rStyle w:val="Hyperlink"/>
          </w:rPr>
          <w:t>More information.</w:t>
        </w:r>
      </w:hyperlink>
    </w:p>
    <w:p w14:paraId="1E834CD3" w14:textId="77777777" w:rsidR="000C175D" w:rsidRPr="000C175D" w:rsidRDefault="000C175D" w:rsidP="000C175D">
      <w:r w:rsidRPr="000C175D">
        <w:t xml:space="preserve">Skagway Municipality, Alaska (FIPS code 02230) data are only available for 2014 and later; for computational purposes, counts and population estimates for 1999-2013 are set to zero. Thus, counts and rates shown in multi-year requests for this entity do not include any data for years prior to 2014, only data for 2014 and later. </w:t>
      </w:r>
      <w:hyperlink r:id="rId16" w:anchor="Skagway Municipality" w:tgtFrame="WONDER_Help" w:history="1">
        <w:r w:rsidRPr="000C175D">
          <w:rPr>
            <w:rStyle w:val="Hyperlink"/>
          </w:rPr>
          <w:t>More information.</w:t>
        </w:r>
      </w:hyperlink>
    </w:p>
    <w:p w14:paraId="2E26F9BE" w14:textId="77777777" w:rsidR="000C175D" w:rsidRPr="000C175D" w:rsidRDefault="000C175D" w:rsidP="000C175D">
      <w:r w:rsidRPr="000C175D">
        <w:t xml:space="preserve">Skagway-Hoonah-Angoon Census Area, Alaska (FIPS code 02232) data are available only for 1999-2013. For 2014 and beyond, death counts and population estimates for Skagway-Hoonah-Angoon Census Area are reported as Hoonah-Angoon Census </w:t>
      </w:r>
      <w:proofErr w:type="gramStart"/>
      <w:r w:rsidRPr="000C175D">
        <w:t>Area(</w:t>
      </w:r>
      <w:proofErr w:type="gramEnd"/>
      <w:r w:rsidRPr="000C175D">
        <w:t xml:space="preserve">FIPS code 02105) and Skagway Municipality, (FIPS code 02230). Death counts and population estimates for this entity from multi-year requests, only reflect data from 1999 through 2013; for 2014 and beyond they have been set to zero. </w:t>
      </w:r>
      <w:hyperlink r:id="rId17" w:anchor="Skagway-Hoonah-Angoon Census Area" w:tgtFrame="WONDER_Help" w:history="1">
        <w:r w:rsidRPr="000C175D">
          <w:rPr>
            <w:rStyle w:val="Hyperlink"/>
          </w:rPr>
          <w:t>More information.</w:t>
        </w:r>
      </w:hyperlink>
    </w:p>
    <w:p w14:paraId="2847C59E" w14:textId="77777777" w:rsidR="000C175D" w:rsidRPr="000C175D" w:rsidRDefault="000C175D" w:rsidP="000C175D">
      <w:r w:rsidRPr="000C175D">
        <w:lastRenderedPageBreak/>
        <w:t xml:space="preserve">Wrangell City and Borough, Alaska (FIPS code 02275) data are only available for 2014 and later; for computational purposes, counts and population estimates for 1999-2013 are set to zero. Thus, counts and rates shown in multi-year requests for this entity do not include any data for years prior to 2014, only data for 2014 and later. </w:t>
      </w:r>
      <w:hyperlink r:id="rId18" w:anchor="Wrangell City and Borough" w:tgtFrame="WONDER_Help" w:history="1">
        <w:r w:rsidRPr="000C175D">
          <w:rPr>
            <w:rStyle w:val="Hyperlink"/>
          </w:rPr>
          <w:t>More information.</w:t>
        </w:r>
      </w:hyperlink>
    </w:p>
    <w:p w14:paraId="6474FED6" w14:textId="77777777" w:rsidR="000C175D" w:rsidRPr="000C175D" w:rsidRDefault="000C175D" w:rsidP="000C175D">
      <w:r w:rsidRPr="000C175D">
        <w:t xml:space="preserve">Wrangell-Petersburg Census Area, Alaska (FIPS code 02280) data are available only for 1999-2013. For 2014 and beyond, death counts and population </w:t>
      </w:r>
      <w:proofErr w:type="gramStart"/>
      <w:r w:rsidRPr="000C175D">
        <w:t>estimates</w:t>
      </w:r>
      <w:proofErr w:type="gramEnd"/>
      <w:r w:rsidRPr="000C175D">
        <w:t xml:space="preserve"> for Wrangell-Petersburg Census Area are reported as Petersburg Borough/Census Area (FIPS code 02195) and Wrangell City and Borough, (FIPS code 02275). Death counts and population estimates for this entity from multi-year requests, only reflect data from 1999 through 2013; for 2014 and beyond they have been set to zero. </w:t>
      </w:r>
      <w:hyperlink r:id="rId19" w:anchor="Wrangell-Petersburg Census Area" w:tgtFrame="WONDER_Help" w:history="1">
        <w:r w:rsidRPr="000C175D">
          <w:rPr>
            <w:rStyle w:val="Hyperlink"/>
          </w:rPr>
          <w:t>More information.</w:t>
        </w:r>
      </w:hyperlink>
    </w:p>
    <w:p w14:paraId="776139AC" w14:textId="77777777" w:rsidR="000C175D" w:rsidRPr="000C175D" w:rsidRDefault="000C175D" w:rsidP="000C175D">
      <w:r w:rsidRPr="000C175D">
        <w:t>Carson City, Nevada (FIPS code 32510) data are shown separately from the adjacent counties for.</w:t>
      </w:r>
    </w:p>
    <w:p w14:paraId="67EE64D5" w14:textId="77777777" w:rsidR="000C175D" w:rsidRPr="000C175D" w:rsidRDefault="000C175D" w:rsidP="000C175D">
      <w:r w:rsidRPr="000C175D">
        <w:t>Baltimore city, Maryland (FIPS code 24510) and Baltimore County, Maryland (FIPS code 24005) data are reported separately.</w:t>
      </w:r>
    </w:p>
    <w:p w14:paraId="3F9F2834" w14:textId="77777777" w:rsidR="000C175D" w:rsidRPr="000C175D" w:rsidRDefault="000C175D" w:rsidP="000C175D">
      <w:r w:rsidRPr="000C175D">
        <w:t>St. Louis city, Missouri (FIPS code 29510) and St. Louis County, Missouri (FIPS code 29189) data are reported separately.</w:t>
      </w:r>
    </w:p>
    <w:p w14:paraId="57D63126" w14:textId="77777777" w:rsidR="000C175D" w:rsidRPr="000C175D" w:rsidRDefault="000C175D" w:rsidP="000C175D">
      <w:r w:rsidRPr="000C175D">
        <w:t xml:space="preserve">Bedford city, Virginia (FIPS code 51515) data are available only for 1999-2010. For 2011 and beyond, death counts and population </w:t>
      </w:r>
      <w:proofErr w:type="gramStart"/>
      <w:r w:rsidRPr="000C175D">
        <w:t>estimates</w:t>
      </w:r>
      <w:proofErr w:type="gramEnd"/>
      <w:r w:rsidRPr="000C175D">
        <w:t xml:space="preserve"> for Bedford city have been combined with Bedford County (FIPS code 51019). Death counts and population estimates for this entity from multi-year requests, only reflect data from 1999 through 2010; for 2011 and beyond they have been set to zero. </w:t>
      </w:r>
      <w:hyperlink r:id="rId20" w:anchor="Bedford-Virginia" w:tgtFrame="WONDER_Help" w:history="1">
        <w:r w:rsidRPr="000C175D">
          <w:rPr>
            <w:rStyle w:val="Hyperlink"/>
          </w:rPr>
          <w:t>More information.</w:t>
        </w:r>
      </w:hyperlink>
    </w:p>
    <w:p w14:paraId="295956C7" w14:textId="4F286BF9" w:rsidR="001115C0" w:rsidRDefault="000C175D" w:rsidP="000C175D">
      <w:r w:rsidRPr="000C175D">
        <w:t xml:space="preserve">Clifton Forge city, Virginia (FIPS code 51560) data are available only for 1999-2000. For 2001 and beyond, death counts and population </w:t>
      </w:r>
      <w:proofErr w:type="gramStart"/>
      <w:r w:rsidRPr="000C175D">
        <w:t>estimates</w:t>
      </w:r>
      <w:proofErr w:type="gramEnd"/>
      <w:r w:rsidRPr="000C175D">
        <w:t xml:space="preserve"> for Clifton Forge city have been combined with those for Alleghany county, Virginia (FIPS code 51005). Death counts and population estimates for this entity from multi-year requests, only reflect data from 1999 through 2000; for 2001 and beyond they have been set to zero. </w:t>
      </w:r>
      <w:hyperlink r:id="rId21" w:anchor="Clifton Forge" w:tgtFrame="WONDER_Help" w:history="1">
        <w:r w:rsidRPr="000C175D">
          <w:rPr>
            <w:rStyle w:val="Hyperlink"/>
          </w:rPr>
          <w:t>More information.</w:t>
        </w:r>
      </w:hyperlink>
      <w:bookmarkStart w:id="0" w:name="_GoBack"/>
      <w:bookmarkEnd w:id="0"/>
    </w:p>
    <w:sectPr w:rsidR="001115C0" w:rsidSect="000C1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5D"/>
    <w:rsid w:val="000C175D"/>
    <w:rsid w:val="001115C0"/>
    <w:rsid w:val="007E087B"/>
    <w:rsid w:val="0096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C734"/>
  <w15:chartTrackingRefBased/>
  <w15:docId w15:val="{BBA0C01B-E9B0-49B4-BC27-F1B520A6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nder.cdc.gov/wonder/help/cmf.html" TargetMode="External"/><Relationship Id="rId13" Type="http://schemas.openxmlformats.org/officeDocument/2006/relationships/hyperlink" Target="https://wonder.cdc.gov/wonder/help/cmf.html" TargetMode="External"/><Relationship Id="rId18" Type="http://schemas.openxmlformats.org/officeDocument/2006/relationships/hyperlink" Target="https://wonder.cdc.gov/wonder/help/cmf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onder.cdc.gov/wonder/help/cmf.html" TargetMode="External"/><Relationship Id="rId7" Type="http://schemas.openxmlformats.org/officeDocument/2006/relationships/hyperlink" Target="https://wonder.cdc.gov/wonder/help/cmf.html" TargetMode="External"/><Relationship Id="rId12" Type="http://schemas.openxmlformats.org/officeDocument/2006/relationships/hyperlink" Target="https://wonder.cdc.gov/wonder/help/cmf.html" TargetMode="External"/><Relationship Id="rId17" Type="http://schemas.openxmlformats.org/officeDocument/2006/relationships/hyperlink" Target="https://wonder.cdc.gov/wonder/help/cmf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onder.cdc.gov/wonder/help/cmf.html" TargetMode="External"/><Relationship Id="rId20" Type="http://schemas.openxmlformats.org/officeDocument/2006/relationships/hyperlink" Target="https://wonder.cdc.gov/wonder/help/cmf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onder.cdc.gov/wonder/help/cmf.html" TargetMode="External"/><Relationship Id="rId11" Type="http://schemas.openxmlformats.org/officeDocument/2006/relationships/hyperlink" Target="https://wonder.cdc.gov/wonder/help/cmf.html" TargetMode="External"/><Relationship Id="rId5" Type="http://schemas.openxmlformats.org/officeDocument/2006/relationships/hyperlink" Target="https://wonder.cdc.gov/wonder/help/cmf.html" TargetMode="External"/><Relationship Id="rId15" Type="http://schemas.openxmlformats.org/officeDocument/2006/relationships/hyperlink" Target="https://wonder.cdc.gov/wonder/help/cmf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nder.cdc.gov/wonder/help/cmf.html" TargetMode="External"/><Relationship Id="rId19" Type="http://schemas.openxmlformats.org/officeDocument/2006/relationships/hyperlink" Target="https://wonder.cdc.gov/wonder/help/cmf.html" TargetMode="External"/><Relationship Id="rId4" Type="http://schemas.openxmlformats.org/officeDocument/2006/relationships/hyperlink" Target="https://wonder.cdc.gov/wonder/help/cmf.html" TargetMode="External"/><Relationship Id="rId9" Type="http://schemas.openxmlformats.org/officeDocument/2006/relationships/hyperlink" Target="https://wonder.cdc.gov/wonder/help/cmf.html" TargetMode="External"/><Relationship Id="rId14" Type="http://schemas.openxmlformats.org/officeDocument/2006/relationships/hyperlink" Target="https://wonder.cdc.gov/wonder/help/cmf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Tran</dc:creator>
  <cp:keywords/>
  <dc:description/>
  <cp:lastModifiedBy>Felix Tran</cp:lastModifiedBy>
  <cp:revision>1</cp:revision>
  <dcterms:created xsi:type="dcterms:W3CDTF">2018-10-14T15:55:00Z</dcterms:created>
  <dcterms:modified xsi:type="dcterms:W3CDTF">2018-10-14T15:56:00Z</dcterms:modified>
</cp:coreProperties>
</file>