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150" w:line="560" w:lineRule="atLeast"/>
        <w:jc w:val="center"/>
      </w:pPr>
      <w:r>
        <w:rPr>
          <w:rFonts w:ascii="Times New Roman" w:eastAsia="楷体"/>
          <w:color w:val="000000"/>
          <w:sz w:val="48"/>
          <w:szCs w:val="48"/>
        </w:rPr>
        <w:t xml:space="preserve">多智能体驱动的嵌入式代码检测系统</w:t>
      </w:r>
    </w:p>
    <w:p>
      <w:pPr>
        <w:spacing w:after="0" w:line="560" w:lineRule="atLeast"/>
        <w:jc w:val="center"/>
      </w:pPr>
      <w:r>
        <w:rPr>
          <w:rFonts w:ascii="Times New Roman" w:eastAsia="楷体"/>
          <w:color w:val="000000"/>
          <w:sz w:val="48"/>
          <w:szCs w:val="48"/>
        </w:rPr>
        <w:t xml:space="preserve">实  施  方  案</w:t>
      </w:r>
    </w:p>
    <w:p>
      <w:pPr>
        <w:spacing w:before="2900"/>
      </w:pPr>
    </w:p>
    <w:p>
      <w:pPr>
        <w:spacing w:before="2900"/>
      </w:pPr>
    </w:p>
    <w:p>
      <w:pPr>
        <w:spacing w:after="200" w:line="400" w:lineRule="atLeast"/>
        <w:jc w:val="center"/>
      </w:pPr>
      <w:r>
        <w:rPr>
          <w:rFonts w:ascii="Times New Roman" w:eastAsia="宋体"/>
          <w:color w:val="000000"/>
          <w:sz w:val="32"/>
          <w:szCs w:val="32"/>
        </w:rPr>
        <w:t xml:space="preserve">项  目  名  称：</w:t>
      </w:r>
      <w:r>
        <w:rPr>
          <w:rFonts w:ascii="Times New Roman" w:eastAsia="宋体"/>
          <w:b/>
          <w:bCs/>
          <w:color w:val="000000"/>
          <w:sz w:val="32"/>
          <w:szCs w:val="32"/>
        </w:rPr>
        <w:t xml:space="preserve">嵌入式代码检测系统</w:t>
      </w:r>
    </w:p>
    <w:p>
      <w:pPr>
        <w:spacing w:after="200" w:line="400" w:lineRule="atLeast"/>
        <w:jc w:val="center"/>
      </w:pPr>
      <w:r>
        <w:rPr>
          <w:rFonts w:ascii="Times New Roman" w:eastAsia="宋体"/>
          <w:color w:val="000000"/>
          <w:sz w:val="32"/>
          <w:szCs w:val="32"/>
        </w:rPr>
        <w:t xml:space="preserve">编  制  单  位：</w:t>
      </w:r>
      <w:r>
        <w:rPr>
          <w:rFonts w:ascii="Times New Roman" w:eastAsia="宋体"/>
          <w:b/>
          <w:bCs/>
          <w:color w:val="000000"/>
          <w:sz w:val="32"/>
          <w:szCs w:val="32"/>
        </w:rPr>
        <w:t xml:space="preserve">嵌入式代码检测系统项目组</w:t>
      </w:r>
    </w:p>
    <w:p>
      <w:pPr>
        <w:spacing w:after="200" w:line="400" w:lineRule="atLeast"/>
        <w:jc w:val="center"/>
      </w:pPr>
      <w:r>
        <w:rPr>
          <w:rFonts w:ascii="Times New Roman" w:eastAsia="宋体"/>
          <w:color w:val="000000"/>
          <w:sz w:val="32"/>
          <w:szCs w:val="32"/>
        </w:rPr>
        <w:t xml:space="preserve">编  制  依  据：</w:t>
      </w:r>
      <w:r>
        <w:rPr>
          <w:rFonts w:ascii="Times New Roman" w:eastAsia="宋体"/>
          <w:b/>
          <w:bCs/>
          <w:color w:val="000000"/>
          <w:sz w:val="32"/>
          <w:szCs w:val="32"/>
        </w:rPr>
        <w:t xml:space="preserve">《技术调研报告》V1.0（2026-09）</w:t>
      </w:r>
    </w:p>
    <w:p>
      <w:pPr>
        <w:spacing w:after="200" w:line="400" w:lineRule="atLeast"/>
        <w:jc w:val="center"/>
      </w:pPr>
      <w:r>
        <w:rPr>
          <w:rFonts w:ascii="Times New Roman" w:eastAsia="宋体"/>
          <w:color w:val="000000"/>
          <w:sz w:val="32"/>
          <w:szCs w:val="32"/>
        </w:rPr>
        <w:t xml:space="preserve">文  档  版  本：</w:t>
      </w:r>
      <w:r>
        <w:rPr>
          <w:rFonts w:ascii="Times New Roman" w:eastAsia="宋体"/>
          <w:b/>
          <w:bCs/>
          <w:color w:val="000000"/>
          <w:sz w:val="32"/>
          <w:szCs w:val="32"/>
        </w:rPr>
        <w:t xml:space="preserve">V1.1（简洁版）</w:t>
      </w:r>
    </w:p>
    <w:p>
      <w:pPr>
        <w:spacing w:after="200" w:line="400" w:lineRule="atLeast"/>
        <w:jc w:val="center"/>
      </w:pPr>
      <w:r>
        <w:rPr>
          <w:rFonts w:ascii="Times New Roman" w:eastAsia="宋体"/>
          <w:color w:val="000000"/>
          <w:sz w:val="32"/>
          <w:szCs w:val="32"/>
        </w:rPr>
        <w:t xml:space="preserve">完  成  日  期：</w:t>
      </w:r>
      <w:r>
        <w:rPr>
          <w:rFonts w:ascii="Times New Roman" w:eastAsia="宋体"/>
          <w:b/>
          <w:bCs/>
          <w:color w:val="000000"/>
          <w:sz w:val="32"/>
          <w:szCs w:val="32"/>
        </w:rPr>
        <w:t xml:space="preserve">2026 年 9 月</w:t>
      </w:r>
    </w:p>
    <w:p>
      <w:pPr>
        <w:sectPr>
          <w:pgSz w:w="12240" w:h="15840" w:orient="portrait"/>
          <w:pgMar w:top="1701" w:right="1418" w:bottom="1134" w:left="1418" w:header="720" w:footer="720" w:gutter="0"/>
          <w:docGrid w:linePitch="360"/>
        </w:sectPr>
      </w:pPr>
    </w:p>
    <w:p>
      <w:pPr>
        <w:spacing w:after="240" w:before="240" w:line="400" w:lineRule="atLeast"/>
        <w:jc w:val="center"/>
      </w:pPr>
      <w:r>
        <w:rPr>
          <w:rFonts w:ascii="Times New Roman" w:eastAsia="黑体"/>
          <w:b/>
          <w:bCs/>
          <w:color w:val="000000"/>
          <w:sz w:val="32"/>
          <w:szCs w:val="32"/>
        </w:rPr>
        <w:t xml:space="preserve">目  录</w:t>
      </w:r>
    </w:p>
    <w:sdt>
      <w:sdtPr>
        <w:alias w:val="Table of Contents"/>
      </w:sdtPr>
      <w:sdtContent>
        <w:p>
          <w:r>
            <w:fldChar w:fldCharType="begin" w:dirty="true"/>
          </w:r>
          <w:r>
            <w:instrText xml:space="preserve">TOC \h \o "1-3"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第 1 章  测什么：查哪些问题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1.1  检测清单怎么定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1.2  先查哪类缺陷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1.3  用哪些规范当尺子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1.4  安全标准的影响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1.5  四个维度怎么做：一个一个来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第 2 章  怎么分：四类方法与第一期工具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2.1  四类方法各管什么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8" w:history="1">
            <w:r>
              <w:rPr>
                <w:rStyle w:val="Hyperlink"/>
              </w:rPr>
              <w:t>2.2  第一期用什么工具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9" w:history="1">
            <w:r>
              <w:rPr>
                <w:rStyle w:val="Hyperlink"/>
              </w:rPr>
              <w:t>2.3  告警统一说一种话：SARIF</w:t>
            </w:r>
            <w:r>
              <w:tab/>
            </w:r>
            <w:r>
              <w:fldChar w:fldCharType="begin"/>
            </w:r>
            <w:r>
              <w:instrText xml:space="preserve"> PAGEREF _Toc100009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0" w:history="1">
            <w:r>
              <w:rPr>
                <w:rStyle w:val="Hyperlink"/>
              </w:rPr>
              <w:t>2.4  动态检测为什么放后面</w:t>
            </w:r>
            <w:r>
              <w:tab/>
            </w:r>
            <w:r>
              <w:fldChar w:fldCharType="begin"/>
            </w:r>
            <w:r>
              <w:instrText xml:space="preserve"> PAGEREF _Toc100010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1" w:history="1">
            <w:r>
              <w:rPr>
                <w:rStyle w:val="Hyperlink"/>
              </w:rPr>
              <w:t>第 3 章  怎么干：架构与计划</w:t>
            </w:r>
            <w:r>
              <w:tab/>
            </w:r>
            <w:r>
              <w:fldChar w:fldCharType="begin"/>
            </w:r>
            <w:r>
              <w:instrText xml:space="preserve"> PAGEREF _Toc100011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2" w:history="1">
            <w:r>
              <w:rPr>
                <w:rStyle w:val="Hyperlink"/>
              </w:rPr>
              <w:t>3.1  总路线：核心自己写，其余全复用</w:t>
            </w:r>
            <w:r>
              <w:tab/>
            </w:r>
            <w:r>
              <w:fldChar w:fldCharType="begin"/>
            </w:r>
            <w:r>
              <w:instrText xml:space="preserve"> PAGEREF _Toc100012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3" w:history="1">
            <w:r>
              <w:rPr>
                <w:rStyle w:val="Hyperlink"/>
              </w:rPr>
              <w:t>3.2  系统分三层</w:t>
            </w:r>
            <w:r>
              <w:tab/>
            </w:r>
            <w:r>
              <w:fldChar w:fldCharType="begin"/>
            </w:r>
            <w:r>
              <w:instrText xml:space="preserve"> PAGEREF _Toc100013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4" w:history="1">
            <w:r>
              <w:rPr>
                <w:rStyle w:val="Hyperlink"/>
              </w:rPr>
              <w:t>3.3  四个阶段</w:t>
            </w:r>
            <w:r>
              <w:tab/>
            </w:r>
            <w:r>
              <w:fldChar w:fldCharType="begin"/>
            </w:r>
            <w:r>
              <w:instrText xml:space="preserve"> PAGEREF _Toc100014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5" w:history="1">
            <w:r>
              <w:rPr>
                <w:rStyle w:val="Hyperlink"/>
              </w:rPr>
              <w:t>3.4  第一个月（MVP）四周计划</w:t>
            </w:r>
            <w:r>
              <w:tab/>
            </w:r>
            <w:r>
              <w:fldChar w:fldCharType="begin"/>
            </w:r>
            <w:r>
              <w:instrText xml:space="preserve"> PAGEREF _Toc100015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6" w:history="1">
            <w:r>
              <w:rPr>
                <w:rStyle w:val="Hyperlink"/>
              </w:rPr>
              <w:t>3.5  能复用的开源项目</w:t>
            </w:r>
            <w:r>
              <w:tab/>
            </w:r>
            <w:r>
              <w:fldChar w:fldCharType="begin"/>
            </w:r>
            <w:r>
              <w:instrText xml:space="preserve"> PAGEREF _Toc100016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7" w:history="1">
            <w:r>
              <w:rPr>
                <w:rStyle w:val="Hyperlink"/>
              </w:rPr>
              <w:t>3.6  模型怎么选、钱怎么省</w:t>
            </w:r>
            <w:r>
              <w:tab/>
            </w:r>
            <w:r>
              <w:fldChar w:fldCharType="begin"/>
            </w:r>
            <w:r>
              <w:instrText xml:space="preserve"> PAGEREF _Toc100017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8" w:history="1">
            <w:r>
              <w:rPr>
                <w:rStyle w:val="Hyperlink"/>
              </w:rPr>
              <w:t>3.7  效果怎么评</w:t>
            </w:r>
            <w:r>
              <w:tab/>
            </w:r>
            <w:r>
              <w:fldChar w:fldCharType="begin"/>
            </w:r>
            <w:r>
              <w:instrText xml:space="preserve"> PAGEREF _Toc100018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9" w:history="1">
            <w:r>
              <w:rPr>
                <w:rStyle w:val="Hyperlink"/>
              </w:rPr>
              <w:t>3.8  风险与对策</w:t>
            </w:r>
            <w:r>
              <w:tab/>
            </w:r>
            <w:r>
              <w:fldChar w:fldCharType="begin"/>
            </w:r>
            <w:r>
              <w:instrText xml:space="preserve"> PAGEREF _Toc100019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0" w:history="1">
            <w:r>
              <w:rPr>
                <w:rStyle w:val="Hyperlink"/>
              </w:rPr>
              <w:t>第 4 章  本周就能开始的事</w:t>
            </w:r>
            <w:r>
              <w:tab/>
            </w:r>
            <w:r>
              <w:fldChar w:fldCharType="begin"/>
            </w:r>
            <w:r>
              <w:instrText xml:space="preserve"> PAGEREF _Toc100020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1" w:history="1">
            <w:r>
              <w:rPr>
                <w:rStyle w:val="Hyperlink"/>
              </w:rPr>
              <w:t>4.1  三件事，不用写代码</w:t>
            </w:r>
            <w:r>
              <w:tab/>
            </w:r>
            <w:r>
              <w:fldChar w:fldCharType="begin"/>
            </w:r>
            <w:r>
              <w:instrText xml:space="preserve"> PAGEREF _Toc100021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2" w:history="1">
            <w:r>
              <w:rPr>
                <w:rStyle w:val="Hyperlink"/>
              </w:rPr>
              <w:t>4.2  需要拍板的三个问题</w:t>
            </w:r>
            <w:r>
              <w:tab/>
            </w:r>
            <w:r>
              <w:fldChar w:fldCharType="begin"/>
            </w:r>
            <w:r>
              <w:instrText xml:space="preserve"> PAGEREF _Toc100022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200"/>
      </w:pPr>
      <w:r>
        <w:rPr>
          <w:rFonts w:ascii="Times New Roman" w:eastAsia="宋体"/>
          <w:i/>
          <w:iCs/>
          <w:color w:val="888888"/>
          <w:sz w:val="18"/>
          <w:szCs w:val="18"/>
        </w:rPr>
        <w:t xml:space="preserve">注：本目录由域代码生成。编辑文档后，请在目录上单击右键选择“更新域”刷新页码。</w:t>
      </w:r>
    </w:p>
    <w:p>
      <w:pPr>
        <w:sectPr>
          <w:type w:val="nextPage"/>
          <w:pgSz w:w="12240" w:h="15840" w:orient="portrait"/>
          <w:pgMar w:top="1701" w:right="1418" w:bottom="1134" w:left="1418" w:header="720" w:footer="720" w:gutter="0"/>
          <w:docGrid w:linePitch="360"/>
        </w:sectPr>
      </w:pPr>
    </w:p>
    <w:p>
      <w:pPr>
        <w:pStyle w:val="Heading1"/>
        <w:spacing w:after="120" w:before="120" w:line="400" w:lineRule="exact"/>
        <w:jc w:val="center"/>
      </w:pPr>
      <w:bookmarkStart w:id="100000" w:name="_Toc100000"/>
      <w:r>
        <w:rPr>
          <w:rFonts w:ascii="Times New Roman" w:eastAsia="黑体"/>
          <w:color w:val="000000"/>
          <w:sz w:val="32"/>
          <w:szCs w:val="32"/>
        </w:rPr>
        <w:t xml:space="preserve">第 1 章  测什么：查哪些问题</w:t>
      </w:r>
      <w:bookmarkEnd w:id="100000"/>
    </w:p>
    <w:p>
      <w:pPr>
        <w:spacing w:after="0" w:before="0" w:line="360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 xml:space="preserve">本方案回答三个问题：查什么、怎么查、怎么干。核心结论先说：第一期只做静态缺陷检测——用现成开源工具把问题查出来，再用大模型把误报挑掉；规范检查、测试生成等内容后面分阶段上。</w:t>
      </w:r>
    </w:p>
    <w:p>
      <w:pPr>
        <w:pStyle w:val="Heading2"/>
        <w:spacing w:after="120" w:before="120" w:line="360" w:lineRule="auto"/>
      </w:pPr>
      <w:bookmarkStart w:id="100001" w:name="_Toc100001"/>
      <w:r>
        <w:rPr>
          <w:rFonts w:ascii="Times New Roman" w:eastAsia="黑体"/>
          <w:color w:val="000000"/>
          <w:sz w:val="28"/>
          <w:szCs w:val="28"/>
        </w:rPr>
        <w:t xml:space="preserve">1.1  检测清单怎么定</w:t>
      </w:r>
      <w:bookmarkEnd w:id="100001"/>
    </w:p>
    <w:p>
      <w:pPr>
        <w:spacing w:after="0" w:before="0" w:line="360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 xml:space="preserve">清单按两个维度整理。一是缺陷类型：按国际通用的 CWE 编号归类（越界写、空指针、内存泄漏等）；二是规范条款：MISRA C、GJB 8114、CERT C 里一条条具体的编程规则。两个维度对得上号——每条规则背后都是一类缺陷。最终每条检测项就是四件事：查什么缺陷、违反哪条规则、用哪个工具查、有多严重。行业标准（比如汽车的 ISO 26262）的作用是裁剪：安全等级越高，要查的项越多。</w:t>
      </w:r>
    </w:p>
    <w:p>
      <w:pPr>
        <w:pStyle w:val="Heading2"/>
        <w:spacing w:after="120" w:before="120" w:line="360" w:lineRule="auto"/>
      </w:pPr>
      <w:bookmarkStart w:id="100002" w:name="_Toc100002"/>
      <w:r>
        <w:rPr>
          <w:rFonts w:ascii="Times New Roman" w:eastAsia="黑体"/>
          <w:color w:val="000000"/>
          <w:sz w:val="28"/>
          <w:szCs w:val="28"/>
        </w:rPr>
        <w:t xml:space="preserve">1.2  先查哪类缺陷</w:t>
      </w:r>
      <w:bookmarkEnd w:id="100002"/>
    </w:p>
    <w:p>
      <w:pPr>
        <w:spacing w:after="0" w:before="0" w:line="360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 xml:space="preserve">看真实漏洞数据说话：2025 年 CWE Top 25 的已知被利用（KEV）子榜里，越界写得分 50.39，约为第二名 XSS（17.99）的三倍。所以内存安全排第一。表 1-1 列出七类缺陷和嵌入式场景下的典型成因。</w:t>
      </w:r>
    </w:p>
    <w:p>
      <w:pPr>
        <w:keepNext/>
        <w:spacing w:after="80" w:before="200" w:line="300" w:lineRule="atLeast"/>
        <w:jc w:val="left"/>
      </w:pPr>
      <w:r>
        <w:rPr>
          <w:rFonts w:ascii="Times New Roman" w:eastAsia="宋体"/>
          <w:color w:val="000000"/>
          <w:sz w:val="21"/>
          <w:szCs w:val="21"/>
        </w:rPr>
        <w:t xml:space="preserve">表 1-1  七类缺陷与嵌入式典型成因（按优先级排列）</w:t>
      </w:r>
    </w:p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317"/>
        <w:gridCol w:w="3385"/>
        <w:gridCol w:w="4702"/>
      </w:tblGrid>
      <w:tr>
        <w:trPr>
          <w:cantSplit/>
          <w:tblHeader/>
        </w:trPr>
        <w:tc>
          <w:tcPr>
            <w:tcW w:type="pct" w:w="7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EDEDED" w:val="clear"/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280" w:lineRule="atLeast"/>
              <w:jc w:val="center"/>
            </w:pPr>
            <w:r>
              <w:rPr>
                <w:rFonts w:ascii="Times New Roman" w:eastAsia="宋体"/>
                <w:b/>
                <w:bCs/>
                <w:color w:val="000000"/>
                <w:sz w:val="21"/>
                <w:szCs w:val="21"/>
              </w:rPr>
              <w:t xml:space="preserve">缺陷类别</w:t>
            </w:r>
          </w:p>
        </w:tc>
        <w:tc>
          <w:tcPr>
            <w:tcW w:type="pct" w:w="18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EDEDED" w:val="clear"/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280" w:lineRule="atLeast"/>
              <w:jc w:val="center"/>
            </w:pPr>
            <w:r>
              <w:rPr>
                <w:rFonts w:ascii="Times New Roman" w:eastAsia="宋体"/>
                <w:b/>
                <w:bCs/>
                <w:color w:val="000000"/>
                <w:sz w:val="21"/>
                <w:szCs w:val="21"/>
              </w:rPr>
              <w:t xml:space="preserve">常见问题</w:t>
            </w:r>
          </w:p>
        </w:tc>
        <w:tc>
          <w:tcPr>
            <w:tcW w:type="pct" w:w="25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EDEDED" w:val="clear"/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280" w:lineRule="atLeast"/>
              <w:jc w:val="center"/>
            </w:pPr>
            <w:r>
              <w:rPr>
                <w:rFonts w:ascii="Times New Roman" w:eastAsia="宋体"/>
                <w:b/>
                <w:bCs/>
                <w:color w:val="000000"/>
                <w:sz w:val="21"/>
                <w:szCs w:val="21"/>
              </w:rPr>
              <w:t xml:space="preserve">嵌入式里为什么高发</w:t>
            </w:r>
          </w:p>
        </w:tc>
      </w:tr>
      <w:tr>
        <w:trPr>
          <w:cantSplit/>
        </w:trPr>
        <w:tc>
          <w:tcPr>
            <w:tcW w:type="pct" w:w="7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宋体"/>
                <w:color w:val="000000"/>
                <w:sz w:val="21"/>
                <w:szCs w:val="21"/>
              </w:rPr>
              <w:t xml:space="preserve">内存安全</w:t>
            </w:r>
          </w:p>
        </w:tc>
        <w:tc>
          <w:tcPr>
            <w:tcW w:type="pct" w:w="18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宋体"/>
                <w:color w:val="000000"/>
                <w:sz w:val="21"/>
                <w:szCs w:val="21"/>
              </w:rPr>
              <w:t xml:space="preserve">缓冲区溢出、数组越界、空指针、野指针、内存泄漏</w:t>
            </w:r>
          </w:p>
        </w:tc>
        <w:tc>
          <w:tcPr>
            <w:tcW w:type="pct" w:w="25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宋体"/>
                <w:color w:val="000000"/>
                <w:sz w:val="21"/>
                <w:szCs w:val="21"/>
              </w:rPr>
              <w:t xml:space="preserve">解析协议数据时无界拷贝；没有内存保护的芯片越界写不报错、悄悄破坏别的任务；设备常年不关机，小泄漏也会攒成大事故</w:t>
            </w:r>
          </w:p>
        </w:tc>
      </w:tr>
      <w:tr>
        <w:trPr>
          <w:cantSplit/>
        </w:trPr>
        <w:tc>
          <w:tcPr>
            <w:tcW w:type="pct" w:w="7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宋体"/>
                <w:color w:val="000000"/>
                <w:sz w:val="21"/>
                <w:szCs w:val="21"/>
              </w:rPr>
              <w:t xml:space="preserve">并发与中断</w:t>
            </w:r>
          </w:p>
        </w:tc>
        <w:tc>
          <w:tcPr>
            <w:tcW w:type="pct" w:w="18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宋体"/>
                <w:color w:val="000000"/>
                <w:sz w:val="21"/>
                <w:szCs w:val="21"/>
              </w:rPr>
              <w:t xml:space="preserve">数据竞争、死锁、优先级反转、中断函数不可重入</w:t>
            </w:r>
          </w:p>
        </w:tc>
        <w:tc>
          <w:tcPr>
            <w:tcW w:type="pct" w:w="25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宋体"/>
                <w:color w:val="000000"/>
                <w:sz w:val="21"/>
                <w:szCs w:val="21"/>
              </w:rPr>
              <w:t xml:space="preserve">中断和任务共用变量却没加保护；volatile 不保证原子性，多字节数据可能读一半被改</w:t>
            </w:r>
          </w:p>
        </w:tc>
      </w:tr>
      <w:tr>
        <w:trPr>
          <w:cantSplit/>
        </w:trPr>
        <w:tc>
          <w:tcPr>
            <w:tcW w:type="pct" w:w="7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宋体"/>
                <w:color w:val="000000"/>
                <w:sz w:val="21"/>
                <w:szCs w:val="21"/>
              </w:rPr>
              <w:t xml:space="preserve">整型与算术</w:t>
            </w:r>
          </w:p>
        </w:tc>
        <w:tc>
          <w:tcPr>
            <w:tcW w:type="pct" w:w="18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宋体"/>
                <w:color w:val="000000"/>
                <w:sz w:val="21"/>
                <w:szCs w:val="21"/>
              </w:rPr>
              <w:t xml:space="preserve">有符号溢出、隐式截断、除零</w:t>
            </w:r>
          </w:p>
        </w:tc>
        <w:tc>
          <w:tcPr>
            <w:tcW w:type="pct" w:w="25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宋体"/>
                <w:color w:val="000000"/>
                <w:sz w:val="21"/>
                <w:szCs w:val="21"/>
              </w:rPr>
              <w:t xml:space="preserve">16 位单片机上 int 只有 16 位，类型转换时容易悄悄截断</w:t>
            </w:r>
          </w:p>
        </w:tc>
      </w:tr>
      <w:tr>
        <w:trPr>
          <w:cantSplit/>
        </w:trPr>
        <w:tc>
          <w:tcPr>
            <w:tcW w:type="pct" w:w="7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宋体"/>
                <w:color w:val="000000"/>
                <w:sz w:val="21"/>
                <w:szCs w:val="21"/>
              </w:rPr>
              <w:t xml:space="preserve">未定义行为</w:t>
            </w:r>
          </w:p>
        </w:tc>
        <w:tc>
          <w:tcPr>
            <w:tcW w:type="pct" w:w="18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宋体"/>
                <w:color w:val="000000"/>
                <w:sz w:val="21"/>
                <w:szCs w:val="21"/>
              </w:rPr>
              <w:t xml:space="preserve">严格别名、对齐错误、悬空指针</w:t>
            </w:r>
          </w:p>
        </w:tc>
        <w:tc>
          <w:tcPr>
            <w:tcW w:type="pct" w:w="25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宋体"/>
                <w:color w:val="000000"/>
                <w:sz w:val="21"/>
                <w:szCs w:val="21"/>
              </w:rPr>
              <w:t xml:space="preserve">不同编译器对同一段有歧义的代码处理不同，换个编译器就出故障</w:t>
            </w:r>
          </w:p>
        </w:tc>
      </w:tr>
      <w:tr>
        <w:trPr>
          <w:cantSplit/>
        </w:trPr>
        <w:tc>
          <w:tcPr>
            <w:tcW w:type="pct" w:w="7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宋体"/>
                <w:color w:val="000000"/>
                <w:sz w:val="21"/>
                <w:szCs w:val="21"/>
              </w:rPr>
              <w:t xml:space="preserve">栈与实时性</w:t>
            </w:r>
          </w:p>
        </w:tc>
        <w:tc>
          <w:tcPr>
            <w:tcW w:type="pct" w:w="18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宋体"/>
                <w:color w:val="000000"/>
                <w:sz w:val="21"/>
                <w:szCs w:val="21"/>
              </w:rPr>
              <w:t xml:space="preserve">栈溢出、函数执行超时</w:t>
            </w:r>
          </w:p>
        </w:tc>
        <w:tc>
          <w:tcPr>
            <w:tcW w:type="pct" w:w="25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宋体"/>
                <w:color w:val="000000"/>
                <w:sz w:val="21"/>
                <w:szCs w:val="21"/>
              </w:rPr>
              <w:t xml:space="preserve">递归、大局部数组、中断嵌套把栈吃穿</w:t>
            </w:r>
          </w:p>
        </w:tc>
      </w:tr>
      <w:tr>
        <w:trPr>
          <w:cantSplit/>
        </w:trPr>
        <w:tc>
          <w:tcPr>
            <w:tcW w:type="pct" w:w="7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宋体"/>
                <w:color w:val="000000"/>
                <w:sz w:val="21"/>
                <w:szCs w:val="21"/>
              </w:rPr>
              <w:t xml:space="preserve">字符串与资源</w:t>
            </w:r>
          </w:p>
        </w:tc>
        <w:tc>
          <w:tcPr>
            <w:tcW w:type="pct" w:w="18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宋体"/>
                <w:color w:val="000000"/>
                <w:sz w:val="21"/>
                <w:szCs w:val="21"/>
              </w:rPr>
              <w:t xml:space="preserve">不安全字符串函数、外设句柄泄漏</w:t>
            </w:r>
          </w:p>
        </w:tc>
        <w:tc>
          <w:tcPr>
            <w:tcW w:type="pct" w:w="25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宋体"/>
                <w:color w:val="000000"/>
                <w:sz w:val="21"/>
                <w:szCs w:val="21"/>
              </w:rPr>
              <w:t xml:space="preserve">错误处理分支忘了关外设；安全标准普遍禁止运行时动态分配内存</w:t>
            </w:r>
          </w:p>
        </w:tc>
      </w:tr>
      <w:tr>
        <w:trPr>
          <w:cantSplit/>
        </w:trPr>
        <w:tc>
          <w:tcPr>
            <w:tcW w:type="pct" w:w="7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宋体"/>
                <w:color w:val="000000"/>
                <w:sz w:val="21"/>
                <w:szCs w:val="21"/>
              </w:rPr>
              <w:t xml:space="preserve">结构与质量</w:t>
            </w:r>
          </w:p>
        </w:tc>
        <w:tc>
          <w:tcPr>
            <w:tcW w:type="pct" w:w="18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宋体"/>
                <w:color w:val="000000"/>
                <w:sz w:val="21"/>
                <w:szCs w:val="21"/>
              </w:rPr>
              <w:t xml:space="preserve">死代码、圈复杂度超标</w:t>
            </w:r>
          </w:p>
        </w:tc>
        <w:tc>
          <w:tcPr>
            <w:tcW w:type="pct" w:w="25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宋体"/>
                <w:color w:val="000000"/>
                <w:sz w:val="21"/>
                <w:szCs w:val="21"/>
              </w:rPr>
              <w:t xml:space="preserve">影响认证追溯和长期维护</w:t>
            </w:r>
          </w:p>
        </w:tc>
      </w:tr>
    </w:tbl>
    <w:p>
      <w:pPr>
        <w:pStyle w:val="Heading2"/>
        <w:spacing w:after="120" w:before="120" w:line="360" w:lineRule="auto"/>
      </w:pPr>
      <w:bookmarkStart w:id="100003" w:name="_Toc100003"/>
      <w:r>
        <w:rPr>
          <w:rFonts w:ascii="Times New Roman" w:eastAsia="黑体"/>
          <w:color w:val="000000"/>
          <w:sz w:val="28"/>
          <w:szCs w:val="28"/>
        </w:rPr>
        <w:t xml:space="preserve">1.3  用哪些规范当尺子</w:t>
      </w:r>
      <w:bookmarkEnd w:id="100003"/>
    </w:p>
    <w:p>
      <w:pPr>
        <w:spacing w:after="0" w:before="0" w:line="360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 xml:space="preserve">规范就是一把把尺子，要按目标标准分库维护。两个现实问题要注意：最新的 MISRA C:2025 开源工具还查不了（cppcheck 的开源插件只支持 2012 版，2025 版只有商业工具支持）；GJB 8114 和 GJB 5369 两套国军标规则编号互不通用，规则库得分开建。</w:t>
      </w:r>
    </w:p>
    <w:p>
      <w:pPr>
        <w:keepNext/>
        <w:spacing w:after="80" w:before="200" w:line="300" w:lineRule="atLeast"/>
        <w:jc w:val="left"/>
      </w:pPr>
      <w:r>
        <w:rPr>
          <w:rFonts w:ascii="Times New Roman" w:eastAsia="宋体"/>
          <w:color w:val="000000"/>
          <w:sz w:val="21"/>
          <w:szCs w:val="21"/>
        </w:rPr>
        <w:t xml:space="preserve">表 1-2  规范基线现状</w:t>
      </w:r>
    </w:p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445"/>
        <w:gridCol w:w="3574"/>
        <w:gridCol w:w="3385"/>
      </w:tblGrid>
      <w:tr>
        <w:trPr>
          <w:cantSplit/>
          <w:tblHeader/>
        </w:trPr>
        <w:tc>
          <w:tcPr>
            <w:tcW w:type="pct" w:w="13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EDEDED" w:val="clear"/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280" w:lineRule="atLeast"/>
              <w:jc w:val="center"/>
            </w:pPr>
            <w:r>
              <w:rPr>
                <w:rFonts w:ascii="Times New Roman" w:eastAsia="宋体"/>
                <w:b/>
                <w:bCs/>
                <w:color w:val="000000"/>
                <w:sz w:val="21"/>
                <w:szCs w:val="21"/>
              </w:rPr>
              <w:t xml:space="preserve">规范</w:t>
            </w:r>
          </w:p>
        </w:tc>
        <w:tc>
          <w:tcPr>
            <w:tcW w:type="pct" w:w="19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EDEDED" w:val="clear"/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280" w:lineRule="atLeast"/>
              <w:jc w:val="center"/>
            </w:pPr>
            <w:r>
              <w:rPr>
                <w:rFonts w:ascii="Times New Roman" w:eastAsia="宋体"/>
                <w:b/>
                <w:bCs/>
                <w:color w:val="000000"/>
                <w:sz w:val="21"/>
                <w:szCs w:val="21"/>
              </w:rPr>
              <w:t xml:space="preserve">内容</w:t>
            </w:r>
          </w:p>
        </w:tc>
        <w:tc>
          <w:tcPr>
            <w:tcW w:type="pct" w:w="18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EDEDED" w:val="clear"/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280" w:lineRule="atLeast"/>
              <w:jc w:val="center"/>
            </w:pPr>
            <w:r>
              <w:rPr>
                <w:rFonts w:ascii="Times New Roman" w:eastAsia="宋体"/>
                <w:b/>
                <w:bCs/>
                <w:color w:val="000000"/>
                <w:sz w:val="21"/>
                <w:szCs w:val="21"/>
              </w:rPr>
              <w:t xml:space="preserve">开源工具支持情况</w:t>
            </w:r>
          </w:p>
        </w:tc>
      </w:tr>
      <w:tr>
        <w:trPr>
          <w:cantSplit/>
        </w:trPr>
        <w:tc>
          <w:tcPr>
            <w:tcW w:type="pct" w:w="13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宋体"/>
                <w:color w:val="000000"/>
                <w:sz w:val="21"/>
                <w:szCs w:val="21"/>
              </w:rPr>
              <w:t xml:space="preserve">MISRA C:2012（含修订）</w:t>
            </w:r>
          </w:p>
        </w:tc>
        <w:tc>
          <w:tcPr>
            <w:tcW w:type="pct" w:w="19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宋体"/>
                <w:color w:val="000000"/>
                <w:sz w:val="21"/>
                <w:szCs w:val="21"/>
              </w:rPr>
              <w:t xml:space="preserve">约 200 条规则，汽车电子行业主流</w:t>
            </w:r>
          </w:p>
        </w:tc>
        <w:tc>
          <w:tcPr>
            <w:tcW w:type="pct" w:w="18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宋体"/>
                <w:color w:val="000000"/>
                <w:sz w:val="21"/>
                <w:szCs w:val="21"/>
              </w:rPr>
              <w:t xml:space="preserve">cppcheck、clang-tidy 可查</w:t>
            </w:r>
          </w:p>
        </w:tc>
      </w:tr>
      <w:tr>
        <w:trPr>
          <w:cantSplit/>
        </w:trPr>
        <w:tc>
          <w:tcPr>
            <w:tcW w:type="pct" w:w="13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宋体"/>
                <w:color w:val="000000"/>
                <w:sz w:val="21"/>
                <w:szCs w:val="21"/>
              </w:rPr>
              <w:t xml:space="preserve">MISRA C:2025</w:t>
            </w:r>
          </w:p>
        </w:tc>
        <w:tc>
          <w:tcPr>
            <w:tcW w:type="pct" w:w="19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宋体"/>
                <w:color w:val="000000"/>
                <w:sz w:val="21"/>
                <w:szCs w:val="21"/>
              </w:rPr>
              <w:t xml:space="preserve">约 225 条规则（2025 年新版）</w:t>
            </w:r>
          </w:p>
        </w:tc>
        <w:tc>
          <w:tcPr>
            <w:tcW w:type="pct" w:w="18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宋体"/>
                <w:color w:val="000000"/>
                <w:sz w:val="21"/>
                <w:szCs w:val="21"/>
              </w:rPr>
              <w:t xml:space="preserve">开源暂不支持，仅商业工具</w:t>
            </w:r>
          </w:p>
        </w:tc>
      </w:tr>
      <w:tr>
        <w:trPr>
          <w:cantSplit/>
        </w:trPr>
        <w:tc>
          <w:tcPr>
            <w:tcW w:type="pct" w:w="13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宋体"/>
                <w:color w:val="000000"/>
                <w:sz w:val="21"/>
                <w:szCs w:val="21"/>
              </w:rPr>
              <w:t xml:space="preserve">SEI CERT C</w:t>
            </w:r>
          </w:p>
        </w:tc>
        <w:tc>
          <w:tcPr>
            <w:tcW w:type="pct" w:w="19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宋体"/>
                <w:color w:val="000000"/>
                <w:sz w:val="21"/>
                <w:szCs w:val="21"/>
              </w:rPr>
              <w:t xml:space="preserve">98 条安全编码规则，与 CWE 有映射</w:t>
            </w:r>
          </w:p>
        </w:tc>
        <w:tc>
          <w:tcPr>
            <w:tcW w:type="pct" w:w="18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宋体"/>
                <w:color w:val="000000"/>
                <w:sz w:val="21"/>
                <w:szCs w:val="21"/>
              </w:rPr>
              <w:t xml:space="preserve">部分支持</w:t>
            </w:r>
          </w:p>
        </w:tc>
      </w:tr>
      <w:tr>
        <w:trPr>
          <w:cantSplit/>
        </w:trPr>
        <w:tc>
          <w:tcPr>
            <w:tcW w:type="pct" w:w="13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宋体"/>
                <w:color w:val="000000"/>
                <w:sz w:val="21"/>
                <w:szCs w:val="21"/>
              </w:rPr>
              <w:t xml:space="preserve">GJB 8114 / GJB 5369</w:t>
            </w:r>
          </w:p>
        </w:tc>
        <w:tc>
          <w:tcPr>
            <w:tcW w:type="pct" w:w="19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宋体"/>
                <w:color w:val="000000"/>
                <w:sz w:val="21"/>
                <w:szCs w:val="21"/>
              </w:rPr>
              <w:t xml:space="preserve">国内军品事实基线（124 条 / 138 条）</w:t>
            </w:r>
          </w:p>
        </w:tc>
        <w:tc>
          <w:tcPr>
            <w:tcW w:type="pct" w:w="18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宋体"/>
                <w:color w:val="000000"/>
                <w:sz w:val="21"/>
                <w:szCs w:val="21"/>
              </w:rPr>
              <w:t xml:space="preserve">国产工具或自建规则库</w:t>
            </w:r>
          </w:p>
        </w:tc>
      </w:tr>
    </w:tbl>
    <w:p>
      <w:pPr>
        <w:pStyle w:val="Heading2"/>
        <w:spacing w:after="120" w:before="120" w:line="360" w:lineRule="auto"/>
      </w:pPr>
      <w:bookmarkStart w:id="100004" w:name="_Toc100004"/>
      <w:r>
        <w:rPr>
          <w:rFonts w:ascii="Times New Roman" w:eastAsia="黑体"/>
          <w:color w:val="000000"/>
          <w:sz w:val="28"/>
          <w:szCs w:val="28"/>
        </w:rPr>
        <w:t xml:space="preserve">1.4  安全标准的影响</w:t>
      </w:r>
      <w:bookmarkEnd w:id="100004"/>
    </w:p>
    <w:p>
      <w:pPr>
        <w:spacing w:after="0" w:before="0" w:line="360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 xml:space="preserve">标准的影响就三条：安全等级越高，静态分析越强制；覆盖率要求越高，最高到 MC/DC（修正条件判定覆盖，航空最高等级强制）；静态查完还得动态测，两者不能互相替代。落到系统里：标准决定检测项开多少，用配置文件控制。</w:t>
      </w:r>
    </w:p>
    <w:p>
      <w:pPr>
        <w:pStyle w:val="Heading2"/>
        <w:spacing w:after="120" w:before="120" w:line="360" w:lineRule="auto"/>
      </w:pPr>
      <w:bookmarkStart w:id="100005" w:name="_Toc100005"/>
      <w:r>
        <w:rPr>
          <w:rFonts w:ascii="Times New Roman" w:eastAsia="黑体"/>
          <w:color w:val="000000"/>
          <w:sz w:val="28"/>
          <w:szCs w:val="28"/>
        </w:rPr>
        <w:t xml:space="preserve">1.5  四个维度怎么做：一个一个来</w:t>
      </w:r>
      <w:bookmarkEnd w:id="100005"/>
    </w:p>
    <w:p>
      <w:pPr>
        <w:spacing w:after="0" w:before="0" w:line="360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 xml:space="preserve">四个维度不齐头并进，按把握从大到小、难度从低到高排序：静态缺陷第一（工具成熟，去误报正是大模型擅长的事）；规范合规第二（建规则库费人力但结果确定）；测试生成第三；并发时序最后（工具最难、误报最多）。固件检测放二期。这个顺序在第 3 章的计划里落实。</w:t>
      </w:r>
    </w:p>
    <w:p>
      <w:pPr>
        <w:pStyle w:val="Heading1"/>
        <w:pageBreakBefore/>
        <w:spacing w:after="120" w:before="120" w:line="400" w:lineRule="exact"/>
        <w:jc w:val="center"/>
      </w:pPr>
      <w:bookmarkStart w:id="100006" w:name="_Toc100006"/>
      <w:r>
        <w:rPr>
          <w:rFonts w:ascii="Times New Roman" w:eastAsia="黑体"/>
          <w:color w:val="000000"/>
          <w:sz w:val="32"/>
          <w:szCs w:val="32"/>
        </w:rPr>
        <w:t xml:space="preserve">第 2 章  怎么分：四类方法与第一期工具</w:t>
      </w:r>
      <w:bookmarkEnd w:id="100006"/>
    </w:p>
    <w:p>
      <w:pPr>
        <w:pStyle w:val="Heading2"/>
        <w:spacing w:after="120" w:before="120" w:line="360" w:lineRule="auto"/>
      </w:pPr>
      <w:bookmarkStart w:id="100007" w:name="_Toc100007"/>
      <w:r>
        <w:rPr>
          <w:rFonts w:ascii="Times New Roman" w:eastAsia="黑体"/>
          <w:color w:val="000000"/>
          <w:sz w:val="28"/>
          <w:szCs w:val="28"/>
        </w:rPr>
        <w:t xml:space="preserve">2.1  四类方法各管什么</w:t>
      </w:r>
      <w:bookmarkEnd w:id="100007"/>
    </w:p>
    <w:p>
      <w:pPr>
        <w:spacing w:after="0" w:before="0" w:line="360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 xml:space="preserve">检测方法分四类，各有长短：静态分析不运行程序、直接读代码找问题，查得全但会误报；动态分析把程序真跑起来观察，准但查不到没执行到的路径；混合分析自动生成测试用例、能钻到深层路径，但算力开销大；固件分析对付没有源码的二进制。第一期只用静态分析，其余按阶段引入。</w:t>
      </w:r>
    </w:p>
    <w:p>
      <w:pPr>
        <w:keepNext/>
        <w:spacing w:after="80" w:before="200" w:line="300" w:lineRule="atLeast"/>
        <w:jc w:val="left"/>
      </w:pPr>
      <w:r>
        <w:rPr>
          <w:rFonts w:ascii="Times New Roman" w:eastAsia="宋体"/>
          <w:color w:val="000000"/>
          <w:sz w:val="21"/>
          <w:szCs w:val="21"/>
        </w:rPr>
        <w:t xml:space="preserve">表 2-1  四类方法与引入阶段</w:t>
      </w:r>
    </w:p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317"/>
        <w:gridCol w:w="2821"/>
        <w:gridCol w:w="3009"/>
        <w:gridCol w:w="2257"/>
      </w:tblGrid>
      <w:tr>
        <w:trPr>
          <w:cantSplit/>
          <w:tblHeader/>
        </w:trPr>
        <w:tc>
          <w:tcPr>
            <w:tcW w:type="pct" w:w="7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EDEDED" w:val="clear"/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280" w:lineRule="atLeast"/>
              <w:jc w:val="center"/>
            </w:pPr>
            <w:r>
              <w:rPr>
                <w:rFonts w:ascii="Times New Roman" w:eastAsia="宋体"/>
                <w:b/>
                <w:bCs/>
                <w:color w:val="000000"/>
                <w:sz w:val="21"/>
                <w:szCs w:val="21"/>
              </w:rPr>
              <w:t xml:space="preserve">方法</w:t>
            </w:r>
          </w:p>
        </w:tc>
        <w:tc>
          <w:tcPr>
            <w:tcW w:type="pct" w:w="15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EDEDED" w:val="clear"/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280" w:lineRule="atLeast"/>
              <w:jc w:val="center"/>
            </w:pPr>
            <w:r>
              <w:rPr>
                <w:rFonts w:ascii="Times New Roman" w:eastAsia="宋体"/>
                <w:b/>
                <w:bCs/>
                <w:color w:val="000000"/>
                <w:sz w:val="21"/>
                <w:szCs w:val="21"/>
              </w:rPr>
              <w:t xml:space="preserve">长处</w:t>
            </w:r>
          </w:p>
        </w:tc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EDEDED" w:val="clear"/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280" w:lineRule="atLeast"/>
              <w:jc w:val="center"/>
            </w:pPr>
            <w:r>
              <w:rPr>
                <w:rFonts w:ascii="Times New Roman" w:eastAsia="宋体"/>
                <w:b/>
                <w:bCs/>
                <w:color w:val="000000"/>
                <w:sz w:val="21"/>
                <w:szCs w:val="21"/>
              </w:rPr>
              <w:t xml:space="preserve">短板</w:t>
            </w:r>
          </w:p>
        </w:tc>
        <w:tc>
          <w:tcPr>
            <w:tcW w:type="pct" w:w="12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EDEDED" w:val="clear"/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280" w:lineRule="atLeast"/>
              <w:jc w:val="center"/>
            </w:pPr>
            <w:r>
              <w:rPr>
                <w:rFonts w:ascii="Times New Roman" w:eastAsia="宋体"/>
                <w:b/>
                <w:bCs/>
                <w:color w:val="000000"/>
                <w:sz w:val="21"/>
                <w:szCs w:val="21"/>
              </w:rPr>
              <w:t xml:space="preserve">什么时候用</w:t>
            </w:r>
          </w:p>
        </w:tc>
      </w:tr>
      <w:tr>
        <w:trPr>
          <w:cantSplit/>
        </w:trPr>
        <w:tc>
          <w:tcPr>
            <w:tcW w:type="pct" w:w="7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宋体"/>
                <w:color w:val="000000"/>
                <w:sz w:val="21"/>
                <w:szCs w:val="21"/>
              </w:rPr>
              <w:t xml:space="preserve">静态分析</w:t>
            </w:r>
          </w:p>
        </w:tc>
        <w:tc>
          <w:tcPr>
            <w:tcW w:type="pct" w:w="15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宋体"/>
                <w:color w:val="000000"/>
                <w:sz w:val="21"/>
                <w:szCs w:val="21"/>
              </w:rPr>
              <w:t xml:space="preserve">查得全，能查规范违规</w:t>
            </w:r>
          </w:p>
        </w:tc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宋体"/>
                <w:color w:val="000000"/>
                <w:sz w:val="21"/>
                <w:szCs w:val="21"/>
              </w:rPr>
              <w:t xml:space="preserve">有误报，需要人工或大模型分辨</w:t>
            </w:r>
          </w:p>
        </w:tc>
        <w:tc>
          <w:tcPr>
            <w:tcW w:type="pct" w:w="12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宋体"/>
                <w:color w:val="000000"/>
                <w:sz w:val="21"/>
                <w:szCs w:val="21"/>
              </w:rPr>
              <w:t xml:space="preserve">第一期（本方案主线）</w:t>
            </w:r>
          </w:p>
        </w:tc>
      </w:tr>
      <w:tr>
        <w:trPr>
          <w:cantSplit/>
        </w:trPr>
        <w:tc>
          <w:tcPr>
            <w:tcW w:type="pct" w:w="7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宋体"/>
                <w:color w:val="000000"/>
                <w:sz w:val="21"/>
                <w:szCs w:val="21"/>
              </w:rPr>
              <w:t xml:space="preserve">动态分析</w:t>
            </w:r>
          </w:p>
        </w:tc>
        <w:tc>
          <w:tcPr>
            <w:tcW w:type="pct" w:w="15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宋体"/>
                <w:color w:val="000000"/>
                <w:sz w:val="21"/>
                <w:szCs w:val="21"/>
              </w:rPr>
              <w:t xml:space="preserve">查得准，能拿到覆盖率证据</w:t>
            </w:r>
          </w:p>
        </w:tc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宋体"/>
                <w:color w:val="000000"/>
                <w:sz w:val="21"/>
                <w:szCs w:val="21"/>
              </w:rPr>
              <w:t xml:space="preserve">查不到没跑到的代码；裸机限制多</w:t>
            </w:r>
          </w:p>
        </w:tc>
        <w:tc>
          <w:tcPr>
            <w:tcW w:type="pct" w:w="12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宋体"/>
                <w:color w:val="000000"/>
                <w:sz w:val="21"/>
                <w:szCs w:val="21"/>
              </w:rPr>
              <w:t xml:space="preserve">第三阶段</w:t>
            </w:r>
          </w:p>
        </w:tc>
      </w:tr>
      <w:tr>
        <w:trPr>
          <w:cantSplit/>
        </w:trPr>
        <w:tc>
          <w:tcPr>
            <w:tcW w:type="pct" w:w="7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宋体"/>
                <w:color w:val="000000"/>
                <w:sz w:val="21"/>
                <w:szCs w:val="21"/>
              </w:rPr>
              <w:t xml:space="preserve">混合分析</w:t>
            </w:r>
          </w:p>
        </w:tc>
        <w:tc>
          <w:tcPr>
            <w:tcW w:type="pct" w:w="15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宋体"/>
                <w:color w:val="000000"/>
                <w:sz w:val="21"/>
                <w:szCs w:val="21"/>
              </w:rPr>
              <w:t xml:space="preserve">自动造测试用例，钻深路径</w:t>
            </w:r>
          </w:p>
        </w:tc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宋体"/>
                <w:color w:val="000000"/>
                <w:sz w:val="21"/>
                <w:szCs w:val="21"/>
              </w:rPr>
              <w:t xml:space="preserve">算力贵、路径爆炸</w:t>
            </w:r>
          </w:p>
        </w:tc>
        <w:tc>
          <w:tcPr>
            <w:tcW w:type="pct" w:w="12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宋体"/>
                <w:color w:val="000000"/>
                <w:sz w:val="21"/>
                <w:szCs w:val="21"/>
              </w:rPr>
              <w:t xml:space="preserve">后备，按需用 CBMC/KLEE</w:t>
            </w:r>
          </w:p>
        </w:tc>
      </w:tr>
      <w:tr>
        <w:trPr>
          <w:cantSplit/>
        </w:trPr>
        <w:tc>
          <w:tcPr>
            <w:tcW w:type="pct" w:w="7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宋体"/>
                <w:color w:val="000000"/>
                <w:sz w:val="21"/>
                <w:szCs w:val="21"/>
              </w:rPr>
              <w:t xml:space="preserve">固件分析</w:t>
            </w:r>
          </w:p>
        </w:tc>
        <w:tc>
          <w:tcPr>
            <w:tcW w:type="pct" w:w="15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宋体"/>
                <w:color w:val="000000"/>
                <w:sz w:val="21"/>
                <w:szCs w:val="21"/>
              </w:rPr>
              <w:t xml:space="preserve">查无源码组件的漏洞</w:t>
            </w:r>
          </w:p>
        </w:tc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宋体"/>
                <w:color w:val="000000"/>
                <w:sz w:val="21"/>
                <w:szCs w:val="21"/>
              </w:rPr>
              <w:t xml:space="preserve">定制芯片难仿真</w:t>
            </w:r>
          </w:p>
        </w:tc>
        <w:tc>
          <w:tcPr>
            <w:tcW w:type="pct" w:w="12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宋体"/>
                <w:color w:val="000000"/>
                <w:sz w:val="21"/>
                <w:szCs w:val="21"/>
              </w:rPr>
              <w:t xml:space="preserve">二期扩展</w:t>
            </w:r>
          </w:p>
        </w:tc>
      </w:tr>
    </w:tbl>
    <w:p>
      <w:pPr>
        <w:pStyle w:val="Heading2"/>
        <w:spacing w:after="120" w:before="120" w:line="360" w:lineRule="auto"/>
      </w:pPr>
      <w:bookmarkStart w:id="100008" w:name="_Toc100008"/>
      <w:r>
        <w:rPr>
          <w:rFonts w:ascii="Times New Roman" w:eastAsia="黑体"/>
          <w:color w:val="000000"/>
          <w:sz w:val="28"/>
          <w:szCs w:val="28"/>
        </w:rPr>
        <w:t xml:space="preserve">2.2  第一期用什么工具</w:t>
      </w:r>
      <w:bookmarkEnd w:id="100008"/>
    </w:p>
    <w:p>
      <w:pPr>
        <w:spacing w:after="0" w:before="0" w:line="360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 xml:space="preserve">选工具只有两条硬标准：能命令行调用；结果能输出成 JSON/XML 这类机器可读格式——大模型系统要把它们当工具使唤。第一期选型见表 2-2，全部开源、都在活跃维护。</w:t>
      </w:r>
    </w:p>
    <w:p>
      <w:pPr>
        <w:keepNext/>
        <w:spacing w:after="80" w:before="200" w:line="300" w:lineRule="atLeast"/>
        <w:jc w:val="left"/>
      </w:pPr>
      <w:r>
        <w:rPr>
          <w:rFonts w:ascii="Times New Roman" w:eastAsia="宋体"/>
          <w:color w:val="000000"/>
          <w:sz w:val="21"/>
          <w:szCs w:val="21"/>
        </w:rPr>
        <w:t xml:space="preserve">表 2-2  第一期工具链</w:t>
      </w:r>
    </w:p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257"/>
        <w:gridCol w:w="3009"/>
        <w:gridCol w:w="2257"/>
        <w:gridCol w:w="1881"/>
      </w:tblGrid>
      <w:tr>
        <w:trPr>
          <w:cantSplit/>
          <w:tblHeader/>
        </w:trPr>
        <w:tc>
          <w:tcPr>
            <w:tcW w:type="pct" w:w="12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EDEDED" w:val="clear"/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280" w:lineRule="atLeast"/>
              <w:jc w:val="center"/>
            </w:pPr>
            <w:r>
              <w:rPr>
                <w:rFonts w:ascii="Times New Roman" w:eastAsia="宋体"/>
                <w:b/>
                <w:bCs/>
                <w:color w:val="000000"/>
                <w:sz w:val="21"/>
                <w:szCs w:val="21"/>
              </w:rPr>
              <w:t xml:space="preserve">工具</w:t>
            </w:r>
          </w:p>
        </w:tc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EDEDED" w:val="clear"/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280" w:lineRule="atLeast"/>
              <w:jc w:val="center"/>
            </w:pPr>
            <w:r>
              <w:rPr>
                <w:rFonts w:ascii="Times New Roman" w:eastAsia="宋体"/>
                <w:b/>
                <w:bCs/>
                <w:color w:val="000000"/>
                <w:sz w:val="21"/>
                <w:szCs w:val="21"/>
              </w:rPr>
              <w:t xml:space="preserve">干什么用</w:t>
            </w:r>
          </w:p>
        </w:tc>
        <w:tc>
          <w:tcPr>
            <w:tcW w:type="pct" w:w="12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EDEDED" w:val="clear"/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280" w:lineRule="atLeast"/>
              <w:jc w:val="center"/>
            </w:pPr>
            <w:r>
              <w:rPr>
                <w:rFonts w:ascii="Times New Roman" w:eastAsia="宋体"/>
                <w:b/>
                <w:bCs/>
                <w:color w:val="000000"/>
                <w:sz w:val="21"/>
                <w:szCs w:val="21"/>
              </w:rPr>
              <w:t xml:space="preserve">结果格式</w:t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EDEDED" w:val="clear"/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280" w:lineRule="atLeast"/>
              <w:jc w:val="center"/>
            </w:pPr>
            <w:r>
              <w:rPr>
                <w:rFonts w:ascii="Times New Roman" w:eastAsia="宋体"/>
                <w:b/>
                <w:bCs/>
                <w:color w:val="000000"/>
                <w:sz w:val="21"/>
                <w:szCs w:val="21"/>
              </w:rPr>
              <w:t xml:space="preserve">许可证</w:t>
            </w:r>
          </w:p>
        </w:tc>
      </w:tr>
      <w:tr>
        <w:trPr>
          <w:cantSplit/>
        </w:trPr>
        <w:tc>
          <w:tcPr>
            <w:tcW w:type="pct" w:w="12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宋体"/>
                <w:color w:val="000000"/>
                <w:sz w:val="21"/>
                <w:szCs w:val="21"/>
              </w:rPr>
              <w:t xml:space="preserve">cppcheck 2.22</w:t>
            </w:r>
          </w:p>
        </w:tc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宋体"/>
                <w:color w:val="000000"/>
                <w:sz w:val="21"/>
                <w:szCs w:val="21"/>
              </w:rPr>
              <w:t xml:space="preserve">规则检查，带 MISRA 插件</w:t>
            </w:r>
          </w:p>
        </w:tc>
        <w:tc>
          <w:tcPr>
            <w:tcW w:type="pct" w:w="12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宋体"/>
                <w:color w:val="000000"/>
                <w:sz w:val="21"/>
                <w:szCs w:val="21"/>
              </w:rPr>
              <w:t xml:space="preserve">XML / SARIF</w:t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宋体"/>
                <w:color w:val="000000"/>
                <w:sz w:val="21"/>
                <w:szCs w:val="21"/>
              </w:rPr>
              <w:t xml:space="preserve">GPL-3.0</w:t>
            </w:r>
          </w:p>
        </w:tc>
      </w:tr>
      <w:tr>
        <w:trPr>
          <w:cantSplit/>
        </w:trPr>
        <w:tc>
          <w:tcPr>
            <w:tcW w:type="pct" w:w="12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宋体"/>
                <w:color w:val="000000"/>
                <w:sz w:val="21"/>
                <w:szCs w:val="21"/>
              </w:rPr>
              <w:t xml:space="preserve">clang-tidy</w:t>
            </w:r>
          </w:p>
        </w:tc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宋体"/>
                <w:color w:val="000000"/>
                <w:sz w:val="21"/>
                <w:szCs w:val="21"/>
              </w:rPr>
              <w:t xml:space="preserve">代码规则检查与自动修复</w:t>
            </w:r>
          </w:p>
        </w:tc>
        <w:tc>
          <w:tcPr>
            <w:tcW w:type="pct" w:w="12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宋体"/>
                <w:color w:val="000000"/>
                <w:sz w:val="21"/>
                <w:szCs w:val="21"/>
              </w:rPr>
              <w:t xml:space="preserve">YAML（可转 JSON）</w:t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宋体"/>
                <w:color w:val="000000"/>
                <w:sz w:val="21"/>
                <w:szCs w:val="21"/>
              </w:rPr>
              <w:t xml:space="preserve">Apache-2.0</w:t>
            </w:r>
          </w:p>
        </w:tc>
      </w:tr>
      <w:tr>
        <w:trPr>
          <w:cantSplit/>
        </w:trPr>
        <w:tc>
          <w:tcPr>
            <w:tcW w:type="pct" w:w="12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宋体"/>
                <w:color w:val="000000"/>
                <w:sz w:val="21"/>
                <w:szCs w:val="21"/>
              </w:rPr>
              <w:t xml:space="preserve">GCC -fanalyzer</w:t>
            </w:r>
          </w:p>
        </w:tc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宋体"/>
                <w:color w:val="000000"/>
                <w:sz w:val="21"/>
                <w:szCs w:val="21"/>
              </w:rPr>
              <w:t xml:space="preserve">路径分析，交叉编译工具链自带</w:t>
            </w:r>
          </w:p>
        </w:tc>
        <w:tc>
          <w:tcPr>
            <w:tcW w:type="pct" w:w="12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宋体"/>
                <w:color w:val="000000"/>
                <w:sz w:val="21"/>
                <w:szCs w:val="21"/>
              </w:rPr>
              <w:t xml:space="preserve">JSON / SARIF</w:t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宋体"/>
                <w:color w:val="000000"/>
                <w:sz w:val="21"/>
                <w:szCs w:val="21"/>
              </w:rPr>
              <w:t xml:space="preserve">GPL-3.0</w:t>
            </w:r>
          </w:p>
        </w:tc>
      </w:tr>
      <w:tr>
        <w:trPr>
          <w:cantSplit/>
        </w:trPr>
        <w:tc>
          <w:tcPr>
            <w:tcW w:type="pct" w:w="12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宋体"/>
                <w:color w:val="000000"/>
                <w:sz w:val="21"/>
                <w:szCs w:val="21"/>
              </w:rPr>
              <w:t xml:space="preserve">CBMC（后备）</w:t>
            </w:r>
          </w:p>
        </w:tc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宋体"/>
                <w:color w:val="000000"/>
                <w:sz w:val="21"/>
                <w:szCs w:val="21"/>
              </w:rPr>
              <w:t xml:space="preserve">数学级验证高危模块</w:t>
            </w:r>
          </w:p>
        </w:tc>
        <w:tc>
          <w:tcPr>
            <w:tcW w:type="pct" w:w="12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宋体"/>
                <w:color w:val="000000"/>
                <w:sz w:val="21"/>
                <w:szCs w:val="21"/>
              </w:rPr>
              <w:t xml:space="preserve">原生 JSON</w:t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宋体"/>
                <w:color w:val="000000"/>
                <w:sz w:val="21"/>
                <w:szCs w:val="21"/>
              </w:rPr>
              <w:t xml:space="preserve">BSD 类</w:t>
            </w:r>
          </w:p>
        </w:tc>
      </w:tr>
      <w:tr>
        <w:trPr>
          <w:cantSplit/>
        </w:trPr>
        <w:tc>
          <w:tcPr>
            <w:tcW w:type="pct" w:w="12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宋体"/>
                <w:color w:val="000000"/>
                <w:sz w:val="21"/>
                <w:szCs w:val="21"/>
              </w:rPr>
              <w:t xml:space="preserve">Ceedling/Unity/CMock（后续）</w:t>
            </w:r>
          </w:p>
        </w:tc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宋体"/>
                <w:color w:val="000000"/>
                <w:sz w:val="21"/>
                <w:szCs w:val="21"/>
              </w:rPr>
              <w:t xml:space="preserve">单元测试与硬件打桩</w:t>
            </w:r>
          </w:p>
        </w:tc>
        <w:tc>
          <w:tcPr>
            <w:tcW w:type="pct" w:w="12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宋体"/>
                <w:color w:val="000000"/>
                <w:sz w:val="21"/>
                <w:szCs w:val="21"/>
              </w:rPr>
              <w:t xml:space="preserve">JUnit XML</w:t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宋体"/>
                <w:color w:val="000000"/>
                <w:sz w:val="21"/>
                <w:szCs w:val="21"/>
              </w:rPr>
              <w:t xml:space="preserve">MIT</w:t>
            </w:r>
          </w:p>
        </w:tc>
      </w:tr>
      <w:tr>
        <w:trPr>
          <w:cantSplit/>
        </w:trPr>
        <w:tc>
          <w:tcPr>
            <w:tcW w:type="pct" w:w="12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宋体"/>
                <w:color w:val="000000"/>
                <w:sz w:val="21"/>
                <w:szCs w:val="21"/>
              </w:rPr>
              <w:t xml:space="preserve">Renode（后续）</w:t>
            </w:r>
          </w:p>
        </w:tc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宋体"/>
                <w:color w:val="000000"/>
                <w:sz w:val="21"/>
                <w:szCs w:val="21"/>
              </w:rPr>
              <w:t xml:space="preserve">单片机仿真</w:t>
            </w:r>
          </w:p>
        </w:tc>
        <w:tc>
          <w:tcPr>
            <w:tcW w:type="pct" w:w="12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宋体"/>
                <w:color w:val="000000"/>
                <w:sz w:val="21"/>
                <w:szCs w:val="21"/>
              </w:rPr>
              <w:t xml:space="preserve">XML</w:t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宋体"/>
                <w:color w:val="000000"/>
                <w:sz w:val="21"/>
                <w:szCs w:val="21"/>
              </w:rPr>
              <w:t xml:space="preserve">MIT</w:t>
            </w:r>
          </w:p>
        </w:tc>
      </w:tr>
    </w:tbl>
    <w:p>
      <w:pPr>
        <w:pStyle w:val="Heading2"/>
        <w:spacing w:after="120" w:before="120" w:line="360" w:lineRule="auto"/>
      </w:pPr>
      <w:bookmarkStart w:id="100009" w:name="_Toc100009"/>
      <w:r>
        <w:rPr>
          <w:rFonts w:ascii="Times New Roman" w:eastAsia="黑体"/>
          <w:color w:val="000000"/>
          <w:sz w:val="28"/>
          <w:szCs w:val="28"/>
        </w:rPr>
        <w:t xml:space="preserve">2.3  告警统一说一种话：SARIF</w:t>
      </w:r>
      <w:bookmarkEnd w:id="100009"/>
    </w:p>
    <w:p>
      <w:pPr>
        <w:spacing w:after="0" w:before="0" w:line="360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 xml:space="preserve">三个工具输出的格式各不相同，统一转成 SARIF——静态分析结果的通用交换标准，相当于这个领域的普通话。统一之后，大模型研判层只认一种格式，以后加新工具也不用改研判层，这是整个系统保持简单的关键。</w:t>
      </w:r>
    </w:p>
    <w:p>
      <w:pPr>
        <w:pStyle w:val="Heading2"/>
        <w:spacing w:after="120" w:before="120" w:line="360" w:lineRule="auto"/>
      </w:pPr>
      <w:bookmarkStart w:id="100010" w:name="_Toc100010"/>
      <w:r>
        <w:rPr>
          <w:rFonts w:ascii="Times New Roman" w:eastAsia="黑体"/>
          <w:color w:val="000000"/>
          <w:sz w:val="28"/>
          <w:szCs w:val="28"/>
        </w:rPr>
        <w:t xml:space="preserve">2.4  动态检测为什么放后面</w:t>
      </w:r>
      <w:bookmarkEnd w:id="100010"/>
    </w:p>
    <w:p>
      <w:pPr>
        <w:spacing w:after="0" w:before="0" w:line="360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 xml:space="preserve">有个绕不开的限制：ASan、Valgrind 这类内存检测工具依赖操作系统，裸机单片机上用不了（只有 UBSan 可以裁剪后用）。所以裸机的动态测试要走替代路线：在电脑上用 CMock 把硬件相关代码换成替身，跑 Unity 单元测试；需要模拟外设行为时用 Renode 仿真器。这些放到第三阶段做，本期不投入。</w:t>
      </w:r>
    </w:p>
    <w:p>
      <w:pPr>
        <w:pStyle w:val="Heading1"/>
        <w:pageBreakBefore/>
        <w:spacing w:after="120" w:before="120" w:line="400" w:lineRule="exact"/>
        <w:jc w:val="center"/>
      </w:pPr>
      <w:bookmarkStart w:id="100011" w:name="_Toc100011"/>
      <w:r>
        <w:rPr>
          <w:rFonts w:ascii="Times New Roman" w:eastAsia="黑体"/>
          <w:color w:val="000000"/>
          <w:sz w:val="32"/>
          <w:szCs w:val="32"/>
        </w:rPr>
        <w:t xml:space="preserve">第 3 章  怎么干：架构与计划</w:t>
      </w:r>
      <w:bookmarkEnd w:id="100011"/>
    </w:p>
    <w:p>
      <w:pPr>
        <w:pStyle w:val="Heading2"/>
        <w:spacing w:after="120" w:before="120" w:line="360" w:lineRule="auto"/>
      </w:pPr>
      <w:bookmarkStart w:id="100012" w:name="_Toc100012"/>
      <w:r>
        <w:rPr>
          <w:rFonts w:ascii="Times New Roman" w:eastAsia="黑体"/>
          <w:color w:val="000000"/>
          <w:sz w:val="28"/>
          <w:szCs w:val="28"/>
        </w:rPr>
        <w:t xml:space="preserve">3.1  总路线：核心自己写，其余全复用</w:t>
      </w:r>
      <w:bookmarkEnd w:id="100012"/>
    </w:p>
    <w:p>
      <w:pPr>
        <w:spacing w:after="0" w:before="0" w:line="360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 xml:space="preserve">总路线一句话：核心自己写（量不大），其余全部用现成开源，不 fork 大项目当底座。三个理由：第一，系统的价值在懂嵌入式的部分——工具适配、规则库、合规报告，这些现成项目里都没有，只能自己写；而这部分写完后，大模型编排只是薄薄一层。第二，最像的候选 open-code-review（4.3 万 star）是 Go 语言写的 PR 审查工具，fork 它等于接下整个 Go 技术栈，还换不来核心能力。第三，自研总量约几千行 Python，完全可控。open-code-review 的正确用法是当对照组：跑同一份代码，我们必须证明比通用方案更懂嵌入式。</w:t>
      </w:r>
    </w:p>
    <w:p>
      <w:pPr>
        <w:pStyle w:val="Heading2"/>
        <w:spacing w:after="120" w:before="120" w:line="360" w:lineRule="auto"/>
      </w:pPr>
      <w:bookmarkStart w:id="100013" w:name="_Toc100013"/>
      <w:r>
        <w:rPr>
          <w:rFonts w:ascii="Times New Roman" w:eastAsia="黑体"/>
          <w:color w:val="000000"/>
          <w:sz w:val="28"/>
          <w:szCs w:val="28"/>
        </w:rPr>
        <w:t xml:space="preserve">3.2  系统分三层</w:t>
      </w:r>
      <w:bookmarkEnd w:id="100013"/>
    </w:p>
    <w:p>
      <w:pPr>
        <w:spacing w:after="0" w:before="0" w:line="360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 xml:space="preserve">系统分三层，见图 3-1：工具层把问题查准查全；智能体层读懂告警——并行分诊、每条结论附代码证据、高危项留给人工确认；报告层汇总交付。哪些自研、哪些复用见表 3-1。</w:t>
      </w:r>
    </w:p>
    <w:p>
      <w:pPr>
        <w:keepNext/>
        <w:spacing w:before="200"/>
        <w:jc w:val="center"/>
      </w:pPr>
      <w:r>
        <w:drawing>
          <wp:inline distT="0" distB="0" distL="0" distR="0">
            <wp:extent cx="4762500" cy="3448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 w:line="300" w:lineRule="atLeast"/>
        <w:jc w:val="left"/>
      </w:pPr>
      <w:r>
        <w:rPr>
          <w:rFonts w:ascii="Times New Roman" w:eastAsia="宋体"/>
          <w:color w:val="000000"/>
          <w:sz w:val="21"/>
          <w:szCs w:val="21"/>
        </w:rPr>
        <w:t xml:space="preserve">图 3-1  系统总体架构（深色为自研，浅色为复用）</w:t>
      </w:r>
    </w:p>
    <w:p>
      <w:pPr>
        <w:keepNext/>
        <w:spacing w:after="80" w:before="200" w:line="300" w:lineRule="atLeast"/>
        <w:jc w:val="left"/>
      </w:pPr>
      <w:r>
        <w:rPr>
          <w:rFonts w:ascii="Times New Roman" w:eastAsia="宋体"/>
          <w:color w:val="000000"/>
          <w:sz w:val="21"/>
          <w:szCs w:val="21"/>
        </w:rPr>
        <w:t xml:space="preserve">表 3-1  组件清单：自研还是复用</w:t>
      </w:r>
    </w:p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821"/>
        <w:gridCol w:w="2257"/>
        <w:gridCol w:w="4326"/>
      </w:tblGrid>
      <w:tr>
        <w:trPr>
          <w:cantSplit/>
          <w:tblHeader/>
        </w:trPr>
        <w:tc>
          <w:tcPr>
            <w:tcW w:type="pct" w:w="15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EDEDED" w:val="clear"/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280" w:lineRule="atLeast"/>
              <w:jc w:val="center"/>
            </w:pPr>
            <w:r>
              <w:rPr>
                <w:rFonts w:ascii="Times New Roman" w:eastAsia="宋体"/>
                <w:b/>
                <w:bCs/>
                <w:color w:val="000000"/>
                <w:sz w:val="21"/>
                <w:szCs w:val="21"/>
              </w:rPr>
              <w:t xml:space="preserve">组件</w:t>
            </w:r>
          </w:p>
        </w:tc>
        <w:tc>
          <w:tcPr>
            <w:tcW w:type="pct" w:w="12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EDEDED" w:val="clear"/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280" w:lineRule="atLeast"/>
              <w:jc w:val="center"/>
            </w:pPr>
            <w:r>
              <w:rPr>
                <w:rFonts w:ascii="Times New Roman" w:eastAsia="宋体"/>
                <w:b/>
                <w:bCs/>
                <w:color w:val="000000"/>
                <w:sz w:val="21"/>
                <w:szCs w:val="21"/>
              </w:rPr>
              <w:t xml:space="preserve">来源</w:t>
            </w:r>
          </w:p>
        </w:tc>
        <w:tc>
          <w:tcPr>
            <w:tcW w:type="pct" w:w="23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EDEDED" w:val="clear"/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280" w:lineRule="atLeast"/>
              <w:jc w:val="center"/>
            </w:pPr>
            <w:r>
              <w:rPr>
                <w:rFonts w:ascii="Times New Roman" w:eastAsia="宋体"/>
                <w:b/>
                <w:bCs/>
                <w:color w:val="000000"/>
                <w:sz w:val="21"/>
                <w:szCs w:val="2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15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宋体"/>
                <w:color w:val="000000"/>
                <w:sz w:val="21"/>
                <w:szCs w:val="21"/>
              </w:rPr>
              <w:t xml:space="preserve">工具适配器（三个静态工具）</w:t>
            </w:r>
          </w:p>
        </w:tc>
        <w:tc>
          <w:tcPr>
            <w:tcW w:type="pct" w:w="12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宋体"/>
                <w:color w:val="000000"/>
                <w:sz w:val="21"/>
                <w:szCs w:val="21"/>
              </w:rPr>
              <w:t xml:space="preserve">自研（薄）</w:t>
            </w:r>
          </w:p>
        </w:tc>
        <w:tc>
          <w:tcPr>
            <w:tcW w:type="pct" w:w="23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宋体"/>
                <w:color w:val="000000"/>
                <w:sz w:val="21"/>
                <w:szCs w:val="21"/>
              </w:rPr>
              <w:t xml:space="preserve">每个约百余行：调用工具、解析结果、转成 SARIF</w:t>
            </w:r>
          </w:p>
        </w:tc>
      </w:tr>
      <w:tr>
        <w:trPr>
          <w:cantSplit/>
        </w:trPr>
        <w:tc>
          <w:tcPr>
            <w:tcW w:type="pct" w:w="15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宋体"/>
                <w:color w:val="000000"/>
                <w:sz w:val="21"/>
                <w:szCs w:val="21"/>
              </w:rPr>
              <w:t xml:space="preserve">SARIF 告警池</w:t>
            </w:r>
          </w:p>
        </w:tc>
        <w:tc>
          <w:tcPr>
            <w:tcW w:type="pct" w:w="12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宋体"/>
                <w:color w:val="000000"/>
                <w:sz w:val="21"/>
                <w:szCs w:val="21"/>
              </w:rPr>
              <w:t xml:space="preserve">自研</w:t>
            </w:r>
          </w:p>
        </w:tc>
        <w:tc>
          <w:tcPr>
            <w:tcW w:type="pct" w:w="23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宋体"/>
                <w:color w:val="000000"/>
                <w:sz w:val="21"/>
                <w:szCs w:val="21"/>
              </w:rPr>
              <w:t xml:space="preserve">统一存放告警，附带函数和调用链上下文</w:t>
            </w:r>
          </w:p>
        </w:tc>
      </w:tr>
      <w:tr>
        <w:trPr>
          <w:cantSplit/>
        </w:trPr>
        <w:tc>
          <w:tcPr>
            <w:tcW w:type="pct" w:w="15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宋体"/>
                <w:color w:val="000000"/>
                <w:sz w:val="21"/>
                <w:szCs w:val="21"/>
              </w:rPr>
              <w:t xml:space="preserve">编排与分诊（LangGraph）</w:t>
            </w:r>
          </w:p>
        </w:tc>
        <w:tc>
          <w:tcPr>
            <w:tcW w:type="pct" w:w="12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宋体"/>
                <w:color w:val="000000"/>
                <w:sz w:val="21"/>
                <w:szCs w:val="21"/>
              </w:rPr>
              <w:t xml:space="preserve">自研（核心）</w:t>
            </w:r>
          </w:p>
        </w:tc>
        <w:tc>
          <w:tcPr>
            <w:tcW w:type="pct" w:w="23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宋体"/>
                <w:color w:val="000000"/>
                <w:sz w:val="21"/>
                <w:szCs w:val="21"/>
              </w:rPr>
              <w:t xml:space="preserve">并行分诊、确定汇总、高危项转人工</w:t>
            </w:r>
          </w:p>
        </w:tc>
      </w:tr>
      <w:tr>
        <w:trPr>
          <w:cantSplit/>
        </w:trPr>
        <w:tc>
          <w:tcPr>
            <w:tcW w:type="pct" w:w="15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宋体"/>
                <w:color w:val="000000"/>
                <w:sz w:val="21"/>
                <w:szCs w:val="21"/>
              </w:rPr>
              <w:t xml:space="preserve">PR 评论回写</w:t>
            </w:r>
          </w:p>
        </w:tc>
        <w:tc>
          <w:tcPr>
            <w:tcW w:type="pct" w:w="12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宋体"/>
                <w:color w:val="000000"/>
                <w:sz w:val="21"/>
                <w:szCs w:val="21"/>
              </w:rPr>
              <w:t xml:space="preserve">复用 reviewdog（MIT）</w:t>
            </w:r>
          </w:p>
        </w:tc>
        <w:tc>
          <w:tcPr>
            <w:tcW w:type="pct" w:w="23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宋体"/>
                <w:color w:val="000000"/>
                <w:sz w:val="21"/>
                <w:szCs w:val="21"/>
              </w:rPr>
              <w:t xml:space="preserve">把告警变成代码平台上的行内评论，省掉接口开发</w:t>
            </w:r>
          </w:p>
        </w:tc>
      </w:tr>
      <w:tr>
        <w:trPr>
          <w:cantSplit/>
        </w:trPr>
        <w:tc>
          <w:tcPr>
            <w:tcW w:type="pct" w:w="15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宋体"/>
                <w:color w:val="000000"/>
                <w:sz w:val="21"/>
                <w:szCs w:val="21"/>
              </w:rPr>
              <w:t xml:space="preserve">检测与合规报告</w:t>
            </w:r>
          </w:p>
        </w:tc>
        <w:tc>
          <w:tcPr>
            <w:tcW w:type="pct" w:w="12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宋体"/>
                <w:color w:val="000000"/>
                <w:sz w:val="21"/>
                <w:szCs w:val="21"/>
              </w:rPr>
              <w:t xml:space="preserve">自研</w:t>
            </w:r>
          </w:p>
        </w:tc>
        <w:tc>
          <w:tcPr>
            <w:tcW w:type="pct" w:w="23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宋体"/>
                <w:color w:val="000000"/>
                <w:sz w:val="21"/>
                <w:szCs w:val="21"/>
              </w:rPr>
              <w:t xml:space="preserve">按 MISRA/GJB/ISO 26262 条款生成</w:t>
            </w:r>
          </w:p>
        </w:tc>
      </w:tr>
      <w:tr>
        <w:trPr>
          <w:cantSplit/>
        </w:trPr>
        <w:tc>
          <w:tcPr>
            <w:tcW w:type="pct" w:w="15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宋体"/>
                <w:color w:val="000000"/>
                <w:sz w:val="21"/>
                <w:szCs w:val="21"/>
              </w:rPr>
              <w:t xml:space="preserve">模型底座</w:t>
            </w:r>
          </w:p>
        </w:tc>
        <w:tc>
          <w:tcPr>
            <w:tcW w:type="pct" w:w="12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宋体"/>
                <w:color w:val="000000"/>
                <w:sz w:val="21"/>
                <w:szCs w:val="21"/>
              </w:rPr>
              <w:t xml:space="preserve">外部服务</w:t>
            </w:r>
          </w:p>
        </w:tc>
        <w:tc>
          <w:tcPr>
            <w:tcW w:type="pct" w:w="23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宋体"/>
                <w:color w:val="000000"/>
                <w:sz w:val="21"/>
                <w:szCs w:val="21"/>
              </w:rPr>
              <w:t xml:space="preserve">国产大模型 API；内网部署时换 vLLM 本地跑</w:t>
            </w:r>
          </w:p>
        </w:tc>
      </w:tr>
      <w:tr>
        <w:trPr>
          <w:cantSplit/>
        </w:trPr>
        <w:tc>
          <w:tcPr>
            <w:tcW w:type="pct" w:w="15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宋体"/>
                <w:color w:val="000000"/>
                <w:sz w:val="21"/>
                <w:szCs w:val="21"/>
              </w:rPr>
              <w:t xml:space="preserve">效果对照</w:t>
            </w:r>
          </w:p>
        </w:tc>
        <w:tc>
          <w:tcPr>
            <w:tcW w:type="pct" w:w="12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宋体"/>
                <w:color w:val="000000"/>
                <w:sz w:val="21"/>
                <w:szCs w:val="21"/>
              </w:rPr>
              <w:t xml:space="preserve">复用 open-code-review</w:t>
            </w:r>
          </w:p>
        </w:tc>
        <w:tc>
          <w:tcPr>
            <w:tcW w:type="pct" w:w="23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宋体"/>
                <w:color w:val="000000"/>
                <w:sz w:val="21"/>
                <w:szCs w:val="21"/>
              </w:rPr>
              <w:t xml:space="preserve">只用来对比效果，不引入其代码</w:t>
            </w:r>
          </w:p>
        </w:tc>
      </w:tr>
    </w:tbl>
    <w:p>
      <w:pPr>
        <w:pStyle w:val="Heading2"/>
        <w:spacing w:after="120" w:before="120" w:line="360" w:lineRule="auto"/>
      </w:pPr>
      <w:bookmarkStart w:id="100014" w:name="_Toc100014"/>
      <w:r>
        <w:rPr>
          <w:rFonts w:ascii="Times New Roman" w:eastAsia="黑体"/>
          <w:color w:val="000000"/>
          <w:sz w:val="28"/>
          <w:szCs w:val="28"/>
        </w:rPr>
        <w:t xml:space="preserve">3.3  四个阶段</w:t>
      </w:r>
      <w:bookmarkEnd w:id="100014"/>
    </w:p>
    <w:p>
      <w:pPr>
        <w:keepNext/>
        <w:spacing w:after="80" w:before="200" w:line="300" w:lineRule="atLeast"/>
        <w:jc w:val="left"/>
      </w:pPr>
      <w:r>
        <w:rPr>
          <w:rFonts w:ascii="Times New Roman" w:eastAsia="宋体"/>
          <w:color w:val="000000"/>
          <w:sz w:val="21"/>
          <w:szCs w:val="21"/>
        </w:rPr>
        <w:t xml:space="preserve">表 3-2  分阶段路线</w:t>
      </w:r>
    </w:p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881"/>
        <w:gridCol w:w="4138"/>
        <w:gridCol w:w="3385"/>
      </w:tblGrid>
      <w:tr>
        <w:trPr>
          <w:cantSplit/>
          <w:tblHeader/>
        </w:trPr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EDEDED" w:val="clear"/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280" w:lineRule="atLeast"/>
              <w:jc w:val="center"/>
            </w:pPr>
            <w:r>
              <w:rPr>
                <w:rFonts w:ascii="Times New Roman" w:eastAsia="宋体"/>
                <w:b/>
                <w:bCs/>
                <w:color w:val="000000"/>
                <w:sz w:val="21"/>
                <w:szCs w:val="21"/>
              </w:rPr>
              <w:t xml:space="preserve">阶段</w:t>
            </w:r>
          </w:p>
        </w:tc>
        <w:tc>
          <w:tcPr>
            <w:tcW w:type="pct" w:w="22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EDEDED" w:val="clear"/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280" w:lineRule="atLeast"/>
              <w:jc w:val="center"/>
            </w:pPr>
            <w:r>
              <w:rPr>
                <w:rFonts w:ascii="Times New Roman" w:eastAsia="宋体"/>
                <w:b/>
                <w:bCs/>
                <w:color w:val="000000"/>
                <w:sz w:val="21"/>
                <w:szCs w:val="21"/>
              </w:rPr>
              <w:t xml:space="preserve">做什么</w:t>
            </w:r>
          </w:p>
        </w:tc>
        <w:tc>
          <w:tcPr>
            <w:tcW w:type="pct" w:w="18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EDEDED" w:val="clear"/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280" w:lineRule="atLeast"/>
              <w:jc w:val="center"/>
            </w:pPr>
            <w:r>
              <w:rPr>
                <w:rFonts w:ascii="Times New Roman" w:eastAsia="宋体"/>
                <w:b/>
                <w:bCs/>
                <w:color w:val="000000"/>
                <w:sz w:val="21"/>
                <w:szCs w:val="21"/>
              </w:rPr>
              <w:t xml:space="preserve">做完的标志</w:t>
            </w:r>
          </w:p>
        </w:tc>
      </w:tr>
      <w:tr>
        <w:trPr>
          <w:cantSplit/>
        </w:trPr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宋体"/>
                <w:color w:val="000000"/>
                <w:sz w:val="21"/>
                <w:szCs w:val="21"/>
              </w:rPr>
              <w:t xml:space="preserve">一（本期 MVP）</w:t>
            </w:r>
          </w:p>
        </w:tc>
        <w:tc>
          <w:tcPr>
            <w:tcW w:type="pct" w:w="22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宋体"/>
                <w:color w:val="000000"/>
                <w:sz w:val="21"/>
                <w:szCs w:val="21"/>
              </w:rPr>
              <w:t xml:space="preserve">静态缺陷检测与告警分诊跑通</w:t>
            </w:r>
          </w:p>
        </w:tc>
        <w:tc>
          <w:tcPr>
            <w:tcW w:type="pct" w:w="18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宋体"/>
                <w:color w:val="000000"/>
                <w:sz w:val="21"/>
                <w:szCs w:val="21"/>
              </w:rPr>
              <w:t xml:space="preserve">去误报率等指标有实测数据</w:t>
            </w:r>
          </w:p>
        </w:tc>
      </w:tr>
      <w:tr>
        <w:trPr>
          <w:cantSplit/>
        </w:trPr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宋体"/>
                <w:color w:val="000000"/>
                <w:sz w:val="21"/>
                <w:szCs w:val="21"/>
              </w:rPr>
              <w:t xml:space="preserve">二</w:t>
            </w:r>
          </w:p>
        </w:tc>
        <w:tc>
          <w:tcPr>
            <w:tcW w:type="pct" w:w="22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宋体"/>
                <w:color w:val="000000"/>
                <w:sz w:val="21"/>
                <w:szCs w:val="21"/>
              </w:rPr>
              <w:t xml:space="preserve">规范合规检查（MISRA/GJB）</w:t>
            </w:r>
          </w:p>
        </w:tc>
        <w:tc>
          <w:tcPr>
            <w:tcW w:type="pct" w:w="18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宋体"/>
                <w:color w:val="000000"/>
                <w:sz w:val="21"/>
                <w:szCs w:val="21"/>
              </w:rPr>
              <w:t xml:space="preserve">对目标工程出完整合规报告</w:t>
            </w:r>
          </w:p>
        </w:tc>
      </w:tr>
      <w:tr>
        <w:trPr>
          <w:cantSplit/>
        </w:trPr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宋体"/>
                <w:color w:val="000000"/>
                <w:sz w:val="21"/>
                <w:szCs w:val="21"/>
              </w:rPr>
              <w:t xml:space="preserve">三</w:t>
            </w:r>
          </w:p>
        </w:tc>
        <w:tc>
          <w:tcPr>
            <w:tcW w:type="pct" w:w="22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宋体"/>
                <w:color w:val="000000"/>
                <w:sz w:val="21"/>
                <w:szCs w:val="21"/>
              </w:rPr>
              <w:t xml:space="preserve">单元测试生成与覆盖率</w:t>
            </w:r>
          </w:p>
        </w:tc>
        <w:tc>
          <w:tcPr>
            <w:tcW w:type="pct" w:w="18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宋体"/>
                <w:color w:val="000000"/>
                <w:sz w:val="21"/>
                <w:szCs w:val="21"/>
              </w:rPr>
              <w:t xml:space="preserve">覆盖率提升可量化</w:t>
            </w:r>
          </w:p>
        </w:tc>
      </w:tr>
      <w:tr>
        <w:trPr>
          <w:cantSplit/>
        </w:trPr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宋体"/>
                <w:color w:val="000000"/>
                <w:sz w:val="21"/>
                <w:szCs w:val="21"/>
              </w:rPr>
              <w:t xml:space="preserve">四</w:t>
            </w:r>
          </w:p>
        </w:tc>
        <w:tc>
          <w:tcPr>
            <w:tcW w:type="pct" w:w="22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宋体"/>
                <w:color w:val="000000"/>
                <w:sz w:val="21"/>
                <w:szCs w:val="21"/>
              </w:rPr>
              <w:t xml:space="preserve">并发时序检测与多项目部署</w:t>
            </w:r>
          </w:p>
        </w:tc>
        <w:tc>
          <w:tcPr>
            <w:tcW w:type="pct" w:w="18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宋体"/>
                <w:color w:val="000000"/>
                <w:sz w:val="21"/>
                <w:szCs w:val="21"/>
              </w:rPr>
              <w:t xml:space="preserve">嵌入式特色能力可用</w:t>
            </w:r>
          </w:p>
        </w:tc>
      </w:tr>
    </w:tbl>
    <w:p>
      <w:pPr>
        <w:pStyle w:val="Heading2"/>
        <w:spacing w:after="120" w:before="120" w:line="360" w:lineRule="auto"/>
      </w:pPr>
      <w:bookmarkStart w:id="100015" w:name="_Toc100015"/>
      <w:r>
        <w:rPr>
          <w:rFonts w:ascii="Times New Roman" w:eastAsia="黑体"/>
          <w:color w:val="000000"/>
          <w:sz w:val="28"/>
          <w:szCs w:val="28"/>
        </w:rPr>
        <w:t xml:space="preserve">3.4  第一个月（MVP）四周计划</w:t>
      </w:r>
      <w:bookmarkEnd w:id="100015"/>
    </w:p>
    <w:p>
      <w:pPr>
        <w:spacing w:after="0" w:before="0" w:line="360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 xml:space="preserve">MVP 只干一件事：对目标工程的静态告警做端到端分诊，拿出实测数据。目标工程建议用 FreeRTOS 或 RT-Thread 的官方示例（真实、规模适中、有已知缺陷历史）。</w:t>
      </w:r>
    </w:p>
    <w:p>
      <w:pPr>
        <w:keepNext/>
        <w:spacing w:after="80" w:before="200" w:line="300" w:lineRule="atLeast"/>
        <w:jc w:val="left"/>
      </w:pPr>
      <w:r>
        <w:rPr>
          <w:rFonts w:ascii="Times New Roman" w:eastAsia="宋体"/>
          <w:color w:val="000000"/>
          <w:sz w:val="21"/>
          <w:szCs w:val="21"/>
        </w:rPr>
        <w:t xml:space="preserve">表 3-3  四周计划与验收标准</w:t>
      </w:r>
    </w:p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128"/>
        <w:gridCol w:w="4890"/>
        <w:gridCol w:w="3385"/>
      </w:tblGrid>
      <w:tr>
        <w:trPr>
          <w:cantSplit/>
          <w:tblHeader/>
        </w:trPr>
        <w:tc>
          <w:tcPr>
            <w:tcW w:type="pct" w:w="6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EDEDED" w:val="clear"/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280" w:lineRule="atLeast"/>
              <w:jc w:val="center"/>
            </w:pPr>
            <w:r>
              <w:rPr>
                <w:rFonts w:ascii="Times New Roman" w:eastAsia="宋体"/>
                <w:b/>
                <w:bCs/>
                <w:color w:val="000000"/>
                <w:sz w:val="21"/>
                <w:szCs w:val="21"/>
              </w:rPr>
              <w:t xml:space="preserve">周</w:t>
            </w:r>
          </w:p>
        </w:tc>
        <w:tc>
          <w:tcPr>
            <w:tcW w:type="pct" w:w="26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EDEDED" w:val="clear"/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280" w:lineRule="atLeast"/>
              <w:jc w:val="center"/>
            </w:pPr>
            <w:r>
              <w:rPr>
                <w:rFonts w:ascii="Times New Roman" w:eastAsia="宋体"/>
                <w:b/>
                <w:bCs/>
                <w:color w:val="000000"/>
                <w:sz w:val="21"/>
                <w:szCs w:val="21"/>
              </w:rPr>
              <w:t xml:space="preserve">干什么</w:t>
            </w:r>
          </w:p>
        </w:tc>
        <w:tc>
          <w:tcPr>
            <w:tcW w:type="pct" w:w="18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EDEDED" w:val="clear"/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280" w:lineRule="atLeast"/>
              <w:jc w:val="center"/>
            </w:pPr>
            <w:r>
              <w:rPr>
                <w:rFonts w:ascii="Times New Roman" w:eastAsia="宋体"/>
                <w:b/>
                <w:bCs/>
                <w:color w:val="000000"/>
                <w:sz w:val="21"/>
                <w:szCs w:val="21"/>
              </w:rPr>
              <w:t xml:space="preserve">验收标准</w:t>
            </w:r>
          </w:p>
        </w:tc>
      </w:tr>
      <w:tr>
        <w:trPr>
          <w:cantSplit/>
        </w:trPr>
        <w:tc>
          <w:tcPr>
            <w:tcW w:type="pct" w:w="6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宋体"/>
                <w:color w:val="000000"/>
                <w:sz w:val="21"/>
                <w:szCs w:val="21"/>
              </w:rPr>
              <w:t xml:space="preserve">第 1 周</w:t>
            </w:r>
          </w:p>
        </w:tc>
        <w:tc>
          <w:tcPr>
            <w:tcW w:type="pct" w:w="26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宋体"/>
                <w:color w:val="000000"/>
                <w:sz w:val="21"/>
                <w:szCs w:val="21"/>
              </w:rPr>
              <w:t xml:space="preserve">搭项目骨架；选定目标工程；写三个工具适配器，告警统一进 SARIF 池</w:t>
            </w:r>
          </w:p>
        </w:tc>
        <w:tc>
          <w:tcPr>
            <w:tcW w:type="pct" w:w="18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宋体"/>
                <w:color w:val="000000"/>
                <w:sz w:val="21"/>
                <w:szCs w:val="21"/>
              </w:rPr>
              <w:t xml:space="preserve">一条命令完成全量扫描，告警带文件、行号、CWE 编号</w:t>
            </w:r>
          </w:p>
        </w:tc>
      </w:tr>
      <w:tr>
        <w:trPr>
          <w:cantSplit/>
        </w:trPr>
        <w:tc>
          <w:tcPr>
            <w:tcW w:type="pct" w:w="6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宋体"/>
                <w:color w:val="000000"/>
                <w:sz w:val="21"/>
                <w:szCs w:val="21"/>
              </w:rPr>
              <w:t xml:space="preserve">第 2 周</w:t>
            </w:r>
          </w:p>
        </w:tc>
        <w:tc>
          <w:tcPr>
            <w:tcW w:type="pct" w:w="26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宋体"/>
                <w:color w:val="000000"/>
                <w:sz w:val="21"/>
                <w:szCs w:val="21"/>
              </w:rPr>
              <w:t xml:space="preserve">搭 LangGraph 流水线和分诊智能体：读告警上下文，判误报、定级、给原因和修复建议，附代码证据</w:t>
            </w:r>
          </w:p>
        </w:tc>
        <w:tc>
          <w:tcPr>
            <w:tcW w:type="pct" w:w="18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宋体"/>
                <w:color w:val="000000"/>
                <w:sz w:val="21"/>
                <w:szCs w:val="21"/>
              </w:rPr>
              <w:t xml:space="preserve">抽查 50 条，每条都能对上代码证据</w:t>
            </w:r>
          </w:p>
        </w:tc>
      </w:tr>
      <w:tr>
        <w:trPr>
          <w:cantSplit/>
        </w:trPr>
        <w:tc>
          <w:tcPr>
            <w:tcW w:type="pct" w:w="6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宋体"/>
                <w:color w:val="000000"/>
                <w:sz w:val="21"/>
                <w:szCs w:val="21"/>
              </w:rPr>
              <w:t xml:space="preserve">第 3 周</w:t>
            </w:r>
          </w:p>
        </w:tc>
        <w:tc>
          <w:tcPr>
            <w:tcW w:type="pct" w:w="26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宋体"/>
                <w:color w:val="000000"/>
                <w:sz w:val="21"/>
                <w:szCs w:val="21"/>
              </w:rPr>
              <w:t xml:space="preserve">出检测报告第一版；接 reviewdog 发 PR 评论；跑 open-code-review 做对照</w:t>
            </w:r>
          </w:p>
        </w:tc>
        <w:tc>
          <w:tcPr>
            <w:tcW w:type="pct" w:w="18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宋体"/>
                <w:color w:val="000000"/>
                <w:sz w:val="21"/>
                <w:szCs w:val="21"/>
              </w:rPr>
              <w:t xml:space="preserve">一条命令出完整报告，与对照有明确差异</w:t>
            </w:r>
          </w:p>
        </w:tc>
      </w:tr>
      <w:tr>
        <w:trPr>
          <w:cantSplit/>
        </w:trPr>
        <w:tc>
          <w:tcPr>
            <w:tcW w:type="pct" w:w="6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宋体"/>
                <w:color w:val="000000"/>
                <w:sz w:val="21"/>
                <w:szCs w:val="21"/>
              </w:rPr>
              <w:t xml:space="preserve">第 4 周</w:t>
            </w:r>
          </w:p>
        </w:tc>
        <w:tc>
          <w:tcPr>
            <w:tcW w:type="pct" w:w="26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宋体"/>
                <w:color w:val="000000"/>
                <w:sz w:val="21"/>
                <w:szCs w:val="21"/>
              </w:rPr>
              <w:t xml:space="preserve">接入 Juliet 评测集，统计指标、写回归脚本、算成本</w:t>
            </w:r>
          </w:p>
        </w:tc>
        <w:tc>
          <w:tcPr>
            <w:tcW w:type="pct" w:w="18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宋体"/>
                <w:color w:val="000000"/>
                <w:sz w:val="21"/>
                <w:szCs w:val="21"/>
              </w:rPr>
              <w:t xml:space="preserve">去误报率、漏判率、单条成本三项指标可复现</w:t>
            </w:r>
          </w:p>
        </w:tc>
      </w:tr>
    </w:tbl>
    <w:p>
      <w:pPr>
        <w:pStyle w:val="Heading2"/>
        <w:spacing w:after="120" w:before="120" w:line="360" w:lineRule="auto"/>
      </w:pPr>
      <w:bookmarkStart w:id="100016" w:name="_Toc100016"/>
      <w:r>
        <w:rPr>
          <w:rFonts w:ascii="Times New Roman" w:eastAsia="黑体"/>
          <w:color w:val="000000"/>
          <w:sz w:val="28"/>
          <w:szCs w:val="28"/>
        </w:rPr>
        <w:t xml:space="preserve">3.5  能复用的开源项目</w:t>
      </w:r>
      <w:bookmarkEnd w:id="100016"/>
    </w:p>
    <w:p>
      <w:pPr>
        <w:spacing w:after="0" w:before="0" w:line="360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 xml:space="preserve">复用有一条红线：AGPL/GPL 许可证的项目只能学思路、不能抄代码（会有开源传染风险）。表 3-4 按复用深度分档，星标数是 2026 年 9 月 30 日实测。</w:t>
      </w:r>
    </w:p>
    <w:p>
      <w:pPr>
        <w:keepNext/>
        <w:spacing w:after="80" w:before="200" w:line="300" w:lineRule="atLeast"/>
        <w:jc w:val="left"/>
      </w:pPr>
      <w:r>
        <w:rPr>
          <w:rFonts w:ascii="Times New Roman" w:eastAsia="宋体"/>
          <w:color w:val="000000"/>
          <w:sz w:val="21"/>
          <w:szCs w:val="21"/>
        </w:rPr>
        <w:t xml:space="preserve">表 3-4  可复用开源资产</w:t>
      </w:r>
    </w:p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317"/>
        <w:gridCol w:w="3950"/>
        <w:gridCol w:w="4138"/>
      </w:tblGrid>
      <w:tr>
        <w:trPr>
          <w:cantSplit/>
          <w:tblHeader/>
        </w:trPr>
        <w:tc>
          <w:tcPr>
            <w:tcW w:type="pct" w:w="7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EDEDED" w:val="clear"/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280" w:lineRule="atLeast"/>
              <w:jc w:val="center"/>
            </w:pPr>
            <w:r>
              <w:rPr>
                <w:rFonts w:ascii="Times New Roman" w:eastAsia="宋体"/>
                <w:b/>
                <w:bCs/>
                <w:color w:val="000000"/>
                <w:sz w:val="21"/>
                <w:szCs w:val="21"/>
              </w:rPr>
              <w:t xml:space="preserve">档位</w:t>
            </w:r>
          </w:p>
        </w:tc>
        <w:tc>
          <w:tcPr>
            <w:tcW w:type="pct" w:w="21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EDEDED" w:val="clear"/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280" w:lineRule="atLeast"/>
              <w:jc w:val="center"/>
            </w:pPr>
            <w:r>
              <w:rPr>
                <w:rFonts w:ascii="Times New Roman" w:eastAsia="宋体"/>
                <w:b/>
                <w:bCs/>
                <w:color w:val="000000"/>
                <w:sz w:val="21"/>
                <w:szCs w:val="21"/>
              </w:rPr>
              <w:t xml:space="preserve">项目（星标/许可证）</w:t>
            </w:r>
          </w:p>
        </w:tc>
        <w:tc>
          <w:tcPr>
            <w:tcW w:type="pct" w:w="22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EDEDED" w:val="clear"/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280" w:lineRule="atLeast"/>
              <w:jc w:val="center"/>
            </w:pPr>
            <w:r>
              <w:rPr>
                <w:rFonts w:ascii="Times New Roman" w:eastAsia="宋体"/>
                <w:b/>
                <w:bCs/>
                <w:color w:val="000000"/>
                <w:sz w:val="21"/>
                <w:szCs w:val="21"/>
              </w:rPr>
              <w:t xml:space="preserve">怎么用</w:t>
            </w:r>
          </w:p>
        </w:tc>
      </w:tr>
      <w:tr>
        <w:trPr>
          <w:cantSplit/>
        </w:trPr>
        <w:tc>
          <w:tcPr>
            <w:tcW w:type="pct" w:w="7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宋体"/>
                <w:color w:val="000000"/>
                <w:sz w:val="21"/>
                <w:szCs w:val="21"/>
              </w:rPr>
              <w:t xml:space="preserve">直接用</w:t>
            </w:r>
          </w:p>
        </w:tc>
        <w:tc>
          <w:tcPr>
            <w:tcW w:type="pct" w:w="21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宋体"/>
                <w:color w:val="000000"/>
                <w:sz w:val="21"/>
                <w:szCs w:val="21"/>
              </w:rPr>
              <w:t xml:space="preserve">reviewdog（9,633 / MIT）</w:t>
            </w:r>
          </w:p>
        </w:tc>
        <w:tc>
          <w:tcPr>
            <w:tcW w:type="pct" w:w="22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宋体"/>
                <w:color w:val="000000"/>
                <w:sz w:val="21"/>
                <w:szCs w:val="21"/>
              </w:rPr>
              <w:t xml:space="preserve">告警回写 PR 评论</w:t>
            </w:r>
          </w:p>
        </w:tc>
      </w:tr>
      <w:tr>
        <w:trPr>
          <w:cantSplit/>
        </w:trPr>
        <w:tc>
          <w:tcPr>
            <w:tcW w:type="pct" w:w="7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宋体"/>
                <w:color w:val="000000"/>
                <w:sz w:val="21"/>
                <w:szCs w:val="21"/>
              </w:rPr>
              <w:t xml:space="preserve">直接用</w:t>
            </w:r>
          </w:p>
        </w:tc>
        <w:tc>
          <w:tcPr>
            <w:tcW w:type="pct" w:w="21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宋体"/>
                <w:color w:val="000000"/>
                <w:sz w:val="21"/>
                <w:szCs w:val="21"/>
              </w:rPr>
              <w:t xml:space="preserve">LangGraph（42,507 / MIT）</w:t>
            </w:r>
          </w:p>
        </w:tc>
        <w:tc>
          <w:tcPr>
            <w:tcW w:type="pct" w:w="22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宋体"/>
                <w:color w:val="000000"/>
                <w:sz w:val="21"/>
                <w:szCs w:val="21"/>
              </w:rPr>
              <w:t xml:space="preserve">智能体编排框架</w:t>
            </w:r>
          </w:p>
        </w:tc>
      </w:tr>
      <w:tr>
        <w:trPr>
          <w:cantSplit/>
        </w:trPr>
        <w:tc>
          <w:tcPr>
            <w:tcW w:type="pct" w:w="7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宋体"/>
                <w:color w:val="000000"/>
                <w:sz w:val="21"/>
                <w:szCs w:val="21"/>
              </w:rPr>
              <w:t xml:space="preserve">当工具用</w:t>
            </w:r>
          </w:p>
        </w:tc>
        <w:tc>
          <w:tcPr>
            <w:tcW w:type="pct" w:w="21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宋体"/>
                <w:color w:val="000000"/>
                <w:sz w:val="21"/>
                <w:szCs w:val="21"/>
              </w:rPr>
              <w:t xml:space="preserve">Semgrep MCP、CodeQL MCP（官方）</w:t>
            </w:r>
          </w:p>
        </w:tc>
        <w:tc>
          <w:tcPr>
            <w:tcW w:type="pct" w:w="22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宋体"/>
                <w:color w:val="000000"/>
                <w:sz w:val="21"/>
                <w:szCs w:val="21"/>
              </w:rPr>
              <w:t xml:space="preserve">后续做规则生成的工具层</w:t>
            </w:r>
          </w:p>
        </w:tc>
      </w:tr>
      <w:tr>
        <w:trPr>
          <w:cantSplit/>
        </w:trPr>
        <w:tc>
          <w:tcPr>
            <w:tcW w:type="pct" w:w="7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宋体"/>
                <w:color w:val="000000"/>
                <w:sz w:val="21"/>
                <w:szCs w:val="21"/>
              </w:rPr>
              <w:t xml:space="preserve">当对照</w:t>
            </w:r>
          </w:p>
        </w:tc>
        <w:tc>
          <w:tcPr>
            <w:tcW w:type="pct" w:w="21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宋体"/>
                <w:color w:val="000000"/>
                <w:sz w:val="21"/>
                <w:szCs w:val="21"/>
              </w:rPr>
              <w:t xml:space="preserve">open-code-review（42,795 / Apache-2.0）</w:t>
            </w:r>
          </w:p>
        </w:tc>
        <w:tc>
          <w:tcPr>
            <w:tcW w:type="pct" w:w="22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宋体"/>
                <w:color w:val="000000"/>
                <w:sz w:val="21"/>
                <w:szCs w:val="21"/>
              </w:rPr>
              <w:t xml:space="preserve">跑基线对比，不引代码</w:t>
            </w:r>
          </w:p>
        </w:tc>
      </w:tr>
      <w:tr>
        <w:trPr>
          <w:cantSplit/>
        </w:trPr>
        <w:tc>
          <w:tcPr>
            <w:tcW w:type="pct" w:w="7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宋体"/>
                <w:color w:val="000000"/>
                <w:sz w:val="21"/>
                <w:szCs w:val="21"/>
              </w:rPr>
              <w:t xml:space="preserve">学思路</w:t>
            </w:r>
          </w:p>
        </w:tc>
        <w:tc>
          <w:tcPr>
            <w:tcW w:type="pct" w:w="21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宋体"/>
                <w:color w:val="000000"/>
                <w:sz w:val="21"/>
                <w:szCs w:val="21"/>
              </w:rPr>
              <w:t xml:space="preserve">PR-Agent（13,199 / MIT）</w:t>
            </w:r>
          </w:p>
        </w:tc>
        <w:tc>
          <w:tcPr>
            <w:tcW w:type="pct" w:w="22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宋体"/>
                <w:color w:val="000000"/>
                <w:sz w:val="21"/>
                <w:szCs w:val="21"/>
              </w:rPr>
              <w:t xml:space="preserve">提示词与评论设计参考</w:t>
            </w:r>
          </w:p>
        </w:tc>
      </w:tr>
      <w:tr>
        <w:trPr>
          <w:cantSplit/>
        </w:trPr>
        <w:tc>
          <w:tcPr>
            <w:tcW w:type="pct" w:w="7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宋体"/>
                <w:color w:val="000000"/>
                <w:sz w:val="21"/>
                <w:szCs w:val="21"/>
              </w:rPr>
              <w:t xml:space="preserve">学思路</w:t>
            </w:r>
          </w:p>
        </w:tc>
        <w:tc>
          <w:tcPr>
            <w:tcW w:type="pct" w:w="21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宋体"/>
                <w:color w:val="000000"/>
                <w:sz w:val="21"/>
                <w:szCs w:val="21"/>
              </w:rPr>
              <w:t xml:space="preserve">VulnHuntr（约 2,800 / AGPL）</w:t>
            </w:r>
          </w:p>
        </w:tc>
        <w:tc>
          <w:tcPr>
            <w:tcW w:type="pct" w:w="22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宋体"/>
                <w:color w:val="000000"/>
                <w:sz w:val="21"/>
                <w:szCs w:val="21"/>
              </w:rPr>
              <w:t xml:space="preserve">多轮追问的分诊范式，禁止引代码</w:t>
            </w:r>
          </w:p>
        </w:tc>
      </w:tr>
      <w:tr>
        <w:trPr>
          <w:cantSplit/>
        </w:trPr>
        <w:tc>
          <w:tcPr>
            <w:tcW w:type="pct" w:w="7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宋体"/>
                <w:color w:val="000000"/>
                <w:sz w:val="21"/>
                <w:szCs w:val="21"/>
              </w:rPr>
              <w:t xml:space="preserve">学思路</w:t>
            </w:r>
          </w:p>
        </w:tc>
        <w:tc>
          <w:tcPr>
            <w:tcW w:type="pct" w:w="21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宋体"/>
                <w:color w:val="000000"/>
                <w:sz w:val="21"/>
                <w:szCs w:val="21"/>
              </w:rPr>
              <w:t xml:space="preserve">LLMxCPG（USENIX 2025 / GPL）</w:t>
            </w:r>
          </w:p>
        </w:tc>
        <w:tc>
          <w:tcPr>
            <w:tcW w:type="pct" w:w="22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宋体"/>
                <w:color w:val="000000"/>
                <w:sz w:val="21"/>
                <w:szCs w:val="21"/>
              </w:rPr>
              <w:t xml:space="preserve">代码属性图切片思路，禁止引代码</w:t>
            </w:r>
          </w:p>
        </w:tc>
      </w:tr>
      <w:tr>
        <w:trPr>
          <w:cantSplit/>
        </w:trPr>
        <w:tc>
          <w:tcPr>
            <w:tcW w:type="pct" w:w="7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宋体"/>
                <w:color w:val="000000"/>
                <w:sz w:val="21"/>
                <w:szCs w:val="21"/>
              </w:rPr>
              <w:t xml:space="preserve">备用</w:t>
            </w:r>
          </w:p>
        </w:tc>
        <w:tc>
          <w:tcPr>
            <w:tcW w:type="pct" w:w="21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宋体"/>
                <w:color w:val="000000"/>
                <w:sz w:val="21"/>
                <w:szCs w:val="21"/>
              </w:rPr>
              <w:t xml:space="preserve">UTBotCpp（186 / Apache-2.0）</w:t>
            </w:r>
          </w:p>
        </w:tc>
        <w:tc>
          <w:tcPr>
            <w:tcW w:type="pct" w:w="22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宋体"/>
                <w:color w:val="000000"/>
                <w:sz w:val="21"/>
                <w:szCs w:val="21"/>
              </w:rPr>
              <w:t xml:space="preserve">C 测试生成后备，已停更，仅评估</w:t>
            </w:r>
          </w:p>
        </w:tc>
      </w:tr>
    </w:tbl>
    <w:p>
      <w:pPr>
        <w:pStyle w:val="Heading2"/>
        <w:spacing w:after="120" w:before="120" w:line="360" w:lineRule="auto"/>
      </w:pPr>
      <w:bookmarkStart w:id="100017" w:name="_Toc100017"/>
      <w:r>
        <w:rPr>
          <w:rFonts w:ascii="Times New Roman" w:eastAsia="黑体"/>
          <w:color w:val="000000"/>
          <w:sz w:val="28"/>
          <w:szCs w:val="28"/>
        </w:rPr>
        <w:t xml:space="preserve">3.6  模型怎么选、钱怎么省</w:t>
      </w:r>
      <w:bookmarkEnd w:id="100017"/>
    </w:p>
    <w:p>
      <w:pPr>
        <w:spacing w:after="0" w:before="0" w:line="360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 xml:space="preserve">原则：分诊量大、单条简单，用便宜的小模型；报告生成量小、要求高，用强模型——这样对冲多智能体约 15 倍的成本放大。低危告警不过模型、只走规则过滤，再设单项目成本上限。起步用 GLM/Qwen/DeepSeek 的 API；将来要内网部署，换 vLLM 在本地跑 Qwen3，架构不用改。国产模型在工具调用能力上已经和闭源模型打平，没有障碍。</w:t>
      </w:r>
    </w:p>
    <w:p>
      <w:pPr>
        <w:pStyle w:val="Heading2"/>
        <w:spacing w:after="120" w:before="120" w:line="360" w:lineRule="auto"/>
      </w:pPr>
      <w:bookmarkStart w:id="100018" w:name="_Toc100018"/>
      <w:r>
        <w:rPr>
          <w:rFonts w:ascii="Times New Roman" w:eastAsia="黑体"/>
          <w:color w:val="000000"/>
          <w:sz w:val="28"/>
          <w:szCs w:val="28"/>
        </w:rPr>
        <w:t xml:space="preserve">3.7  效果怎么评</w:t>
      </w:r>
      <w:bookmarkEnd w:id="100018"/>
    </w:p>
    <w:p>
      <w:pPr>
        <w:spacing w:after="0" w:before="0" w:line="360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 xml:space="preserve">四项指标：去误报率（判为误报的告警里真误报的占比）、漏判率（真缺陷被当成误报的比例）、分级准确率、单条告警成本。基准用 NIST Juliet 测试集——几万个专门埋好缺陷的现成程序，第一周就下载，挑三到五个缺陷类别，再自己补一些工具查不到的。每次改提示词必须跑回归，防止改好一处、弄坏三处。</w:t>
      </w:r>
    </w:p>
    <w:p>
      <w:pPr>
        <w:pStyle w:val="Heading2"/>
        <w:spacing w:after="120" w:before="120" w:line="360" w:lineRule="auto"/>
      </w:pPr>
      <w:bookmarkStart w:id="100019" w:name="_Toc100019"/>
      <w:r>
        <w:rPr>
          <w:rFonts w:ascii="Times New Roman" w:eastAsia="黑体"/>
          <w:color w:val="000000"/>
          <w:sz w:val="28"/>
          <w:szCs w:val="28"/>
        </w:rPr>
        <w:t xml:space="preserve">3.8  风险与对策</w:t>
      </w:r>
      <w:bookmarkEnd w:id="100019"/>
    </w:p>
    <w:p>
      <w:pPr>
        <w:keepNext/>
        <w:spacing w:after="80" w:before="200" w:line="300" w:lineRule="atLeast"/>
        <w:jc w:val="left"/>
      </w:pPr>
      <w:r>
        <w:rPr>
          <w:rFonts w:ascii="Times New Roman" w:eastAsia="宋体"/>
          <w:color w:val="000000"/>
          <w:sz w:val="21"/>
          <w:szCs w:val="21"/>
        </w:rPr>
        <w:t xml:space="preserve">表 3-5  主要风险</w:t>
      </w:r>
    </w:p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881"/>
        <w:gridCol w:w="3009"/>
        <w:gridCol w:w="4514"/>
      </w:tblGrid>
      <w:tr>
        <w:trPr>
          <w:cantSplit/>
          <w:tblHeader/>
        </w:trPr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EDEDED" w:val="clear"/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280" w:lineRule="atLeast"/>
              <w:jc w:val="center"/>
            </w:pPr>
            <w:r>
              <w:rPr>
                <w:rFonts w:ascii="Times New Roman" w:eastAsia="宋体"/>
                <w:b/>
                <w:bCs/>
                <w:color w:val="000000"/>
                <w:sz w:val="21"/>
                <w:szCs w:val="21"/>
              </w:rPr>
              <w:t xml:space="preserve">风险</w:t>
            </w:r>
          </w:p>
        </w:tc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EDEDED" w:val="clear"/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280" w:lineRule="atLeast"/>
              <w:jc w:val="center"/>
            </w:pPr>
            <w:r>
              <w:rPr>
                <w:rFonts w:ascii="Times New Roman" w:eastAsia="宋体"/>
                <w:b/>
                <w:bCs/>
                <w:color w:val="000000"/>
                <w:sz w:val="21"/>
                <w:szCs w:val="21"/>
              </w:rPr>
              <w:t xml:space="preserve">后果</w:t>
            </w:r>
          </w:p>
        </w:tc>
        <w:tc>
          <w:tcPr>
            <w:tcW w:type="pct" w:w="24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EDEDED" w:val="clear"/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280" w:lineRule="atLeast"/>
              <w:jc w:val="center"/>
            </w:pPr>
            <w:r>
              <w:rPr>
                <w:rFonts w:ascii="Times New Roman" w:eastAsia="宋体"/>
                <w:b/>
                <w:bCs/>
                <w:color w:val="000000"/>
                <w:sz w:val="21"/>
                <w:szCs w:val="21"/>
              </w:rPr>
              <w:t xml:space="preserve">对策</w:t>
            </w:r>
          </w:p>
        </w:tc>
      </w:tr>
      <w:tr>
        <w:trPr>
          <w:cantSplit/>
        </w:trPr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宋体"/>
                <w:color w:val="000000"/>
                <w:sz w:val="21"/>
                <w:szCs w:val="21"/>
              </w:rPr>
              <w:t xml:space="preserve">大模型胡说（幻觉）</w:t>
            </w:r>
          </w:p>
        </w:tc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宋体"/>
                <w:color w:val="000000"/>
                <w:sz w:val="21"/>
                <w:szCs w:val="21"/>
              </w:rPr>
              <w:t xml:space="preserve">把真缺陷当误报删掉</w:t>
            </w:r>
          </w:p>
        </w:tc>
        <w:tc>
          <w:tcPr>
            <w:tcW w:type="pct" w:w="24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宋体"/>
                <w:color w:val="000000"/>
                <w:sz w:val="21"/>
                <w:szCs w:val="21"/>
              </w:rPr>
              <w:t xml:space="preserve">结论必须附代码证据；高危项人工确认；定期抽检</w:t>
            </w:r>
          </w:p>
        </w:tc>
      </w:tr>
      <w:tr>
        <w:trPr>
          <w:cantSplit/>
        </w:trPr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宋体"/>
                <w:color w:val="000000"/>
                <w:sz w:val="21"/>
                <w:szCs w:val="21"/>
              </w:rPr>
              <w:t xml:space="preserve">花销失控</w:t>
            </w:r>
          </w:p>
        </w:tc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宋体"/>
                <w:color w:val="000000"/>
                <w:sz w:val="21"/>
                <w:szCs w:val="21"/>
              </w:rPr>
              <w:t xml:space="preserve">规模化用不起</w:t>
            </w:r>
          </w:p>
        </w:tc>
        <w:tc>
          <w:tcPr>
            <w:tcW w:type="pct" w:w="24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宋体"/>
                <w:color w:val="000000"/>
                <w:sz w:val="21"/>
                <w:szCs w:val="21"/>
              </w:rPr>
              <w:t xml:space="preserve">低危不过模型；小模型分诊；单项目上限</w:t>
            </w:r>
          </w:p>
        </w:tc>
      </w:tr>
      <w:tr>
        <w:trPr>
          <w:cantSplit/>
        </w:trPr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宋体"/>
                <w:color w:val="000000"/>
                <w:sz w:val="21"/>
                <w:szCs w:val="21"/>
              </w:rPr>
              <w:t xml:space="preserve">没有评测基准</w:t>
            </w:r>
          </w:p>
        </w:tc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宋体"/>
                <w:color w:val="000000"/>
                <w:sz w:val="21"/>
                <w:szCs w:val="21"/>
              </w:rPr>
              <w:t xml:space="preserve">不知道改好还是改坏</w:t>
            </w:r>
          </w:p>
        </w:tc>
        <w:tc>
          <w:tcPr>
            <w:tcW w:type="pct" w:w="24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宋体"/>
                <w:color w:val="000000"/>
                <w:sz w:val="21"/>
                <w:szCs w:val="21"/>
              </w:rPr>
              <w:t xml:space="preserve">第一周就建 Juliet 评测集；指标脚本化</w:t>
            </w:r>
          </w:p>
        </w:tc>
      </w:tr>
      <w:tr>
        <w:trPr>
          <w:cantSplit/>
        </w:trPr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宋体"/>
                <w:color w:val="000000"/>
                <w:sz w:val="21"/>
                <w:szCs w:val="21"/>
              </w:rPr>
              <w:t xml:space="preserve">许可证污染</w:t>
            </w:r>
          </w:p>
        </w:tc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宋体"/>
                <w:color w:val="000000"/>
                <w:sz w:val="21"/>
                <w:szCs w:val="21"/>
              </w:rPr>
              <w:t xml:space="preserve">合规风险</w:t>
            </w:r>
          </w:p>
        </w:tc>
        <w:tc>
          <w:tcPr>
            <w:tcW w:type="pct" w:w="24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宋体"/>
                <w:color w:val="000000"/>
                <w:sz w:val="21"/>
                <w:szCs w:val="21"/>
              </w:rPr>
              <w:t xml:space="preserve">AGPL/GPL 项目禁止引代码</w:t>
            </w:r>
          </w:p>
        </w:tc>
      </w:tr>
      <w:tr>
        <w:trPr>
          <w:cantSplit/>
        </w:trPr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宋体"/>
                <w:color w:val="000000"/>
                <w:sz w:val="21"/>
                <w:szCs w:val="21"/>
              </w:rPr>
              <w:t xml:space="preserve">贪多求全</w:t>
            </w:r>
          </w:p>
        </w:tc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宋体"/>
                <w:color w:val="000000"/>
                <w:sz w:val="21"/>
                <w:szCs w:val="21"/>
              </w:rPr>
              <w:t xml:space="preserve">四个维度一起上，全做不精</w:t>
            </w:r>
          </w:p>
        </w:tc>
        <w:tc>
          <w:tcPr>
            <w:tcW w:type="pct" w:w="24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宋体"/>
                <w:color w:val="000000"/>
                <w:sz w:val="21"/>
                <w:szCs w:val="21"/>
              </w:rPr>
              <w:t xml:space="preserve">严格串行：静态缺陷没闭环不开下一个</w:t>
            </w:r>
          </w:p>
        </w:tc>
      </w:tr>
    </w:tbl>
    <w:p>
      <w:pPr>
        <w:spacing w:after="0" w:before="0" w:line="360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 xml:space="preserve">三条纪律：不急着搭多智能体委员会（分诊是并行单智能体的活，等数据证明需要再加）；AGPL/GPL 代码绝不进仓库；没有评测集就不写提示词。</w:t>
      </w:r>
    </w:p>
    <w:p>
      <w:pPr>
        <w:pStyle w:val="Heading1"/>
        <w:pageBreakBefore/>
        <w:spacing w:after="120" w:before="120" w:line="400" w:lineRule="exact"/>
        <w:jc w:val="center"/>
      </w:pPr>
      <w:bookmarkStart w:id="100020" w:name="_Toc100020"/>
      <w:r>
        <w:rPr>
          <w:rFonts w:ascii="Times New Roman" w:eastAsia="黑体"/>
          <w:color w:val="000000"/>
          <w:sz w:val="32"/>
          <w:szCs w:val="32"/>
        </w:rPr>
        <w:t xml:space="preserve">第 4 章  本周就能开始的事</w:t>
      </w:r>
      <w:bookmarkEnd w:id="100020"/>
    </w:p>
    <w:p>
      <w:pPr>
        <w:pStyle w:val="Heading2"/>
        <w:spacing w:after="120" w:before="120" w:line="360" w:lineRule="auto"/>
      </w:pPr>
      <w:bookmarkStart w:id="100021" w:name="_Toc100021"/>
      <w:r>
        <w:rPr>
          <w:rFonts w:ascii="Times New Roman" w:eastAsia="黑体"/>
          <w:color w:val="000000"/>
          <w:sz w:val="28"/>
          <w:szCs w:val="28"/>
        </w:rPr>
        <w:t xml:space="preserve">4.1  三件事，不用写代码</w:t>
      </w:r>
      <w:bookmarkEnd w:id="100021"/>
    </w:p>
    <w:p>
      <w:pPr>
        <w:spacing w:after="0" w:before="0" w:line="360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 xml:space="preserve">第一件：跑一遍 open-code-review，拿到通用 AI 审查的基线成绩——以后我们的系统要比它更懂嵌入式。第二件：用 cppcheck 扫目标工程，拿一批真实告警，手工试一轮分诊提示词（判断是不是误报、给出证据），顺便估算单条成本。第三件：下载 Juliet 测试集，挑几个缺陷类别，搭好评测集雏形。三件事一天能做完，为第一周开发铺路。</w:t>
      </w:r>
    </w:p>
    <w:p>
      <w:pPr>
        <w:pStyle w:val="Heading2"/>
        <w:spacing w:after="120" w:before="120" w:line="360" w:lineRule="auto"/>
      </w:pPr>
      <w:bookmarkStart w:id="100022" w:name="_Toc100022"/>
      <w:r>
        <w:rPr>
          <w:rFonts w:ascii="Times New Roman" w:eastAsia="黑体"/>
          <w:color w:val="000000"/>
          <w:sz w:val="28"/>
          <w:szCs w:val="28"/>
        </w:rPr>
        <w:t xml:space="preserve">4.2  需要拍板的三个问题</w:t>
      </w:r>
      <w:bookmarkEnd w:id="100022"/>
    </w:p>
    <w:p>
      <w:pPr>
        <w:spacing w:after="0" w:before="0" w:line="360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 xml:space="preserve">一是部署形态：要不要纯内网部署？这决定用云端 API 还是本地模型。二是规范优先级：先做 MISRA 还是 GJB？决定规则库建设顺序。三是目标工程：用 FreeRTOS、RT-Thread 还是我们自己的工程？建议先用开源工程，好演示也好评测，跑通后再切真实工程。这三个问题都不影响第一周开工。</w:t>
      </w:r>
    </w:p>
    <w:sectPr>
      <w:footerReference w:type="default" r:id="rId6"/>
      <w:type w:val="nextPage"/>
      <w:pgSz w:w="12240" w:h="15840" w:orient="portrait"/>
      <w:pgMar w:top="1701" w:right="1418" w:bottom="1134" w:left="1418" w:header="720" w:footer="720" w:gutter="0"/>
      <w:pgNumType w:start="1" w:fmt="decimal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/>
        <w:color w:val="000000"/>
        <w:sz w:val="24"/>
        <w:szCs w:val="24"/>
      </w:rPr>
      <w:fldChar w:fldCharType="begin"/>
      <w:instrText xml:space="preserve"> PAGE \* arabic \* MERGEFORMAT 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/>
        <w:color w:val="000000"/>
        <w:sz w:val="24"/>
        <w:szCs w:val="24"/>
      </w:rPr>
    </w:rPrDefault>
    <w:pPrDefault>
      <w:pPr>
        <w:spacing w:line="360" w:lineRule="auto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20" w:before="120" w:line="400" w:lineRule="exact"/>
      <w:outlineLvl w:val="0"/>
    </w:pPr>
    <w:rPr>
      <w:rFonts w:ascii="Times New Roman" w:eastAsia="黑体"/>
      <w:b w:val="false"/>
      <w:bCs w:val="false"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120"/>
      <w:outlineLvl w:val="1"/>
    </w:pPr>
    <w:rPr>
      <w:rFonts w:ascii="Times New Roman" w:eastAsia="黑体"/>
      <w:b w:val="false"/>
      <w:bCs w:val="false"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60"/>
      <w:outlineLvl w:val="2"/>
    </w:pPr>
    <w:rPr>
      <w:rFonts w:ascii="Times New Roman" w:eastAsia="宋体"/>
      <w:b/>
      <w:bCs/>
      <w:color w:val="000000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8ae7e9867b503b923fadbd6b35e25fd850f3314b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多智能体驱动的嵌入式代码检测系统实施方案</dc:title>
  <dc:creator>嵌入式代码检测系统项目组</dc:creator>
  <cp:lastModifiedBy>Un-named</cp:lastModifiedBy>
  <cp:revision>1</cp:revision>
  <dcterms:created xsi:type="dcterms:W3CDTF">2026-10-02T15:22:54.616Z</dcterms:created>
  <dcterms:modified xsi:type="dcterms:W3CDTF">2026-10-02T15:22:54.617Z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