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E  M  B  E  D  D  E  D     C  O  D  E     A  N  A  L  Y  S  I  S     R  E  S  E  A  R  C  H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嵌入式代码检测系统技术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调研报告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检测对象 · 方法体系 · 多智能体协作框架选型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调研对象：嵌入式 C / C++ / Rust 代码检测 × 多智能体协作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调研方式：中英文公开资料检索与核实（120 余项来源）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报告版本：V1.0（调研阶段）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报告日期：2026 年 9 月 30 日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嵌入式代码检测系统项目组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2026.09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spacing w:after="200" w:before="360" w:line="360" w:lineRule="atLeast"/>
        <w:jc w:val="center"/>
      </w:pPr>
      <w:bookmarkStart w:id="100000" w:name="_Toc100000"/>
      <w:r>
        <w:rPr>
          <w:rFonts w:ascii="Times New Roman" w:eastAsia="SimHei"/>
          <w:b/>
          <w:bCs/>
          <w:color w:val="0E4450"/>
          <w:sz w:val="32"/>
          <w:szCs w:val="32"/>
        </w:rPr>
        <w:t xml:space="preserve">摘  要</w:t>
      </w:r>
      <w:bookmarkEnd w:id="10000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报告面向多智能体驱动的嵌入式代码检测系统的立项论证，回答三个核心问题：嵌入式代码检测的对象是什么（测什么）；检测方法应如何分类、各类有哪些可用开源工具（分为哪些方面）；有哪些效率较高、可直接复用的开源多智能体协作项目（用什么搭建）。调研于 2026 年 9 月完成，基于三个并行调研通道合计 120 余次中英文公开资料检索，框架星标数与工具版本均于 2026 年 9 月 30 日逐项核实。系统规划面向多种嵌入式语言（以 C 为主，兼顾 C++ 与 Rust），第一期覆盖静态缺陷检测、编码规范合规、并发与中断时序检测、单元测试生成与覆盖率四个维度。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关于测什么：检测对象建议按缺陷类型（对齐 CWE 分类）与规范条款（MISRA C、GJB 8114、CERT C）双维度组织检测项集，再按 ISO 26262、DO-178C 等行业标准要求裁剪。内存安全类缺陷是嵌入式场景中被实际利用最多的类别（2025 年 CWE Top 25 的 KEV 子榜中越界写得分 50.39，远超第二名 XSS 的 17.99），应作为最高优先级；并发与中断类缺陷是 RTOS 环境的特色高风险项，主流规范已相继补齐该维度。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关于怎么测：方法体系分为静态分析、动态分析、混合分析与二进制/固件分析四大族，四者按能查出与查不出什么的互补关系组合使用。开源工具链已具备以 SARIF 为统一告警格式的可编排能力，CBMC、gcovr、cppcheck 等关键工具均提供原生 JSON/SARIF 输出；但裸机 MCU 场景存在 ASan/TSan/Valgrind 不可用的根本限制，动态检测需走 CMock 打桩加 Renode/QEMU 仿真路线。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关于用什么搭建：多智能体框架推荐 LangGraph（生产可控、可观测性最好）与 AgentScope（异步并行、分布式、中文生态），代码审查功能可基于 PR-Agent 二开复用；AutoGen 已于 2026 年 4 月冻结，不应在新项目中采用。学界与工业界共识为：多智能体 token 成本约为普通对话的 15 倍，仅在可并行、广度优先的告警分诊与多视角审查场景收益明确。因此本系统推荐采用传统工具产出结构化告警、智能体并行研判、确定性流水线汇总裁决的混合架构，而非全自由多智能体协作。</w:t>
      </w:r>
      <w:r>
        <w:br w:type="page"/>
      </w: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摘  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 调研背景与范围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 项目背景与动机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 调研问题与方法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 范围界定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第二章  检测对象：嵌入式代码测什么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 缺陷类型全景：内存安全为第一优先级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 编码规范与规则体系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 功能安全标准对代码级验证的要求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 固件与二进制层检测对象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第三章  检测方法分类与开源工具矩阵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  四大方法族总览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 静态分析与形式化方法工具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3.3  动态分析方法工具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3.4  仿真、追踪与固件分析工具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3.5  工具可编排性与统一告警格式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3.6  嵌入式动态测试的难点与解法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第四章  开源多智能体协作项目调研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4.1  通用多智能体框架横向对比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4.2  代码检测与审查类开源项目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4.3  静态分析与 LLM 结合的研究现状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4.4  效率结论：多智能体何时收益为正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第五章  推荐架构与选型建议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5.1  总体架构：三层设计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5.2  框架与模型选型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5.3  分阶段落地路线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5.4  风险与注意事项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第六章  结论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附录  参考来源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注：本目录由域代码生成。文档编辑后如需刷新页码，请在目录上单击右键并选择“更新域”。</w:t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360" w:line="360" w:lineRule="atLeast"/>
        <w:jc w:val="center"/>
      </w:pPr>
      <w:bookmarkStart w:id="100001" w:name="_Toc100001"/>
      <w:r>
        <w:rPr>
          <w:rFonts w:ascii="Times New Roman" w:eastAsia="SimHei"/>
          <w:b/>
          <w:bCs/>
          <w:color w:val="0E4450"/>
          <w:sz w:val="32"/>
          <w:szCs w:val="32"/>
        </w:rPr>
        <w:t xml:space="preserve">第一章  调研背景与范围</w:t>
      </w:r>
      <w:bookmarkEnd w:id="100001"/>
    </w:p>
    <w:p>
      <w:pPr>
        <w:pStyle w:val="Heading2"/>
        <w:spacing w:after="140" w:before="280" w:line="340" w:lineRule="atLeast"/>
      </w:pPr>
      <w:bookmarkStart w:id="100002" w:name="_Toc100002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1.1  项目背景与动机</w:t>
      </w:r>
      <w:bookmarkEnd w:id="10000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嵌入式软件已广泛部署于汽车、航空、医疗、工业控制等安全关键领域，其代码质量直接关联功能安全与信息安全。一方面，ISO 26262、DO-178C、IEC 61508、IEC 62304 等标准对代码级验证活动（静态分析、结构覆盖率、编码规范合规）提出了明确且随安全等级递增的要求，欧盟网络弹性法案（CRA）等法规进一步将固件级漏洞管理纳入强制范围；另一方面，传统检测工具链存在误报率高、报告可读性差、跨工具结果割裂、依赖专家经验解读等痛点，检测产能难以匹配代码规模的增长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大语言模型（LLM）与多智能体技术的成熟为上述痛点提供了新的解法：利用 LLM 进行告警去误报与分级解释、自动生成单元测试、按标准条款生成合规报告等能力已被多篇研究与工业实践验证。本项目拟构建多智能体驱动的嵌入式代码检测系统，由传统工具负责精确检测、智能体负责语义研判与报告生成。本报告为立项前调研阶段的成果，用于支撑后续方案设计。</w:t>
      </w:r>
    </w:p>
    <w:p>
      <w:pPr>
        <w:pStyle w:val="Heading2"/>
        <w:spacing w:after="140" w:before="280" w:line="340" w:lineRule="atLeast"/>
      </w:pPr>
      <w:bookmarkStart w:id="100003" w:name="_Toc100003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1.2  调研问题与方法</w:t>
      </w:r>
      <w:bookmarkEnd w:id="10000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次调研围绕三个问题展开：其一，嵌入式代码检测的对象与缺陷类型，即测什么；其二，检测方法的分类体系及各类代表工具，即分为哪些方面；其三，高效率开源多智能体协作项目盘点，即可复用的技术底座。调研采用三个并行通道（检测对象与标准、方法与工具、多智能体项目）进行中英文检索，合计 120 余次；关键事实（GitHub 星标数、工具版本与维护状态）于 2026 年 9 月 30 日通过 GitHub API 与官方网站核实，报告中涉及的数据均可溯源至附录所列来源。</w:t>
      </w:r>
    </w:p>
    <w:p>
      <w:pPr>
        <w:pStyle w:val="Heading2"/>
        <w:spacing w:after="140" w:before="280" w:line="340" w:lineRule="atLeast"/>
      </w:pPr>
      <w:bookmarkStart w:id="100004" w:name="_Toc100004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1.3  范围界定</w:t>
      </w:r>
      <w:bookmarkEnd w:id="10000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目标代码范围：面向多种嵌入式语言，以 C 语言（裸机与 RTOS 环境）为核心，兼顾 C++ 与 Rust；运行环境覆盖裸机 MCU、RTOS（FreeRTOS、RT-Thread 等）与嵌入式 Linux。检测维度范围：第一期覆盖静态缺陷检测、编码规范合规（MISRA/GJB）、并发与中断时序检测、单元测试生成与覆盖率四项；固件二进制检测（无源码场景）作为扩展方向一并调研。本报告不涉及硬件在环台架选型与商业工具采购评估，商业工具仅作能力对照。</w:t>
      </w:r>
    </w:p>
    <w:p>
      <w:pPr>
        <w:pStyle w:val="Heading1"/>
        <w:pageBreakBefore/>
        <w:spacing w:after="200" w:before="360" w:line="360" w:lineRule="atLeast"/>
        <w:jc w:val="center"/>
      </w:pPr>
      <w:bookmarkStart w:id="100005" w:name="_Toc100005"/>
      <w:r>
        <w:rPr>
          <w:rFonts w:ascii="Times New Roman" w:eastAsia="SimHei"/>
          <w:b/>
          <w:bCs/>
          <w:color w:val="0E4450"/>
          <w:sz w:val="32"/>
          <w:szCs w:val="32"/>
        </w:rPr>
        <w:t xml:space="preserve">第二章  检测对象：嵌入式代码测什么</w:t>
      </w:r>
      <w:bookmarkEnd w:id="100005"/>
    </w:p>
    <w:p>
      <w:pPr>
        <w:pStyle w:val="Heading2"/>
        <w:spacing w:after="140" w:before="280" w:line="340" w:lineRule="atLeast"/>
      </w:pPr>
      <w:bookmarkStart w:id="100006" w:name="_Toc100006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2.1  缺陷类型全景：内存安全为第一优先级</w:t>
      </w:r>
      <w:bookmarkEnd w:id="100006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嵌入式代码的检测对象可归纳为七大类缺陷，优先级判断的直接依据是实际漏洞利用数据。</w:t>
      </w:r>
      <w:r>
        <w:rPr>
          <w:rFonts w:ascii="Times New Roman" w:eastAsia="SimSun"/>
          <w:color w:val="000000"/>
          <w:sz w:val="24"/>
          <w:szCs w:val="24"/>
        </w:rPr>
        <w:t xml:space="preserve">在 MITRE 2025 年 CWE Top 25 及其 KEV（已知被利用漏洞）子榜中，越界写（CWE-787）KEV 得分 50.39，远超第二名 XSS 的 17.99，且 CWE-787 在 2024 版 CWE Top 25 中排名第一——内存安全类缺陷是嵌入式与物联网软件中被实际利用最多、危害最大的类别。表 2-1 给出七类缺陷及其嵌入式典型成因。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2-1  嵌入式代码典型缺陷类型与成因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230"/>
        <w:gridCol w:w="3515"/>
        <w:gridCol w:w="4042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缺陷类别</w:t>
            </w:r>
          </w:p>
        </w:tc>
        <w:tc>
          <w:tcPr>
            <w:tcW w:type="pct" w:w="2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代表缺陷（对应 CWE 编号）</w:t>
            </w:r>
          </w:p>
        </w:tc>
        <w:tc>
          <w:tcPr>
            <w:tcW w:type="pct" w:w="2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嵌入式典型成因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内存安全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缓冲区溢出（121/122）、数组越界（125/787）、空指针解引用（476）、释放后使用（416）、内存泄漏（401）、未初始化读取（457）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协议帧解析无界拷贝；无 MMU 平台越界写不崩溃而是静默破坏相邻任务内存；系统 7×24 长驻使小泄漏最终致命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整型与算术</w:t>
            </w:r>
          </w:p>
        </w:tc>
        <w:tc>
          <w:tcPr>
            <w:tcW w:type="pct" w:w="2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有符号溢出（190）、无符号回绕（191）、隐式截断、除零（369）、移位越界</w:t>
            </w:r>
          </w:p>
        </w:tc>
        <w:tc>
          <w:tcPr>
            <w:tcW w:type="pct" w:w="2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16 位 MCU 上 int 仅 16 位，隐式整型提升截断高发；ADC 采样值直接参与比例运算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未定义行为（UB）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严格别名违反、对齐违反、悬空指针等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GCC/IAR/Keil 对 UB 的优化方向不同，换编译器即暴露故障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并发与中断</w:t>
            </w:r>
          </w:p>
        </w:tc>
        <w:tc>
          <w:tcPr>
            <w:tcW w:type="pct" w:w="2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数据竞争（362/366）、死锁（833）、优先级反转、ISR 可重入性、原子性缺失</w:t>
            </w:r>
          </w:p>
        </w:tc>
        <w:tc>
          <w:tcPr>
            <w:tcW w:type="pct" w:w="2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ISR 与任务共享变量无保护；volatile 不保证原子性，多字节共享数据撕裂；RTOS 优先级反转有大量真实修复案例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栈与实时性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栈溢出、最坏执行时间（WCET）超时、阻塞调用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递归、大局部数组、中断嵌套；运行时检测属事后尽力而为，认证场景需静态最坏栈深证明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字符串与资源</w:t>
            </w:r>
          </w:p>
        </w:tc>
        <w:tc>
          <w:tcPr>
            <w:tcW w:type="pct" w:w="2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不安全字符串函数（120/134）、格式化字符串（134）、外设句柄泄漏（404）、动态内存滥用</w:t>
            </w:r>
          </w:p>
        </w:tc>
        <w:tc>
          <w:tcPr>
            <w:tcW w:type="pct" w:w="2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错误分支漏关外设句柄耗尽句柄池；安全标准普遍禁止或严格限制运行期动态内存分配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结构与质量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死代码、控制/数据耦合、圈复杂度超标、递归、多出口函数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DO-178C 明确的代码验证目标；影响可维护性与认证追溯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七类中有两类需特别说明。其一，内存安全类在无 MMU 平台的表现与通用软件差异显著：越界写不会触发段错误，而是静默破坏相邻任务的数据与栈，缺陷往往在远端现场才暴露，这使静态防线的价值在该场景显著高于通用软件。其二，并发与中断类缺陷在 RTOS 环境高发：ISO 26262-6:2018 已在编码指南主题中新增并发（concurrency）主题，MISRA C:2023 的 AMD4 修订新增多线程与原子类型规则，主流规范均在补齐该维度，检测系统应将其列为独立检测项集。</w:t>
      </w:r>
    </w:p>
    <w:p>
      <w:pPr>
        <w:pStyle w:val="Heading2"/>
        <w:spacing w:after="140" w:before="280" w:line="340" w:lineRule="atLeast"/>
      </w:pPr>
      <w:bookmarkStart w:id="100007" w:name="_Toc100007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2.2  编码规范与规则体系</w:t>
      </w:r>
      <w:bookmarkEnd w:id="100007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编码规范将缺陷类型沉淀为可逐条检查的规则，是规范合规维度的检测对象基础。</w:t>
      </w:r>
      <w:r>
        <w:rPr>
          <w:rFonts w:ascii="Times New Roman" w:eastAsia="SimSun"/>
          <w:color w:val="000000"/>
          <w:sz w:val="24"/>
          <w:szCs w:val="24"/>
        </w:rPr>
        <w:t xml:space="preserve">表 2-2 汇总主流规范的规模与工具支持现状。需要注意两点：一是 MISRA C:2025 已于 2025 年发布（新增 4 条规则，有效指南约 225 条），但开源工具尚无完整覆盖——cppcheck 开源版的 misra.py 插件覆盖 MISRA C:2012（规则文本需自备），MISRA C:2025 全覆盖目前仅在 Cppcheck Premium 25.8 商业版提供；二是国内军品场景以 GJB 8114-2013（124 条强制规则）与 GJB 5369-2005（138 条）为事实基线，两者规则编号与分类互不兼容，检测系统的规则库需按目标标准分集管理。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2-2  主流编码规范与规则规模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109"/>
        <w:gridCol w:w="879"/>
        <w:gridCol w:w="3164"/>
        <w:gridCol w:w="2636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规范</w:t>
            </w:r>
          </w:p>
        </w:tc>
        <w:tc>
          <w:tcPr>
            <w:tcW w:type="pct" w:w="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适用语言</w:t>
            </w:r>
          </w:p>
        </w:tc>
        <w:tc>
          <w:tcPr>
            <w:tcW w:type="pct" w:w="18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规模与要点</w:t>
            </w:r>
          </w:p>
        </w:tc>
        <w:tc>
          <w:tcPr>
            <w:tcW w:type="pct" w:w="1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工具支持现状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MISRA C:2012（含 AMD1-4）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约 200 条指南；AMD4（2023）新增多线程与原子类型规则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cppcheck misra.py、clang-tidy、PC-lint Plus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MISRA C:2023</w:t>
            </w:r>
          </w:p>
        </w:tc>
        <w:tc>
          <w:tcPr>
            <w:tcW w:type="pct" w:w="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</w:t>
            </w:r>
          </w:p>
        </w:tc>
        <w:tc>
          <w:tcPr>
            <w:tcW w:type="pct" w:w="1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整合 2012 全部修订，覆盖 C90/C99/C11/C18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主流商业工具覆盖，开源按 2012 映射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MISRA C:2025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新增 4 条、删除 2 条，有效指南约 225 条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开源无全覆盖；Cppcheck Premium 25.8 全覆盖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MISRA C++:2023</w:t>
            </w:r>
          </w:p>
        </w:tc>
        <w:tc>
          <w:tcPr>
            <w:tcW w:type="pct" w:w="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C++</w:t>
            </w:r>
          </w:p>
        </w:tc>
        <w:tc>
          <w:tcPr>
            <w:tcW w:type="pct" w:w="1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179 条指南（基于 C++17），在规则层面实际取代 AUTOSAR C++14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商业工具为主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SEI CERT C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98 条规则，按 PRE/DCL/INT/MEM/CON 等章节组织，与 CWE 有官方映射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cppcheck/clang-tidy 部分覆盖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GJB 8114-2013 / GJB 5369-2005</w:t>
            </w:r>
          </w:p>
        </w:tc>
        <w:tc>
          <w:tcPr>
            <w:tcW w:type="pct" w:w="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C/C++</w:t>
            </w:r>
          </w:p>
        </w:tc>
        <w:tc>
          <w:tcPr>
            <w:tcW w:type="pct" w:w="1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124 条强制规则 / 138 条规则，国内军品静态检测事实基线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国产工具与自建规则库支持</w:t>
            </w:r>
          </w:p>
        </w:tc>
      </w:tr>
    </w:tbl>
    <w:p>
      <w:pPr>
        <w:pStyle w:val="Heading2"/>
        <w:spacing w:after="140" w:before="280" w:line="340" w:lineRule="atLeast"/>
      </w:pPr>
      <w:bookmarkStart w:id="100008" w:name="_Toc100008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2.3  功能安全标准对代码级验证的要求</w:t>
      </w:r>
      <w:bookmarkEnd w:id="100008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行业标准不直接定义缺陷清单，而是规定必须执行的验证活动及其推荐强度，是检测项集裁剪的依据。</w:t>
      </w:r>
      <w:r>
        <w:rPr>
          <w:rFonts w:ascii="Times New Roman" w:eastAsia="SimSun"/>
          <w:color w:val="000000"/>
          <w:sz w:val="24"/>
          <w:szCs w:val="24"/>
        </w:rPr>
        <w:t xml:space="preserve">表 2-3 汇总各标准要求。共性规律有三：静态分析的推荐强度随安全等级递增（ISO 26262 ASIL D 为最高级++，IEC 61508 高 SIL 等级与 EN 50716 全等级为 HR 即高度推荐）；结构覆盖率要求随等级从语句覆盖升至 MC/DC（DO-178C DAL A 强制）；静态分析不能替代动态测试（DO-178C 明确）。值得关注的是，开源链路在 2024 至 2025 年完成关键闭环：GCC 14 原生支持 MC/DC 条件覆盖插桩，lcov 2.x 支持 MC/DC 报告，llvm-cov 支持相应编译选项，安全关键覆盖指标首次可用纯开源工具链度量。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2-3  功能安全与法规标准对代码级检测的要求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933"/>
        <w:gridCol w:w="1582"/>
        <w:gridCol w:w="5273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标准/法规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领域</w:t>
            </w:r>
          </w:p>
        </w:tc>
        <w:tc>
          <w:tcPr>
            <w:tcW w:type="pct" w:w="3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代码级要求要点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ISO 26262-6:2018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汽车功能安全</w:t>
            </w:r>
          </w:p>
        </w:tc>
        <w:tc>
          <w:tcPr>
            <w:tcW w:type="pct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静态分析在 ASIL D 为++；覆盖率随 ASIL 由语句升至 MC/DC；2018 版新增并发主题；设计原则限制动态内存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DO-178C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民用航空</w:t>
            </w:r>
          </w:p>
        </w:tc>
        <w:tc>
          <w:tcPr>
            <w:tcW w:type="pct" w:w="3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DAL A 强制 MC/DC 覆盖率；死代码与控制/数据耦合分析；覆盖率须源于需求测试；静态分析不可替代动态测试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IEC 61508-3:2010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工业功能安全</w:t>
            </w:r>
          </w:p>
        </w:tc>
        <w:tc>
          <w:tcPr>
            <w:tcW w:type="pct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编码标准在 SIL 3-4 为 HR；静态分析推荐级随 SIL 递增；附录 B 表化规定静态技术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EN 50716:2023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轨道交通（取代 EN 50128）</w:t>
            </w:r>
          </w:p>
        </w:tc>
        <w:tc>
          <w:tcPr>
            <w:tcW w:type="pct" w:w="3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静态分析 SIL 1-4 均为 HR；SIL 4 期望 MC/DC；验证工具按 T1/T2/T3 分级鉴定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IEC 62304 + FDA 2026 指南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医疗器械</w:t>
            </w:r>
          </w:p>
        </w:tc>
        <w:tc>
          <w:tcPr>
            <w:tcW w:type="pct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B/C 类强制单元实现验证；漏洞扫描、SCA（SBOM）、静态与动态分析列为上市前必备测试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EU CRA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欧盟网络安全法规</w:t>
            </w:r>
          </w:p>
        </w:tc>
        <w:tc>
          <w:tcPr>
            <w:tcW w:type="pct" w:w="3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SBOM 须机器可读且覆盖固件及依赖；漏洞 24 小时预警、72 小时详报（2026-09 起生效）</w:t>
            </w:r>
          </w:p>
        </w:tc>
      </w:tr>
    </w:tbl>
    <w:p>
      <w:pPr>
        <w:pStyle w:val="Heading2"/>
        <w:spacing w:after="140" w:before="280" w:line="340" w:lineRule="atLeast"/>
      </w:pPr>
      <w:bookmarkStart w:id="100009" w:name="_Toc100009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2.4  固件与二进制层检测对象</w:t>
      </w:r>
      <w:bookmarkEnd w:id="10000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当第三方组件无源码或需验证交付固件时，检测对象扩展到二进制层，包括：组件清单（SBOM）生成与已知 CVE 匹配、硬编码密钥与默认口令、暴露的调试接口（UART/JTAG）、过时组件与弱配置。法规侧，欧盟 CRA 自 2026 年 9 月 11 日起生效漏洞报告义务，并要求 SBOM 机器可读且覆盖固件；FDA 2026 年指南将固件安全测试列为医疗器械上市前必备项。固件层检测建议作为系统二期扩展方向，其技术路线见第三章第四节。</w:t>
      </w:r>
    </w:p>
    <w:p>
      <w:pPr>
        <w:pStyle w:val="Heading1"/>
        <w:pageBreakBefore/>
        <w:spacing w:after="200" w:before="360" w:line="360" w:lineRule="atLeast"/>
        <w:jc w:val="center"/>
      </w:pPr>
      <w:bookmarkStart w:id="100010" w:name="_Toc100010"/>
      <w:r>
        <w:rPr>
          <w:rFonts w:ascii="Times New Roman" w:eastAsia="SimHei"/>
          <w:b/>
          <w:bCs/>
          <w:color w:val="0E4450"/>
          <w:sz w:val="32"/>
          <w:szCs w:val="32"/>
        </w:rPr>
        <w:t xml:space="preserve">第三章  检测方法分类与开源工具矩阵</w:t>
      </w:r>
      <w:bookmarkEnd w:id="100010"/>
    </w:p>
    <w:p>
      <w:pPr>
        <w:pStyle w:val="Heading2"/>
        <w:spacing w:after="140" w:before="280" w:line="340" w:lineRule="atLeast"/>
      </w:pPr>
      <w:bookmarkStart w:id="100011" w:name="_Toc100011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3.1  四大方法族总览</w:t>
      </w:r>
      <w:bookmarkEnd w:id="100011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嵌入式代码检测方法分为四大族：静态分析、动态分析、混合分析与二进制/固件分析。</w:t>
      </w:r>
      <w:r>
        <w:rPr>
          <w:rFonts w:ascii="Times New Roman" w:eastAsia="SimSun"/>
          <w:color w:val="000000"/>
          <w:sz w:val="24"/>
          <w:szCs w:val="24"/>
        </w:rPr>
        <w:t xml:space="preserve">方法选择的依据是互补性：静态分析覆盖面广但存在误报、需人工分诊；动态分析低误报但受测试激励质量限制；形式化方法可给出数学证明但算力成本高；固件分析面向无源码场景。表 3-1 给出四族对比。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3-1  四大方法族对比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142"/>
        <w:gridCol w:w="2373"/>
        <w:gridCol w:w="2109"/>
        <w:gridCol w:w="1933"/>
        <w:gridCol w:w="1230"/>
      </w:tblGrid>
      <w:tr>
        <w:trPr>
          <w:cantSplit/>
          <w:tblHeader/>
        </w:trPr>
        <w:tc>
          <w:tcPr>
            <w:tcW w:type="pct" w:w="6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方法族</w:t>
            </w:r>
          </w:p>
        </w:tc>
        <w:tc>
          <w:tcPr>
            <w:tcW w:type="pct" w:w="13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原理</w:t>
            </w:r>
          </w:p>
        </w:tc>
        <w:tc>
          <w:tcPr>
            <w:tcW w:type="pct" w:w="12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能查出</w:t>
            </w:r>
          </w:p>
        </w:tc>
        <w:tc>
          <w:tcPr>
            <w:tcW w:type="pct" w:w="11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主要局限</w:t>
            </w:r>
          </w:p>
        </w:tc>
        <w:tc>
          <w:tcPr>
            <w:tcW w:type="pct" w:w="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计算成本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静态分析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规则/AST 模式匹配、编译器警告、数据流与控制流分析、抽象解释、符号执行、有界模型检查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内存/整型/UB 类缺陷、规范违规、部分并发问题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查不出真实时序与硬件行为；误报需分诊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规则检查秒级；形式化对大程序可达小时级</w:t>
            </w:r>
          </w:p>
        </w:tc>
      </w:tr>
      <w:tr>
        <w:trPr>
          <w:cantSplit/>
        </w:trPr>
        <w:tc>
          <w:tcPr>
            <w:tcW w:type="pct" w:w="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动态分析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单元测试加 mock、运行时插桩、覆盖率统计、运行时追踪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真实触发缺陷（低误报）、覆盖率证据、实时性与调度问题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未执行路径不可见；依赖激励质量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中等；需可执行环境与激励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混合分析（concolic）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符号执行与具体执行交替，SMT 求解生成新输入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深层路径缺陷；自动生成高覆盖测试用例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指针与外设寄存器建模困难；路径爆炸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高；SMT 求解为瓶颈</w:t>
            </w:r>
          </w:p>
        </w:tc>
      </w:tr>
      <w:tr>
        <w:trPr>
          <w:cantSplit/>
        </w:trPr>
        <w:tc>
          <w:tcPr>
            <w:tcW w:type="pct" w:w="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二进制/固件分析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解包提取、反汇编反编译、SBOM 与 CVE 匹配、固件仿真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无源码组件漏洞、硬编码密钥、过时组件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高度定制 MCU 难提取难仿真；编译期信息丢失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中等；全系统仿真成功率是短板</w:t>
            </w:r>
          </w:p>
        </w:tc>
      </w:tr>
    </w:tbl>
    <w:p>
      <w:pPr>
        <w:pStyle w:val="Heading2"/>
        <w:spacing w:after="140" w:before="280" w:line="340" w:lineRule="atLeast"/>
      </w:pPr>
      <w:bookmarkStart w:id="100012" w:name="_Toc100012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3.2  静态分析与形式化方法工具</w:t>
      </w:r>
      <w:bookmarkEnd w:id="100012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静态工具按能力递进分三档。</w:t>
      </w:r>
      <w:r>
        <w:rPr>
          <w:rFonts w:ascii="Times New Roman" w:eastAsia="SimSun"/>
          <w:color w:val="000000"/>
          <w:sz w:val="24"/>
          <w:szCs w:val="24"/>
        </w:rPr>
        <w:t xml:space="preserve">第一档为规则与数据流检查（cppcheck、clang-tidy、GCC -fanalyzer），秒级完成、适合 CI 常驻；第二档为路径敏感分析（Clang Static Analyzer、GCC -fanalyzer），可追踪缺陷传播路径；第三档为形式化方法：Frama-C 以抽象解释对运行时错误给出无误报界的证明，CBMC/ESBMC 以有界模型检查对断言、溢出、指针安全给出反例。交叉编译场景下 arm-none-eabi-gcc 自带 -fanalyzer，无额外部署成本。表 3-2 为工具矩阵，其维护状态与版本均于 2026 年 9 月核实。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3-2  静态分析与形式化开源工具矩阵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406"/>
        <w:gridCol w:w="2900"/>
        <w:gridCol w:w="1230"/>
        <w:gridCol w:w="1670"/>
        <w:gridCol w:w="1582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16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原理定位</w:t>
            </w:r>
          </w:p>
        </w:tc>
        <w:tc>
          <w:tcPr>
            <w:tcW w:type="pct" w:w="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许可证</w:t>
            </w:r>
          </w:p>
        </w:tc>
        <w:tc>
          <w:tcPr>
            <w:tcW w:type="pct" w:w="9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维护状态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结构化输出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cppcheck 2.22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规则加数据流，专注未定义行为；官方 MISRA 插件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GPL-3.0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活跃（2025-09 发布 2.22）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XML；SARIF（2.15 起）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clang-tidy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AST 级规则检查加自动修复，需编译数据库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Apache-2.0（LLVM）</w:t>
            </w:r>
          </w:p>
        </w:tc>
        <w:tc>
          <w:tcPr>
            <w:tcW w:type="pct" w:w="9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随 LLVM 持续发布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YAML；配 CodeChecker 出 JSON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Clang Static Analyzer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路径敏感符号化流分析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Apache-2.0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随 LLVM 持续发布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plist（机器可读）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GCC -fanalyzer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编译器内建路径敏感静态分析器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GPL-3.0</w:t>
            </w:r>
          </w:p>
        </w:tc>
        <w:tc>
          <w:tcPr>
            <w:tcW w:type="pct" w:w="9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GCC 14 起误报显著下降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JSON/SARIF（GCC 13 起）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Frama-C 33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抽象解释（Eva）加 ACSL 契约演绎验证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LGPL-2.1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需脚本封装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CBMC 6.11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有界模型检查（SAT/SMT）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BSD 类</w:t>
            </w:r>
          </w:p>
        </w:tc>
        <w:tc>
          <w:tcPr>
            <w:tcW w:type="pct" w:w="9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活跃（2025-08）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原生 JSON（--json-ui）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ESBMC 7.x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SMT 有界模型检查加并发调度与偏序约简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宽松 BSD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活跃（SV-COMP 常年参赛）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JSON 接口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KLEE 3.1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LLVM 动态符号执行，自动产出测试用例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类 BSD</w:t>
            </w:r>
          </w:p>
        </w:tc>
        <w:tc>
          <w:tcPr>
            <w:tcW w:type="pct" w:w="9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维护中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ktest 格式，需封装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angr 9.2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二进制符号执行与分析框架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BSD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Python 库，天然可序列化</w:t>
            </w:r>
          </w:p>
        </w:tc>
      </w:tr>
    </w:tbl>
    <w:p>
      <w:pPr>
        <w:pStyle w:val="Heading2"/>
        <w:spacing w:after="140" w:before="280" w:line="340" w:lineRule="atLeast"/>
      </w:pPr>
      <w:bookmarkStart w:id="100013" w:name="_Toc100013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3.3  动态分析方法工具</w:t>
      </w:r>
      <w:bookmarkEnd w:id="100013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动态检测存在环境分层的根本限制。</w:t>
      </w:r>
      <w:r>
        <w:rPr>
          <w:rFonts w:ascii="Times New Roman" w:eastAsia="SimSun"/>
          <w:color w:val="000000"/>
          <w:sz w:val="24"/>
          <w:szCs w:val="24"/>
        </w:rPr>
        <w:t xml:space="preserve">AddressSanitizer、ThreadSanitizer、MemorySanitizer 与 Valgrind 均依赖宿主环境（嵌入式 Linux 或 64 位平台），裸机 MCU 上仅 UndefinedBehaviorSanitizer 提供可裁剪的 standalone 运行时。因此裸机动态检测的主路线是：宿主机上以 CMock 对硬件抽象层打桩、运行 Unity 单元测试（Ceedling 一键串联构建与覆盖率），需要外设行为时引入 Renode 仿真。表 3-3 为工具矩阵。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3-3  动态分析开源工具矩阵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758"/>
        <w:gridCol w:w="2900"/>
        <w:gridCol w:w="1142"/>
        <w:gridCol w:w="1406"/>
        <w:gridCol w:w="1582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16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原理定位</w:t>
            </w:r>
          </w:p>
        </w:tc>
        <w:tc>
          <w:tcPr>
            <w:tcW w:type="pct" w:w="6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许可证</w:t>
            </w:r>
          </w:p>
        </w:tc>
        <w:tc>
          <w:tcPr>
            <w:tcW w:type="pct" w:w="8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维护状态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结构化输出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Unity / CMock / Ceedling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 单元测试、自动 mock 与构建编排，嵌入式事实标准三件套</w:t>
            </w:r>
          </w:p>
        </w:tc>
        <w:tc>
          <w:tcPr>
            <w:tcW w:type="pct" w:w="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MIT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活跃（Ceedling 1.0）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JUnit XML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GoogleTest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C++ 测试框架，嵌入式 Linux 侧常用</w:t>
            </w:r>
          </w:p>
        </w:tc>
        <w:tc>
          <w:tcPr>
            <w:tcW w:type="pct" w:w="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BSD-3</w:t>
            </w:r>
          </w:p>
        </w:tc>
        <w:tc>
          <w:tcPr>
            <w:tcW w:type="pct" w:w="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原生 JSON/JUnit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Criterion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现代 C/C++ 测试框架</w:t>
            </w:r>
          </w:p>
        </w:tc>
        <w:tc>
          <w:tcPr>
            <w:tcW w:type="pct" w:w="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MIT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低频维护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JSON/JUnit/TAP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gcov / gcovr 8.6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覆盖率统计与跨编译器汇总，GCC 14 起支持 MC/DC</w:t>
            </w:r>
          </w:p>
        </w:tc>
        <w:tc>
          <w:tcPr>
            <w:tcW w:type="pct" w:w="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GPL-3.0 / BSD-3</w:t>
            </w:r>
          </w:p>
        </w:tc>
        <w:tc>
          <w:tcPr>
            <w:tcW w:type="pct" w:w="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活跃（2026-01 发布 8.6）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原生 JSON 与 Cobertura XML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lcov 2.3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覆盖率前端，2.x 支持 MC/DC 报告</w:t>
            </w:r>
          </w:p>
        </w:tc>
        <w:tc>
          <w:tcPr>
            <w:tcW w:type="pct" w:w="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GPL-2.0+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.info 格式，需转换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ASan / TSan / MSan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运行时内存错误、数据竞争、未初始化检测</w:t>
            </w:r>
          </w:p>
        </w:tc>
        <w:tc>
          <w:tcPr>
            <w:tcW w:type="pct" w:w="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Apache-2.0 / BSD</w:t>
            </w:r>
          </w:p>
        </w:tc>
        <w:tc>
          <w:tcPr>
            <w:tcW w:type="pct" w:w="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随编译器演进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日志输出；仅嵌入式 Linux 可用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UBSan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未定义行为运行时检测，standalone 版裸机可用</w:t>
            </w:r>
          </w:p>
        </w:tc>
        <w:tc>
          <w:tcPr>
            <w:tcW w:type="pct" w:w="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同上</w:t>
            </w:r>
          </w:p>
        </w:tc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随编译器演进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日志输出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Valgrind 3.27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影子内存全量检测，无需重编译</w:t>
            </w:r>
          </w:p>
        </w:tc>
        <w:tc>
          <w:tcPr>
            <w:tcW w:type="pct" w:w="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GPLv3</w:t>
            </w:r>
          </w:p>
        </w:tc>
        <w:tc>
          <w:tcPr>
            <w:tcW w:type="pct" w:w="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原生 XML（--xml=yes）；仅 Linux</w:t>
            </w:r>
          </w:p>
        </w:tc>
      </w:tr>
    </w:tbl>
    <w:p>
      <w:pPr>
        <w:pStyle w:val="Heading2"/>
        <w:spacing w:after="140" w:before="280" w:line="340" w:lineRule="atLeast"/>
      </w:pPr>
      <w:bookmarkStart w:id="100014" w:name="_Toc100014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3.4  仿真、追踪与固件分析工具</w:t>
      </w:r>
      <w:bookmarkEnd w:id="1000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全系统仿真与追踪工具解决动态检测的运行环境问题，固件分析工具面向无源码场景。表 3-4 汇总该组工具。其中 Renode 对 MCU 与多节点系统的外设级仿真能力与 Robot Framework 测试集成使其成为仿真中动态测试的最佳开源载体；固件自动化安全分析首选 EMBA（内置 SBOM 检测与 CVE 匹配），binwalk v3 上游维护已转弱，解包环节可由新兴替代品 unblob 补充。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3-4  仿真、追踪与固件分析开源工具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582"/>
        <w:gridCol w:w="2988"/>
        <w:gridCol w:w="1230"/>
        <w:gridCol w:w="1494"/>
        <w:gridCol w:w="1494"/>
      </w:tblGrid>
      <w:tr>
        <w:trPr>
          <w:cantSplit/>
          <w:tblHeader/>
        </w:trPr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1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原理定位</w:t>
            </w:r>
          </w:p>
        </w:tc>
        <w:tc>
          <w:tcPr>
            <w:tcW w:type="pct" w:w="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许可证</w:t>
            </w:r>
          </w:p>
        </w:tc>
        <w:tc>
          <w:tcPr>
            <w:tcW w:type="pct" w:w="8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维护状态</w:t>
            </w:r>
          </w:p>
        </w:tc>
        <w:tc>
          <w:tcPr>
            <w:tcW w:type="pct" w:w="8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结构化输出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Renode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MCU/SoC 多节点外设级仿真，支持故障注入与 CI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MIT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Robot Framework XML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QEMU 10.x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全系统仿真（嵌入式 Linux 侧动态测试载体）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GPL-2.0</w:t>
            </w:r>
          </w:p>
        </w:tc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</w:t>
            </w:r>
          </w:p>
        </w:tc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QMP（JSON 控制接口）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SEGGER SystemView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RTOS 事件级追踪与时间线分析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非商业免费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持续维护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录制文件，面向人工分析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EMBA v2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固件自动化安全分析加 SBOM 与 CVE 匹配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AGPL-3.0</w:t>
            </w:r>
          </w:p>
        </w:tc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</w:t>
            </w:r>
          </w:p>
        </w:tc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HTML/日志，解析需自封装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Ghidra 12.x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反汇编反编译，支持 headless 与脚本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Apache-2.0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脚本自定义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binwalk v3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固件镜像签名扫描与文件系统提取</w:t>
            </w:r>
          </w:p>
        </w:tc>
        <w:tc>
          <w:tcPr>
            <w:tcW w:type="pct" w:w="7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MIT</w:t>
            </w:r>
          </w:p>
        </w:tc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上游放缓（社区分叉接续）</w:t>
            </w:r>
          </w:p>
        </w:tc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文本日志</w:t>
            </w:r>
          </w:p>
        </w:tc>
      </w:tr>
    </w:tbl>
    <w:p>
      <w:pPr>
        <w:pStyle w:val="Heading2"/>
        <w:spacing w:after="140" w:before="280" w:line="340" w:lineRule="atLeast"/>
      </w:pPr>
      <w:bookmarkStart w:id="100015" w:name="_Toc100015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3.5  工具可编排性与统一告警格式</w:t>
      </w:r>
      <w:bookmarkEnd w:id="100015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多智能体系统将上述工具作为可调用工具编排，前提是工具具备命令行接口与结构化输出，这是选型的硬约束。</w:t>
      </w:r>
      <w:r>
        <w:rPr>
          <w:rFonts w:ascii="Times New Roman" w:eastAsia="SimSun"/>
          <w:color w:val="000000"/>
          <w:sz w:val="24"/>
          <w:szCs w:val="24"/>
        </w:rPr>
        <w:t xml:space="preserve">按输出能力可分三档：一等（原生 JSON/XML/SARIF，可直接被智能体消费）：CBMC（--json-ui）、ESBMC、gcovr（--json）、cppcheck（XML/SARIF）、GoogleTest 与 Criterion（JSON/JUnit）、Ceedling（JUnit XML）、Valgrind（--xml）、Renode（Robot XML）；二等（结构化但需封装）：Frama-C、KLEE、lcov、Ghidra headless；三等（面向人读）：SystemView、Tracealyzer、EMBA。建议以 SARIF（OASIS 静态分析结果交换标准）作为统一告警中间格式：cppcheck 2.15 起、GCC 13 起、Clang 均已原生支持，各工具告警归一为 SARIF 后进入智能体研判层，可显著降低适配层复杂度。</w:t>
      </w:r>
    </w:p>
    <w:p>
      <w:pPr>
        <w:pStyle w:val="Heading2"/>
        <w:spacing w:after="140" w:before="280" w:line="340" w:lineRule="atLeast"/>
      </w:pPr>
      <w:bookmarkStart w:id="100016" w:name="_Toc100016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3.6  嵌入式动态测试的难点与解法</w:t>
      </w:r>
      <w:bookmarkEnd w:id="1000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嵌入式动态测试存在四大难点：硬件依赖（无真实外设则相关路径不可触发）、传感器激励难以构造（电压电流时序上逼真的模拟量难以人工生成）、时序不可复现（中断、DMA 与多任务并发使缺陷复现非确定）、目标板观测性差（插桩与覆盖率统计开销大）。常用解法按层级划分见表 3-5，其核心思想是把不可控的真实环境逐层替换为可脚本化、可注入、可重放的受控环境。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3-5  嵌入式动态测试难点与分层解法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582"/>
        <w:gridCol w:w="4042"/>
        <w:gridCol w:w="3164"/>
      </w:tblGrid>
      <w:tr>
        <w:trPr>
          <w:cantSplit/>
          <w:tblHeader/>
        </w:trPr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2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手段</w:t>
            </w:r>
          </w:p>
        </w:tc>
        <w:tc>
          <w:tcPr>
            <w:tcW w:type="pct" w:w="18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代表开源工具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单元层（宿主机）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硬件抽象层打桩、外设寄存器映射为内存结构体、测试驱动开发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CMock + Unity + Ceedling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进程级（嵌入式 Linux）</w:t>
            </w:r>
          </w:p>
        </w:tc>
        <w:tc>
          <w:tcPr>
            <w:tcW w:type="pct" w:w="2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运行时插桩检测与覆盖率统计</w:t>
            </w:r>
          </w:p>
        </w:tc>
        <w:tc>
          <w:tcPr>
            <w:tcW w:type="pct" w:w="1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Sanitizers、Valgrind、gcov/gcovr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全系统仿真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外设级仿真替代真实硬件，故障可注入、时序可编排、CI 可复现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Renode、QEMU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硬件在环（HIL）</w:t>
            </w:r>
          </w:p>
        </w:tc>
        <w:tc>
          <w:tcPr>
            <w:tcW w:type="pct" w:w="2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实时仿真器模拟传感器与总线，支持故障组合遍历与再现</w:t>
            </w:r>
          </w:p>
        </w:tc>
        <w:tc>
          <w:tcPr>
            <w:tcW w:type="pct" w:w="1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商业台架为主；开源以 Renode 加自研信号板折中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时序追踪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RTOS 事件追踪与时间线分析，定位时序缺陷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SEGGER SystemView、Tracealyzer</w:t>
            </w:r>
          </w:p>
        </w:tc>
      </w:tr>
    </w:tbl>
    <w:p>
      <w:pPr>
        <w:pStyle w:val="Heading1"/>
        <w:pageBreakBefore/>
        <w:spacing w:after="200" w:before="360" w:line="360" w:lineRule="atLeast"/>
        <w:jc w:val="center"/>
      </w:pPr>
      <w:bookmarkStart w:id="100017" w:name="_Toc100017"/>
      <w:r>
        <w:rPr>
          <w:rFonts w:ascii="Times New Roman" w:eastAsia="SimHei"/>
          <w:b/>
          <w:bCs/>
          <w:color w:val="0E4450"/>
          <w:sz w:val="32"/>
          <w:szCs w:val="32"/>
        </w:rPr>
        <w:t xml:space="preserve">第四章  开源多智能体协作项目调研</w:t>
      </w:r>
      <w:bookmarkEnd w:id="100017"/>
    </w:p>
    <w:p>
      <w:pPr>
        <w:pStyle w:val="Heading2"/>
        <w:spacing w:after="140" w:before="280" w:line="340" w:lineRule="atLeast"/>
      </w:pPr>
      <w:bookmarkStart w:id="100018" w:name="_Toc100018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4.1  通用多智能体框架横向对比</w:t>
      </w:r>
      <w:bookmarkEnd w:id="100018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截至 2026 年 9 月 30 日对十个主流框架的核实结果见表 4-1 与图 4-1，可得出三点判断。</w:t>
      </w:r>
      <w:r>
        <w:rPr>
          <w:rFonts w:ascii="Times New Roman" w:eastAsia="SimSun"/>
          <w:color w:val="000000"/>
          <w:sz w:val="24"/>
          <w:szCs w:val="24"/>
        </w:rPr>
        <w:t xml:space="preserve">其一，AutoGen（61,236 星）已于 2026 年 4 月冻结归档，官方路线并入 Microsoft Agent Framework，社区延续为 AG2（约 5,000 星），新项目不应再采用 AutoGen；其二，框架层正快速收敛（AutoGen 与 Semantic Kernel 合并、Swarm 升级为 OpenAI Agents SDK），通用编排抽象本身在贬值，工程价值转移到上下文工程与评测体系；其三，对本系统而言检测流程确定、要求可审计与人机协同，图/状态机范式的 LangGraph 最匹配，若需多项目并发横向扩展则 AgentScope 的异步并行与分布式调度更优。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4-1  通用多智能体框架横向对比（Star 数为 2026-09-30 实测）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494"/>
        <w:gridCol w:w="2109"/>
        <w:gridCol w:w="1055"/>
        <w:gridCol w:w="1758"/>
        <w:gridCol w:w="2373"/>
      </w:tblGrid>
      <w:tr>
        <w:trPr>
          <w:cantSplit/>
          <w:tblHeader/>
        </w:trPr>
        <w:tc>
          <w:tcPr>
            <w:tcW w:type="pct" w:w="8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框架</w:t>
            </w:r>
          </w:p>
        </w:tc>
        <w:tc>
          <w:tcPr>
            <w:tcW w:type="pct" w:w="12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架构模式</w:t>
            </w:r>
          </w:p>
        </w:tc>
        <w:tc>
          <w:tcPr>
            <w:tcW w:type="pct" w:w="6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GitHub Star</w:t>
            </w:r>
          </w:p>
        </w:tc>
        <w:tc>
          <w:tcPr>
            <w:tcW w:type="pct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状态与许可证</w:t>
            </w:r>
          </w:p>
        </w:tc>
        <w:tc>
          <w:tcPr>
            <w:tcW w:type="pct" w:w="13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选型建议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LangGraph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图/状态机，checkpoint 持久化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42,507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活跃；MIT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生产首选：可控性、可观测性、人机协同最好</w:t>
            </w:r>
          </w:p>
        </w:tc>
      </w:tr>
      <w:tr>
        <w:trPr>
          <w:cantSplit/>
        </w:trPr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CrewAI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角色分工 Crew/Task/Flow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59,215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活跃；MIT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原型最快；细粒度控制弱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AgentScope 1.0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ReAct 加异步并行与分布式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32,613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活跃；Apache-2.0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分布式扩展与中文生态优选</w:t>
            </w:r>
          </w:p>
        </w:tc>
      </w:tr>
      <w:tr>
        <w:trPr>
          <w:cantSplit/>
        </w:trPr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AutoGen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对话群聊多智能体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61,236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已冻结（2026-04）；CC-BY-4.0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不建议新项目采用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Microsoft Agent Framework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AutoGen 与 SK 合并的企业框架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13,877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活跃；MIT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微软生态企业路线</w:t>
            </w:r>
          </w:p>
        </w:tc>
      </w:tr>
      <w:tr>
        <w:trPr>
          <w:cantSplit/>
        </w:trPr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MetaGPT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SOP 角色流（软件公司模拟）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70,701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更新放缓；MIT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研究参考，借鉴其 SOP 角色结构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OpenAI Agents SDK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轻量 handoff 加 guardrails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29,783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活跃；MIT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抽象最少，适合嵌入自有系统</w:t>
            </w:r>
          </w:p>
        </w:tc>
      </w:tr>
      <w:tr>
        <w:trPr>
          <w:cantSplit/>
        </w:trPr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smolagents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Code Agent（写代码即动作，省 token）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29,605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活跃；Apache-2.0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极轻量内嵌方案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OpenHands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事件流编码 Agent 平台（含沙箱）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89,593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极活跃；MIT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可整体二开为检测平台</w:t>
            </w:r>
          </w:p>
        </w:tc>
      </w:tr>
      <w:tr>
        <w:trPr>
          <w:cantSplit/>
        </w:trPr>
        <w:tc>
          <w:tcPr>
            <w:tcW w:type="pct" w:w="8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Dify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低代码 Agent 平台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157,566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极活跃；OSS 许可证对多租户商用有限制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平台型方案，商用需审查条款</w:t>
            </w:r>
          </w:p>
        </w:tc>
      </w:tr>
    </w:tbl>
    <w:p>
      <w:pPr>
        <w:keepNext/>
        <w:spacing w:before="200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图 4-1  主流多智能体框架 GitHub Star 数对比（2026-09-30 实测，未含 Dify 157,566）</w:t>
      </w:r>
    </w:p>
    <w:p>
      <w:pPr>
        <w:pStyle w:val="Heading2"/>
        <w:spacing w:after="140" w:before="280" w:line="340" w:lineRule="atLeast"/>
      </w:pPr>
      <w:bookmarkStart w:id="100019" w:name="_Toc100019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4.2  代码检测与审查类开源项目</w:t>
      </w:r>
      <w:bookmarkEnd w:id="100019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SWE-bench 系榜单项目证明了架构选择对成本的影响可达一个数量级。</w:t>
      </w:r>
      <w:r>
        <w:rPr>
          <w:rFonts w:ascii="Times New Roman" w:eastAsia="SimSun"/>
          <w:color w:val="000000"/>
          <w:sz w:val="24"/>
          <w:szCs w:val="24"/>
        </w:rPr>
        <w:t xml:space="preserve">Agentless 以三阶段简单流水线（分层定位、修复、验证）取得 SWE-bench Lite 27.33%，单实例成本 0.34 美元，约为同期多智能体方案的十分之一；mini-SWE-agent 以约 100 行 bash 循环达到 Verified 59.8%、单实例 0.04 美元，为当前性价比天花板。代码审查方向，PR-Agent（13,199 星，MIT）是最成熟的自托管开源方案，支持任意 LLM 与主流代码托管平台，可直接作为审查功能的二开基座。表 4-2 汇总可直接复用的项目与要点。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4-2  代码检测与审查类开源项目清单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318"/>
        <w:gridCol w:w="2373"/>
        <w:gridCol w:w="2461"/>
        <w:gridCol w:w="2636"/>
      </w:tblGrid>
      <w:tr>
        <w:trPr>
          <w:cantSplit/>
          <w:tblHeader/>
        </w:trPr>
        <w:tc>
          <w:tcPr>
            <w:tcW w:type="pct" w:w="7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13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定位</w:t>
            </w:r>
          </w:p>
        </w:tc>
        <w:tc>
          <w:tcPr>
            <w:tcW w:type="pct" w:w="1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关键数据</w:t>
            </w:r>
          </w:p>
        </w:tc>
        <w:tc>
          <w:tcPr>
            <w:tcW w:type="pct" w:w="1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可复用点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Agentless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三阶段非智能体流水线（定位-修复-验证）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SWE-bench Lite 27.33%，0.34 美元/实例（约为同期 agent 方案 1/10）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分层定位加语法树上下文加复测验证的低成本范式</w:t>
            </w:r>
          </w:p>
        </w:tc>
      </w:tr>
      <w:tr>
        <w:trPr>
          <w:cantSplit/>
        </w:trPr>
        <w:tc>
          <w:tcPr>
            <w:tcW w:type="pct" w:w="7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mini-SWE-agent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约 100 行 bash 循环的极简智能体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Verified 59.8%，0.04 美元/实例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极简脚手架与智能体-计算机接口设计原则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OpenHands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事件流编码 Agent 平台，含沙箱运行时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Verified 53%，0.69-1.13 美元/解决实例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平台化二开为代码体检与修复服务</w:t>
            </w:r>
          </w:p>
        </w:tc>
      </w:tr>
      <w:tr>
        <w:trPr>
          <w:cantSplit/>
        </w:trPr>
        <w:tc>
          <w:tcPr>
            <w:tcW w:type="pct" w:w="7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PR-Agent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开源 PR 审查工具集（review/describe/improve）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13,199 星，MIT，任意 LLM 自托管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代码审查功能直接二开基座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MARS（论文）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多智能体评审：发起人、评审委员会、主持人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角色拓扑效率优于自由辩论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评审委员会拓扑可在 LangGraph 上复现</w:t>
            </w:r>
          </w:p>
        </w:tc>
      </w:tr>
      <w:tr>
        <w:trPr>
          <w:cantSplit/>
        </w:trPr>
        <w:tc>
          <w:tcPr>
            <w:tcW w:type="pct" w:w="7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ChatDev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多智能体软件公司模拟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34,425 星；ACL 2024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写码-审查-修复-测试 SOP 模板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CodeR（论文）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任务图引导的多 Agent 修复流水线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SWE-bench Lite 28.33%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任务图引导上下文检索的分工结构</w:t>
            </w:r>
          </w:p>
        </w:tc>
      </w:tr>
      <w:tr>
        <w:trPr>
          <w:cantSplit/>
        </w:trPr>
        <w:tc>
          <w:tcPr>
            <w:tcW w:type="pct" w:w="7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FirmAgent（NDSS 论文）</w:t>
            </w:r>
          </w:p>
        </w:tc>
        <w:tc>
          <w:tcPr>
            <w:tcW w:type="pct" w:w="13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模糊测试与 LLM 混合的固件漏洞发现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以 fuzzing 证据约束 LLM 幻觉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嵌入式固件方向的技术路线参考</w:t>
            </w:r>
          </w:p>
        </w:tc>
      </w:tr>
    </w:tbl>
    <w:p>
      <w:pPr>
        <w:pStyle w:val="Heading2"/>
        <w:spacing w:after="140" w:before="280" w:line="340" w:lineRule="atLeast"/>
      </w:pPr>
      <w:bookmarkStart w:id="100020" w:name="_Toc100020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4.3  静态分析与 LLM 结合的研究现状</w:t>
      </w:r>
      <w:bookmarkEnd w:id="100020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与本系统形态最对口的方向是静态告警去误报。</w:t>
      </w:r>
      <w:r>
        <w:rPr>
          <w:rFonts w:ascii="Times New Roman" w:eastAsia="SimSun"/>
          <w:color w:val="000000"/>
          <w:sz w:val="24"/>
          <w:szCs w:val="24"/>
        </w:rPr>
        <w:t xml:space="preserve">多篇 2024 至 2026 年研究（如 arXiv 2411.03079）验证了以精确代码上下文引导 LLM 判定静态分析误报的可行性；CMU SEI 的评估同时提醒，LLM 判警自身会引入新的误报与漏报，需人机协同兜底。嵌入式方向，2025 年实测表明主流 LLM 无法直接生成完全 MISRA 合规的代码，而以静态分析器反馈闭环引导生成可使违规减少约 83%——这印证了本系统以工具检测为主、LLM 研判为辅的定位。固件方向已有 EMBA 加 Ghidra 加 LLM 的流水线实践与 FirmAgent 等混合方案。目前该方向尚无开箱即用的成熟开源项目，多为论文原型，恰是自研的空间所在。</w:t>
      </w:r>
    </w:p>
    <w:p>
      <w:pPr>
        <w:pStyle w:val="Heading2"/>
        <w:spacing w:after="140" w:before="280" w:line="340" w:lineRule="atLeast"/>
      </w:pPr>
      <w:bookmarkStart w:id="100021" w:name="_Toc100021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4.4  效率结论：多智能体何时收益为正</w:t>
      </w:r>
      <w:bookmarkEnd w:id="100021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关于多智能体与简单流水线的效率之争，2024 至 2026 年已形成三条硬数据与明确边界。</w:t>
      </w:r>
      <w:r>
        <w:rPr>
          <w:rFonts w:ascii="Times New Roman" w:eastAsia="SimSun"/>
          <w:color w:val="000000"/>
          <w:sz w:val="24"/>
          <w:szCs w:val="24"/>
        </w:rPr>
        <w:t xml:space="preserve">硬数据：Anthropic 官方披露多智能体系统 token 消耗约为普通对话的 15 倍；2026 年研究（arXiv 2604.02460）证明归一化测试算力后单智能体可与多智能体打平，即多智能体报告的增益大部分来自更多算力而非协作本身；MAST（NeurIPS 2025）标注出多智能体系统三大失败类——规范缺陷、智能体间失调、验证缺失。收益边界：任务可并行、广度优先、单点失败可容忍的场景（全库扫描、逐条告警分诊、多视角审查）收益明确；强顺序依赖的长链路任务、无验证环节的讨论则是负收益。对本系统的直接推论：告警分诊采用并行扇出（每条告警独立研判，天然可并行且失败可容忍），汇总与报告采用确定性流水线，避免自由辩论式协作。综合判断，代码检测恰好是多智能体收益明确的任务形态，但正确架构是编排确定的工作流加定向并行的分诊智能体，而非通用自治多智能体。</w:t>
      </w:r>
    </w:p>
    <w:p>
      <w:pPr>
        <w:pStyle w:val="Heading1"/>
        <w:pageBreakBefore/>
        <w:spacing w:after="200" w:before="360" w:line="360" w:lineRule="atLeast"/>
        <w:jc w:val="center"/>
      </w:pPr>
      <w:bookmarkStart w:id="100022" w:name="_Toc100022"/>
      <w:r>
        <w:rPr>
          <w:rFonts w:ascii="Times New Roman" w:eastAsia="SimHei"/>
          <w:b/>
          <w:bCs/>
          <w:color w:val="0E4450"/>
          <w:sz w:val="32"/>
          <w:szCs w:val="32"/>
        </w:rPr>
        <w:t xml:space="preserve">第五章  推荐架构与选型建议</w:t>
      </w:r>
      <w:bookmarkEnd w:id="100022"/>
    </w:p>
    <w:p>
      <w:pPr>
        <w:pStyle w:val="Heading2"/>
        <w:spacing w:after="140" w:before="280" w:line="340" w:lineRule="atLeast"/>
      </w:pPr>
      <w:bookmarkStart w:id="100023" w:name="_Toc100023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5.1  总体架构：三层设计</w:t>
      </w:r>
      <w:bookmarkEnd w:id="100023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推荐三层架构。</w:t>
      </w:r>
      <w:r>
        <w:rPr>
          <w:rFonts w:ascii="Times New Roman" w:eastAsia="SimSun"/>
          <w:color w:val="000000"/>
          <w:sz w:val="24"/>
          <w:szCs w:val="24"/>
        </w:rPr>
        <w:t xml:space="preserve">工具执行层：以调度器封装 cppcheck、clang-tidy、GCC -fanalyzer、CBMC、Ceedling 等命令行工具，输出统一归一为 SARIF/JSON 告警池，工具调用与结果落盘全程可追溯。智能体研判层：并行分诊智能体对每条告警独立执行误报判定、严重性分级、根因解释与修复建议（结论附代码证据链），对高危项可选启用评审委员会式多智能体交叉审查（参考 MARS 角色拓扑）。报告与合规层：按标准条款映射（MISRA/GJB/ISO 26262）生成合规报告与度量看板，高危项经人工复核（利用 LangGraph 的 interrupt 人机协同机制）后关闭。该架构的本质是让传统工具负责精确与穷尽，让智能体负责语义理解与表达，让确定性流水线负责汇总与一致性。</w:t>
      </w:r>
    </w:p>
    <w:p>
      <w:pPr>
        <w:pStyle w:val="Heading2"/>
        <w:spacing w:after="140" w:before="280" w:line="340" w:lineRule="atLeast"/>
      </w:pPr>
      <w:bookmarkStart w:id="100024" w:name="_Toc100024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5.2  框架与模型选型</w:t>
      </w:r>
      <w:bookmarkEnd w:id="1000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编排框架首选 LangGraph（42,507 星，MIT）：图/状态机范式与检测流水线天然匹配，checkpoint 支持断点续跑，interrupt 支持人机协同，配合 LangSmith 可获得全链路可观测性。备选 AgentScope 1.0（32,613 星，Apache-2.0），其异步并行与分布式调度适合多项目并发横向扩展，中文生态好。原型验证期可用 CrewAI 快速搭建角色化流水线。不建议采用已冻结的 AutoGen。代码审查功能可基于 PR-Agent 二开。模型侧：Qwen3-Coder、GLM、DeepSeek 等国产模型在 BFCL 工具调用榜单上已与闭源前沿模型打平，自建系统无模型可得性障碍；建议按任务分级调用——海量告警分诊用轻量模型、报告生成与复杂研判用强模型，以控制 15 倍成本乘数的影响。</w:t>
      </w:r>
    </w:p>
    <w:p>
      <w:pPr>
        <w:pStyle w:val="Heading2"/>
        <w:spacing w:after="140" w:before="280" w:line="340" w:lineRule="atLeast"/>
      </w:pPr>
      <w:bookmarkStart w:id="100025" w:name="_Toc100025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5.3  分阶段落地路线</w:t>
      </w:r>
      <w:bookmarkEnd w:id="10002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结合第一期四维度的优先级与依赖关系，建议按四个阶段推进，每阶段以可演示产出收口，见表 5-1。</w:t>
      </w:r>
    </w:p>
    <w:p>
      <w:pPr>
        <w:keepNext/>
        <w:spacing w:after="80" w:before="160" w:line="280" w:lineRule="atLeast"/>
        <w:jc w:val="center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表 5-1  分阶段落地路线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55"/>
        <w:gridCol w:w="1933"/>
        <w:gridCol w:w="3339"/>
        <w:gridCol w:w="2461"/>
      </w:tblGrid>
      <w:tr>
        <w:trPr>
          <w:cantSplit/>
          <w:tblHeader/>
        </w:trPr>
        <w:tc>
          <w:tcPr>
            <w:tcW w:type="pct" w:w="6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11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  <w:tc>
          <w:tcPr>
            <w:tcW w:type="pct" w:w="1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核心内容</w:t>
            </w:r>
          </w:p>
        </w:tc>
        <w:tc>
          <w:tcPr>
            <w:tcW w:type="pct" w:w="1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里程碑产出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一（MVP）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静态缺陷检测加告警分诊端到端跑通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cppcheck/clang-tidy/-fanalyzer 工具适配器、SARIF 告警池、并行分诊智能体、检测报告 v1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对开源嵌入式工程的端到端检测报告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二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编码规范合规检测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MISRA C:2012 与 GJB 8114 规则库、条款映射、合规报告模板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合规检测报告样例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三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并发时序检测与测试生成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最坏栈深分析接入、Ceedling 测试自动生成、覆盖率度量闭环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测试生成与覆盖率闭环演示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四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扩展与规模化</w:t>
            </w:r>
          </w:p>
        </w:tc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固件层检测（EMBA 集成）、多项目并发（分布式部署）、评审委员会交叉审查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规模化部署与评测报告</w:t>
            </w:r>
          </w:p>
        </w:tc>
      </w:tr>
    </w:tbl>
    <w:p>
      <w:pPr>
        <w:pStyle w:val="Heading2"/>
        <w:spacing w:after="140" w:before="280" w:line="340" w:lineRule="atLeast"/>
      </w:pPr>
      <w:bookmarkStart w:id="100026" w:name="_Toc100026"/>
      <w:r>
        <w:rPr>
          <w:rFonts w:ascii="Times New Roman" w:eastAsia="SimHei"/>
          <w:b/>
          <w:bCs/>
          <w:color w:val="0E4450"/>
          <w:sz w:val="28"/>
          <w:szCs w:val="28"/>
        </w:rPr>
        <w:t xml:space="preserve">5.4  风险与注意事项</w:t>
      </w:r>
      <w:bookmarkEnd w:id="10002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四项主要风险与对策：（1）LLM 幻觉与判警偏差——研判结论必须附代码证据链，高危项强制人工复核，并参照 c-CRAB 基准的二次验证方法建立分诊质量评测；（2）token 成本——多智能体约 15 倍的成本乘数要求按告警严重性分层路由，低危项用轻量模型处理，并设定单项目成本上限；（3）评测基准缺失——嵌入式检测无公开基准，需自建含注入缺陷的基准项目集，覆盖四维度各缺陷类型；（4）许可证合规——EMBA 为 AGPL-3.0，Dify 的 OSS 许可证对多租户商用有限制，集成前需逐项审查。另需注意 cppcheck 开源版 MISRA 插件不含 MISRA C:2025，规则库须按目标标准版本管理，避免合规声明失实。</w:t>
      </w:r>
    </w:p>
    <w:p>
      <w:pPr>
        <w:pStyle w:val="Heading1"/>
        <w:pageBreakBefore/>
        <w:spacing w:after="200" w:before="360" w:line="360" w:lineRule="atLeast"/>
        <w:jc w:val="center"/>
      </w:pPr>
      <w:bookmarkStart w:id="100027" w:name="_Toc100027"/>
      <w:r>
        <w:rPr>
          <w:rFonts w:ascii="Times New Roman" w:eastAsia="SimHei"/>
          <w:b/>
          <w:bCs/>
          <w:color w:val="0E4450"/>
          <w:sz w:val="32"/>
          <w:szCs w:val="32"/>
        </w:rPr>
        <w:t xml:space="preserve">第六章  结论</w:t>
      </w:r>
      <w:bookmarkEnd w:id="10002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对三个调研问题的最终回答如下。测什么：以七类缺陷（对齐 CWE）与规范条款（MISRA C、GJB 8114、CERT C）双维度组织检测项集，按 ISO 26262、DO-178C 等标准裁剪，内存安全为第一优先级，并发与中断为嵌入式特色重点。分为哪些方面：静态分析、动态分析、混合分析、二进制/固件分析四大族，开源工具链（cppcheck、clang-tidy、GCC -fanalyzer、Frama-C、CBMC、Unity/CMock/Ceedling、gcovr、Renode、EMBA 等）已具备以 SARIF 为统一格式的可编排能力，裸机动态检测走打桩加仿真路线。用什么搭建：编排框架选 LangGraph（生产）或 AgentScope（分布式），审查功能参考 PR-Agent，告警分诊采用并行扇出智能体，整体为工具层产出结构化告警、智能体并行研判、确定性流水线汇总的三层混合架构。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下一步建议进入方案设计阶段，输出系统详细设计（智能体拓扑、工具适配器接口、SARIF 数据模型、评测方案），并选取一个开源嵌入式工程完成端到端原型验证，以实测数据校准本报告的选型判断。</w:t>
      </w:r>
    </w:p>
    <w:p>
      <w:pPr>
        <w:pStyle w:val="Heading1"/>
        <w:pageBreakBefore/>
        <w:spacing w:after="200" w:before="360" w:line="360" w:lineRule="atLeast"/>
        <w:jc w:val="center"/>
      </w:pPr>
      <w:bookmarkStart w:id="100028" w:name="_Toc100028"/>
      <w:r>
        <w:rPr>
          <w:rFonts w:ascii="Times New Roman" w:eastAsia="SimHei"/>
          <w:b/>
          <w:bCs/>
          <w:color w:val="0E4450"/>
          <w:sz w:val="32"/>
          <w:szCs w:val="32"/>
        </w:rPr>
        <w:t xml:space="preserve">附录  参考来源</w:t>
      </w:r>
      <w:bookmarkEnd w:id="10002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以下为本报告关键结论的来源清单，按主题分组；星标数与版本信息核实时间为 2026 年 9 月 30 日。</w:t>
      </w:r>
    </w:p>
    <w:p>
      <w:pPr>
        <w:keepNext/>
        <w:spacing w:after="60" w:before="200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一、标准与规范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MISRA 官方出版物：misra.org.uk/publications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Parasoft：MISRA C:2025 研讨会与变更解读（parasoft.com/webinar/misra-c-2025）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Qt Group：MISRA C:2025 变更解读（qt.io/software-insights）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AUTOSAR C++14 指南 R22-11（autosar.org）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SEI CERT C 编码标准（sei.cmu.edu/library/sei-cert-c-and-c-coding-standards）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MITRE 2025 CWE Top 25 与 KEV 子榜（cwe.mitre.org/top25/archive/2025）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ISO 26262-6:2018 方法表映射（public-docs.ferrocene.dev）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LDRA：IEC 61508-3:2010 实施白皮书（ldra.com）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Verifysoft / QA Systems：EN 50128 与 EN 50716 合规（verifysoft.com、qa-systems.com）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Finite State：EU CRA 与 SBOM 技术要求（finitestate.io/blog）</w:t>
      </w:r>
    </w:p>
    <w:p>
      <w:pPr>
        <w:keepNext/>
        <w:spacing w:after="60" w:before="200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二、检测工具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cppcheck 发布记录（github.com/cppcheck-opensource/cppcheck/releases）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CBMC（cprover.org/cbmc）与 ESBMC（github.com/esbmc/esbmc）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Frama-C 下载与版本（frama-c.com）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KLEE v3.1（klee-se.org）；angr（angr.io）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GCC 14 静态分析改进（developers.redhat.com）与 GCC MC/DC 补丁（gcc.gnu.org）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Valgrind 新闻（valgrind.org/docs/manual/dist.news.html）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gcovr 变更记录（gcovr.com）；lcov MC/DC 支持（github.com/linux-test-project/lcov）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ThrowTheSwitch Ceedling/Unity/CMock（github.com/throwtheswitch）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Renode（antmicro.com/platforms/renode）；QEMU 10.0 发布（qemu.org）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EMBA（github.com/e-m-b-a/emba）；Ghidra 发布（github.com/NationalSecurityAgency/ghidra/releases）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SEGGER SystemView 与 Percepio Tracealyzer 授权说明（segger.com、percepio.com）</w:t>
      </w:r>
    </w:p>
    <w:p>
      <w:pPr>
        <w:keepNext/>
        <w:spacing w:after="60" w:before="200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三、多智能体框架与项目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LangGraph（github.com/langchain-ai/langgraph）；CrewAI（github.com/crewAIInc/crewAI）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AgentScope 1.0（github.com/agentscope-ai/agentscope）与论文（arxiv.org/abs/2508.16279）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AutoGen 冻结公告与 Microsoft Agent Framework（github.com/microsoft/autogen）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OpenHands（github.com/All-Hands-AI/OpenHands）与 CodeAct 2.1 博客（openhands.dev）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mini-SWE-agent（github.com/SWE-agent/mini-swe-agent）；SWE-bench 榜单（swebench.com）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Agentless（github.com/OpenAutoCoder/Agentless）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PR-Agent（github.com/The-PR-Agent/pr-agent）；ChatDev（github.com/OpenBMB/ChatDev）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Dify（github.com/langgenius/dify）及 OSS 许可证条款</w:t>
      </w:r>
    </w:p>
    <w:p>
      <w:pPr>
        <w:keepNext/>
        <w:spacing w:after="60" w:before="200"/>
      </w:pPr>
      <w:r>
        <w:rPr>
          <w:rFonts w:ascii="Times New Roman" w:eastAsia="SimHei"/>
          <w:b/>
          <w:bCs/>
          <w:color w:val="0E4450"/>
          <w:sz w:val="21"/>
          <w:szCs w:val="21"/>
        </w:rPr>
        <w:t xml:space="preserve">四、论文与研究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Agentless：arXiv 2407.01489；榜单可靠性解剖：arXiv 2506.17208；SWE-Effi：arXiv 2509.09853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MARS 多智能体评审：arXiv 2509.20357；More Agents Is All You Need：arXiv 2402.05120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SAST 误报消减：arXiv 2411.03079 与 arXiv 2601.18844；CMU SEI：LLM 评估静态分析告警（sei.cmu.edu/blog）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LLM 生成 MISRA 合规代码实测：arXiv 2506.23535；ACM：Towards MISRA-Compliant C Code Generation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MAST 多智能体失败研究：arXiv 2503.13657；算力归一对比：arXiv 2604.02460；AFlow：arXiv 2410.10762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Anthropic：多智能体研究系统构建（anthropic.com/engineering）</w:t>
      </w:r>
    </w:p>
    <w:p>
      <w:pPr>
        <w:spacing w:after="30" w:line="276" w:lineRule="atLeast"/>
        <w:ind w:left="360" w:hanging="0"/>
        <w:jc w:val="left"/>
      </w:pPr>
      <w:r>
        <w:rPr>
          <w:rFonts w:ascii="Times New Roman" w:eastAsia="SimSun"/>
          <w:color w:val="595959"/>
          <w:sz w:val="18"/>
          <w:szCs w:val="18"/>
        </w:rPr>
        <w:t xml:space="preserve">FirmAgent（NDSS）；EMBA+Ghidra+LLM 固件流水线（Preprints 202510.0166）；LLM4Decompile（github.com/albertan017/LLM4Decompile）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DD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嵌入式代码检测系统技术调研报告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DD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嵌入式代码检测系统技术调研报告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eastAsia="SimHei"/>
      <w:b/>
      <w:bCs/>
      <w:color w:val="0E44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imes New Roman" w:eastAsia="SimHei"/>
      <w:b/>
      <w:bCs/>
      <w:color w:val="0E44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eastAsia="SimHei"/>
      <w:b/>
      <w:bCs/>
      <w:color w:val="0E4450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f9868935587d9da67966d03c42e03d1e059be2c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嵌入式代码检测系统技术调研报告</dc:title>
  <dc:creator>嵌入式代码检测系统项目组</dc:creator>
  <cp:lastModifiedBy>Un-named</cp:lastModifiedBy>
  <cp:revision>1</cp:revision>
  <dcterms:created xsi:type="dcterms:W3CDTF">2026-09-30T12:50:14.292Z</dcterms:created>
  <dcterms:modified xsi:type="dcterms:W3CDTF">2026-09-30T12:50:14.294Z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