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50" w:line="560" w:lineRule="atLeast"/>
        <w:jc w:val="center"/>
      </w:pPr>
      <w:r>
        <w:rPr>
          <w:rFonts w:ascii="Times New Roman" w:eastAsia="楷体"/>
          <w:color w:val="000000"/>
          <w:sz w:val="44"/>
          <w:szCs w:val="44"/>
        </w:rPr>
        <w:t xml:space="preserve">嵌入式软件代码缺陷与安全漏洞检测系统</w:t>
      </w:r>
    </w:p>
    <w:p>
      <w:pPr>
        <w:spacing w:after="0" w:line="560" w:lineRule="atLeast"/>
        <w:jc w:val="center"/>
      </w:pPr>
      <w:r>
        <w:rPr>
          <w:rFonts w:ascii="Times New Roman" w:eastAsia="楷体"/>
          <w:color w:val="000000"/>
          <w:sz w:val="48"/>
          <w:szCs w:val="48"/>
        </w:rPr>
        <w:t xml:space="preserve">调  研  与  技  术  方  案</w:t>
      </w:r>
    </w:p>
    <w:p>
      <w:pPr>
        <w:spacing w:before="2900"/>
      </w:pPr>
    </w:p>
    <w:p>
      <w:pPr>
        <w:spacing w:before="2900"/>
      </w:pPr>
    </w:p>
    <w:p>
      <w:pPr>
        <w:spacing w:after="200" w:line="400" w:lineRule="atLeast"/>
        <w:jc w:val="center"/>
      </w:pPr>
      <w:r>
        <w:rPr>
          <w:rFonts w:ascii="Times New Roman" w:eastAsia="宋体"/>
          <w:color w:val="000000"/>
          <w:sz w:val="32"/>
          <w:szCs w:val="32"/>
        </w:rPr>
        <w:t xml:space="preserve">项  目  名  称：</w:t>
      </w:r>
      <w:r>
        <w:rPr>
          <w:rFonts w:ascii="Times New Roman" w:eastAsia="宋体"/>
          <w:b/>
          <w:bCs/>
          <w:color w:val="000000"/>
          <w:sz w:val="32"/>
          <w:szCs w:val="32"/>
        </w:rPr>
        <w:t xml:space="preserve">嵌入式软件代码缺陷与安全漏洞检测系统</w:t>
      </w:r>
    </w:p>
    <w:p>
      <w:pPr>
        <w:spacing w:after="200" w:line="400" w:lineRule="atLeast"/>
        <w:jc w:val="center"/>
      </w:pPr>
      <w:r>
        <w:rPr>
          <w:rFonts w:ascii="Times New Roman" w:eastAsia="宋体"/>
          <w:color w:val="000000"/>
          <w:sz w:val="32"/>
          <w:szCs w:val="32"/>
        </w:rPr>
        <w:t xml:space="preserve">文  档  性  质：</w:t>
      </w:r>
      <w:r>
        <w:rPr>
          <w:rFonts w:ascii="Times New Roman" w:eastAsia="宋体"/>
          <w:b/>
          <w:bCs/>
          <w:color w:val="000000"/>
          <w:sz w:val="32"/>
          <w:szCs w:val="32"/>
        </w:rPr>
        <w:t xml:space="preserve">开题调研报告（含技术方案）</w:t>
      </w:r>
    </w:p>
    <w:p>
      <w:pPr>
        <w:spacing w:after="200" w:line="400" w:lineRule="atLeast"/>
        <w:jc w:val="center"/>
      </w:pPr>
      <w:r>
        <w:rPr>
          <w:rFonts w:ascii="Times New Roman" w:eastAsia="宋体"/>
          <w:color w:val="000000"/>
          <w:sz w:val="32"/>
          <w:szCs w:val="32"/>
        </w:rPr>
        <w:t xml:space="preserve">行  业  场  景：</w:t>
      </w:r>
      <w:r>
        <w:rPr>
          <w:rFonts w:ascii="Times New Roman" w:eastAsia="宋体"/>
          <w:b/>
          <w:bCs/>
          <w:color w:val="000000"/>
          <w:sz w:val="32"/>
          <w:szCs w:val="32"/>
        </w:rPr>
        <w:t xml:space="preserve">汽车电子 · 工业控制（兼顾航空航天/军工）</w:t>
      </w:r>
    </w:p>
    <w:p>
      <w:pPr>
        <w:spacing w:after="200" w:line="400" w:lineRule="atLeast"/>
        <w:jc w:val="center"/>
      </w:pPr>
      <w:r>
        <w:rPr>
          <w:rFonts w:ascii="Times New Roman" w:eastAsia="宋体"/>
          <w:color w:val="000000"/>
          <w:sz w:val="32"/>
          <w:szCs w:val="32"/>
        </w:rPr>
        <w:t xml:space="preserve">文  档  版  本：</w:t>
      </w:r>
      <w:r>
        <w:rPr>
          <w:rFonts w:ascii="Times New Roman" w:eastAsia="宋体"/>
          <w:b/>
          <w:bCs/>
          <w:color w:val="000000"/>
          <w:sz w:val="32"/>
          <w:szCs w:val="32"/>
        </w:rPr>
        <w:t xml:space="preserve">V1.0</w:t>
      </w:r>
    </w:p>
    <w:p>
      <w:pPr>
        <w:spacing w:after="200" w:line="400" w:lineRule="atLeast"/>
        <w:jc w:val="center"/>
      </w:pPr>
      <w:r>
        <w:rPr>
          <w:rFonts w:ascii="Times New Roman" w:eastAsia="宋体"/>
          <w:color w:val="000000"/>
          <w:sz w:val="32"/>
          <w:szCs w:val="32"/>
        </w:rPr>
        <w:t xml:space="preserve">完  成  日  期：</w:t>
      </w:r>
      <w:r>
        <w:rPr>
          <w:rFonts w:ascii="Times New Roman" w:eastAsia="宋体"/>
          <w:b/>
          <w:bCs/>
          <w:color w:val="000000"/>
          <w:sz w:val="32"/>
          <w:szCs w:val="32"/>
        </w:rPr>
        <w:t xml:space="preserve">2026 年 10 月</w:t>
      </w:r>
    </w:p>
    <w:p>
      <w:pPr>
        <w:sectPr>
          <w:pgSz w:w="12240" w:h="15840" w:orient="portrait"/>
          <w:pgMar w:top="1701" w:right="1418" w:bottom="1134" w:left="1418" w:header="720" w:footer="720" w:gutter="0"/>
          <w:docGrid w:linePitch="360"/>
        </w:sectPr>
      </w:pPr>
    </w:p>
    <w:p>
      <w:pPr>
        <w:pStyle w:val="Heading1"/>
        <w:spacing w:after="120" w:before="120" w:line="400" w:lineRule="exact"/>
        <w:jc w:val="center"/>
      </w:pPr>
      <w:bookmarkStart w:id="100000" w:name="_Toc100000"/>
      <w:r>
        <w:rPr>
          <w:rFonts w:ascii="Times New Roman" w:eastAsia="黑体"/>
          <w:color w:val="000000"/>
          <w:sz w:val="32"/>
          <w:szCs w:val="32"/>
        </w:rPr>
        <w:t xml:space="preserve">摘  要</w:t>
      </w:r>
      <w:bookmarkEnd w:id="100000"/>
    </w:p>
    <w:p>
      <w:pPr>
        <w:spacing w:after="0" w:before="0" w:line="360" w:lineRule="auto"/>
        <w:ind w:firstLine="480"/>
        <w:jc w:val="both"/>
      </w:pPr>
      <w:r>
        <w:rPr>
          <w:rFonts w:ascii="Times New Roman" w:eastAsia="宋体"/>
          <w:b w:val="false"/>
          <w:bCs w:val="false"/>
          <w:color w:val="000000"/>
          <w:sz w:val="24"/>
          <w:szCs w:val="24"/>
        </w:rPr>
        <w:t xml:space="preserve">嵌入式软件部署于资源受限、强实时、硬件强耦合的封闭运行环境，其代码缺陷直接关联功能安全（Functional Safety）与信息安全（Cybersecurity）。本报告面向汽车电子与工业控制行业场景，围绕嵌入式 C/C++ 代码缺陷与安全漏洞检测系统开展开题调研，完成三项工作。其一，梳理法律法规、国家标准、行业标准与编码规范对代码级检测活动的强制要求，并以工业控制系统漏洞增长、汽车软件召回占比等可核查数据论证立项必要性。其二，按通用软件分析工具、嵌入式与 C/C++ 专项工具、形式化方法与符号执行、学术里程碑四类，对三十余个代表性工具与项目进行系统综述，逐项核实年份、出处与具体局限，归纳通用工具在嵌入式场景水土不服的八项原因，并给出横向对比总表。其三，凝练 P1 至 P6 六个亟需解决的问题，提出以规则与静态分析为骨架、大语言模型（Large Language Model, LLM）增强的混合式五层技术架构，给出编译环境复现、硬件语义与并发建模、规则引擎、抽象解释与符号执行适配、LLM 告警研判、结果聚合与可证明性输出等关键模块的可工程化设计，并规划三类评测数据集（含自建嵌入式漏洞数据集）、消融评测方案与分季度实施路线。</w:t>
      </w:r>
    </w:p>
    <w:p>
      <w:pPr>
        <w:spacing w:before="120" w:line="360" w:lineRule="auto"/>
        <w:ind w:firstLine="480"/>
        <w:jc w:val="both"/>
      </w:pPr>
      <w:r>
        <w:rPr>
          <w:rFonts w:ascii="Times New Roman" w:eastAsia="宋体"/>
          <w:b/>
          <w:bCs/>
          <w:color w:val="000000"/>
          <w:sz w:val="24"/>
          <w:szCs w:val="24"/>
        </w:rPr>
        <w:t xml:space="preserve">关键词：</w:t>
      </w:r>
      <w:r>
        <w:rPr>
          <w:rFonts w:ascii="Times New Roman" w:eastAsia="宋体"/>
          <w:color w:val="000000"/>
          <w:sz w:val="24"/>
          <w:szCs w:val="24"/>
        </w:rPr>
        <w:t xml:space="preserve">嵌入式软件；静态分析；抽象解释；符号执行；大语言模型；MISRA；CWE</w:t>
      </w:r>
      <w:r>
        <w:br w:type="page"/>
      </w:r>
    </w:p>
    <w:p>
      <w:pPr>
        <w:spacing w:after="240" w:before="240" w:line="400" w:lineRule="atLeast"/>
        <w:jc w:val="center"/>
      </w:pPr>
      <w:r>
        <w:rPr>
          <w:rFonts w:ascii="Times New Roman" w:eastAsia="黑体"/>
          <w:b/>
          <w:bCs/>
          <w:color w:val="000000"/>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摘  要</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第一章  绪论</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项目背景：政策与标准引领</w:t>
            </w:r>
            <w:r>
              <w:tab/>
            </w:r>
            <w:r>
              <w:fldChar w:fldCharType="begin"/>
            </w:r>
            <w:r>
              <w:instrText xml:space="preserve"> PAGEREF _Toc100002 \h </w:instrText>
            </w:r>
            <w:r>
              <w:fldChar w:fldCharType="separate"/>
            </w:r>
            <w:r>
              <w:t>3</w:t>
            </w:r>
            <w:r>
              <w:fldChar w:fldCharType="end"/>
            </w:r>
          </w:hyperlink>
        </w:p>
        <w:p>
          <w:pPr>
            <w:pStyle w:val="12"/>
            <w:ind w:left="720"/>
            <w:tabs>
              <w:tab w:val="right" w:leader="dot" w:pos="9026"/>
            </w:tabs>
            <w:spacing w:before="120" w:after="60"/>
          </w:pPr>
          <w:hyperlink w:anchor="_Toc100003" w:history="1">
            <w:r>
              <w:rPr>
                <w:rStyle w:val="Hyperlink"/>
              </w:rPr>
              <w:t>1.1.1  法律法规与国家标准</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1.1.2  行业标准与编码规范</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1.1.3  产业规划与“为什么是现在”的量化证据</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1.2  嵌入式软件与通用软件的本质差异</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1.3  嵌入式编程语言全景</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1.4  系统定位：这套系统到底干什么、能做什么</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1.5  研究意义、目标与技术挑战概览</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第二章  相关工作综述</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2.1  分类框架</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2.2  A 类：通用软件分析工具与引擎</w:t>
            </w:r>
            <w:r>
              <w:tab/>
            </w:r>
            <w:r>
              <w:fldChar w:fldCharType="begin"/>
            </w:r>
            <w:r>
              <w:instrText xml:space="preserve"> PAGEREF _Toc100012 \h </w:instrText>
            </w:r>
            <w:r>
              <w:fldChar w:fldCharType="separate"/>
            </w:r>
            <w:r>
              <w:t>9</w:t>
            </w:r>
            <w:r>
              <w:fldChar w:fldCharType="end"/>
            </w:r>
          </w:hyperlink>
        </w:p>
        <w:p>
          <w:pPr>
            <w:pStyle w:val="12"/>
            <w:ind w:left="720"/>
            <w:tabs>
              <w:tab w:val="right" w:leader="dot" w:pos="9026"/>
            </w:tabs>
            <w:spacing w:before="120" w:after="60"/>
          </w:pPr>
          <w:hyperlink w:anchor="_Toc100013" w:history="1">
            <w:r>
              <w:rPr>
                <w:rStyle w:val="Hyperlink"/>
              </w:rPr>
              <w:t>2.2.1  Coverity（2002）</w:t>
            </w:r>
            <w:r>
              <w:tab/>
            </w:r>
            <w:r>
              <w:fldChar w:fldCharType="begin"/>
            </w:r>
            <w:r>
              <w:instrText xml:space="preserve"> PAGEREF _Toc100013 \h </w:instrText>
            </w:r>
            <w:r>
              <w:fldChar w:fldCharType="separate"/>
            </w:r>
            <w:r>
              <w:t>9</w:t>
            </w:r>
            <w:r>
              <w:fldChar w:fldCharType="end"/>
            </w:r>
          </w:hyperlink>
        </w:p>
        <w:p>
          <w:pPr>
            <w:pStyle w:val="12"/>
            <w:ind w:left="720"/>
            <w:tabs>
              <w:tab w:val="right" w:leader="dot" w:pos="9026"/>
            </w:tabs>
            <w:spacing w:before="120" w:after="60"/>
          </w:pPr>
          <w:hyperlink w:anchor="_Toc100014" w:history="1">
            <w:r>
              <w:rPr>
                <w:rStyle w:val="Hyperlink"/>
              </w:rPr>
              <w:t>2.2.2  CodeQL（2019 年开放）</w:t>
            </w:r>
            <w:r>
              <w:tab/>
            </w:r>
            <w:r>
              <w:fldChar w:fldCharType="begin"/>
            </w:r>
            <w:r>
              <w:instrText xml:space="preserve"> PAGEREF _Toc100014 \h </w:instrText>
            </w:r>
            <w:r>
              <w:fldChar w:fldCharType="separate"/>
            </w:r>
            <w:r>
              <w:t>9</w:t>
            </w:r>
            <w:r>
              <w:fldChar w:fldCharType="end"/>
            </w:r>
          </w:hyperlink>
        </w:p>
        <w:p>
          <w:pPr>
            <w:pStyle w:val="12"/>
            <w:ind w:left="720"/>
            <w:tabs>
              <w:tab w:val="right" w:leader="dot" w:pos="9026"/>
            </w:tabs>
            <w:spacing w:before="120" w:after="60"/>
          </w:pPr>
          <w:hyperlink w:anchor="_Toc100015" w:history="1">
            <w:r>
              <w:rPr>
                <w:rStyle w:val="Hyperlink"/>
              </w:rPr>
              <w:t>2.2.3  Semgrep（2020）</w:t>
            </w:r>
            <w:r>
              <w:tab/>
            </w:r>
            <w:r>
              <w:fldChar w:fldCharType="begin"/>
            </w:r>
            <w:r>
              <w:instrText xml:space="preserve"> PAGEREF _Toc100015 \h </w:instrText>
            </w:r>
            <w:r>
              <w:fldChar w:fldCharType="separate"/>
            </w:r>
            <w:r>
              <w:t>10</w:t>
            </w:r>
            <w:r>
              <w:fldChar w:fldCharType="end"/>
            </w:r>
          </w:hyperlink>
        </w:p>
        <w:p>
          <w:pPr>
            <w:pStyle w:val="12"/>
            <w:ind w:left="720"/>
            <w:tabs>
              <w:tab w:val="right" w:leader="dot" w:pos="9026"/>
            </w:tabs>
            <w:spacing w:before="120" w:after="60"/>
          </w:pPr>
          <w:hyperlink w:anchor="_Toc100016" w:history="1">
            <w:r>
              <w:rPr>
                <w:rStyle w:val="Hyperlink"/>
              </w:rPr>
              <w:t>2.2.4  Infer（2015）</w:t>
            </w:r>
            <w:r>
              <w:tab/>
            </w:r>
            <w:r>
              <w:fldChar w:fldCharType="begin"/>
            </w:r>
            <w:r>
              <w:instrText xml:space="preserve"> PAGEREF _Toc100016 \h </w:instrText>
            </w:r>
            <w:r>
              <w:fldChar w:fldCharType="separate"/>
            </w:r>
            <w:r>
              <w:t>11</w:t>
            </w:r>
            <w:r>
              <w:fldChar w:fldCharType="end"/>
            </w:r>
          </w:hyperlink>
        </w:p>
        <w:p>
          <w:pPr>
            <w:pStyle w:val="12"/>
            <w:ind w:left="720"/>
            <w:tabs>
              <w:tab w:val="right" w:leader="dot" w:pos="9026"/>
            </w:tabs>
            <w:spacing w:before="120" w:after="60"/>
          </w:pPr>
          <w:hyperlink w:anchor="_Toc100017" w:history="1">
            <w:r>
              <w:rPr>
                <w:rStyle w:val="Hyperlink"/>
              </w:rPr>
              <w:t>2.2.5  SonarQube（2008）</w:t>
            </w:r>
            <w:r>
              <w:tab/>
            </w:r>
            <w:r>
              <w:fldChar w:fldCharType="begin"/>
            </w:r>
            <w:r>
              <w:instrText xml:space="preserve"> PAGEREF _Toc100017 \h </w:instrText>
            </w:r>
            <w:r>
              <w:fldChar w:fldCharType="separate"/>
            </w:r>
            <w:r>
              <w:t>12</w:t>
            </w:r>
            <w:r>
              <w:fldChar w:fldCharType="end"/>
            </w:r>
          </w:hyperlink>
        </w:p>
        <w:p>
          <w:pPr>
            <w:pStyle w:val="12"/>
            <w:ind w:left="720"/>
            <w:tabs>
              <w:tab w:val="right" w:leader="dot" w:pos="9026"/>
            </w:tabs>
            <w:spacing w:before="120" w:after="60"/>
          </w:pPr>
          <w:hyperlink w:anchor="_Toc100018" w:history="1">
            <w:r>
              <w:rPr>
                <w:rStyle w:val="Hyperlink"/>
              </w:rPr>
              <w:t>2.2.6  Clang Static Analyzer（随 LLVM 演进）</w:t>
            </w:r>
            <w:r>
              <w:tab/>
            </w:r>
            <w:r>
              <w:fldChar w:fldCharType="begin"/>
            </w:r>
            <w:r>
              <w:instrText xml:space="preserve"> PAGEREF _Toc100018 \h </w:instrText>
            </w:r>
            <w:r>
              <w:fldChar w:fldCharType="separate"/>
            </w:r>
            <w:r>
              <w:t>12</w:t>
            </w:r>
            <w:r>
              <w:fldChar w:fldCharType="end"/>
            </w:r>
          </w:hyperlink>
        </w:p>
        <w:p>
          <w:pPr>
            <w:pStyle w:val="12"/>
            <w:ind w:left="720"/>
            <w:tabs>
              <w:tab w:val="right" w:leader="dot" w:pos="9026"/>
            </w:tabs>
            <w:spacing w:before="120" w:after="60"/>
          </w:pPr>
          <w:hyperlink w:anchor="_Toc100019" w:history="1">
            <w:r>
              <w:rPr>
                <w:rStyle w:val="Hyperlink"/>
              </w:rPr>
              <w:t>2.2.7  PVS-Studio（2008）</w:t>
            </w:r>
            <w:r>
              <w:tab/>
            </w:r>
            <w:r>
              <w:fldChar w:fldCharType="begin"/>
            </w:r>
            <w:r>
              <w:instrText xml:space="preserve"> PAGEREF _Toc100019 \h </w:instrText>
            </w:r>
            <w:r>
              <w:fldChar w:fldCharType="separate"/>
            </w:r>
            <w:r>
              <w:t>13</w:t>
            </w:r>
            <w:r>
              <w:fldChar w:fldCharType="end"/>
            </w:r>
          </w:hyperlink>
        </w:p>
        <w:p>
          <w:pPr>
            <w:pStyle w:val="12"/>
            <w:ind w:left="720"/>
            <w:tabs>
              <w:tab w:val="right" w:leader="dot" w:pos="9026"/>
            </w:tabs>
            <w:spacing w:before="120" w:after="60"/>
          </w:pPr>
          <w:hyperlink w:anchor="_Toc100020" w:history="1">
            <w:r>
              <w:rPr>
                <w:rStyle w:val="Hyperlink"/>
              </w:rPr>
              <w:t>2.2.8  Cppcheck（2009）</w:t>
            </w:r>
            <w:r>
              <w:tab/>
            </w:r>
            <w:r>
              <w:fldChar w:fldCharType="begin"/>
            </w:r>
            <w:r>
              <w:instrText xml:space="preserve"> PAGEREF _Toc100020 \h </w:instrText>
            </w:r>
            <w:r>
              <w:fldChar w:fldCharType="separate"/>
            </w:r>
            <w:r>
              <w:t>14</w:t>
            </w:r>
            <w:r>
              <w:fldChar w:fldCharType="end"/>
            </w:r>
          </w:hyperlink>
        </w:p>
        <w:p>
          <w:pPr>
            <w:pStyle w:val="12"/>
            <w:ind w:left="720"/>
            <w:tabs>
              <w:tab w:val="right" w:leader="dot" w:pos="9026"/>
            </w:tabs>
            <w:spacing w:before="120" w:after="60"/>
          </w:pPr>
          <w:hyperlink w:anchor="_Toc100021" w:history="1">
            <w:r>
              <w:rPr>
                <w:rStyle w:val="Hyperlink"/>
              </w:rPr>
              <w:t>2.2.9  TscanCode（2015/2016）</w:t>
            </w:r>
            <w:r>
              <w:tab/>
            </w:r>
            <w:r>
              <w:fldChar w:fldCharType="begin"/>
            </w:r>
            <w:r>
              <w:instrText xml:space="preserve"> PAGEREF _Toc100021 \h </w:instrText>
            </w:r>
            <w:r>
              <w:fldChar w:fldCharType="separate"/>
            </w:r>
            <w:r>
              <w:t>15</w:t>
            </w:r>
            <w:r>
              <w:fldChar w:fldCharType="end"/>
            </w:r>
          </w:hyperlink>
        </w:p>
        <w:p>
          <w:pPr>
            <w:pStyle w:val="12"/>
            <w:ind w:left="720"/>
            <w:tabs>
              <w:tab w:val="right" w:leader="dot" w:pos="9026"/>
            </w:tabs>
            <w:spacing w:before="120" w:after="60"/>
          </w:pPr>
          <w:hyperlink w:anchor="_Toc100022" w:history="1">
            <w:r>
              <w:rPr>
                <w:rStyle w:val="Hyperlink"/>
              </w:rPr>
              <w:t>2.2.10  AFL++（2019）与 OSS-Fuzz（2016）</w:t>
            </w:r>
            <w:r>
              <w:tab/>
            </w:r>
            <w:r>
              <w:fldChar w:fldCharType="begin"/>
            </w:r>
            <w:r>
              <w:instrText xml:space="preserve"> PAGEREF _Toc100022 \h </w:instrText>
            </w:r>
            <w:r>
              <w:fldChar w:fldCharType="separate"/>
            </w:r>
            <w:r>
              <w:t>15</w:t>
            </w:r>
            <w:r>
              <w:fldChar w:fldCharType="end"/>
            </w:r>
          </w:hyperlink>
        </w:p>
        <w:p>
          <w:pPr>
            <w:pStyle w:val="12"/>
            <w:ind w:left="720"/>
            <w:tabs>
              <w:tab w:val="right" w:leader="dot" w:pos="9026"/>
            </w:tabs>
            <w:spacing w:before="120" w:after="60"/>
          </w:pPr>
          <w:hyperlink w:anchor="_Toc100023" w:history="1">
            <w:r>
              <w:rPr>
                <w:rStyle w:val="Hyperlink"/>
              </w:rPr>
              <w:t>2.2.11  预训练代码模型：CodeBERT（2020）→ GraphCodeBERT（2021）→ UniXcoder（2022）</w:t>
            </w:r>
            <w:r>
              <w:tab/>
            </w:r>
            <w:r>
              <w:fldChar w:fldCharType="begin"/>
            </w:r>
            <w:r>
              <w:instrText xml:space="preserve"> PAGEREF _Toc100023 \h </w:instrText>
            </w:r>
            <w:r>
              <w:fldChar w:fldCharType="separate"/>
            </w:r>
            <w:r>
              <w:t>16</w:t>
            </w:r>
            <w:r>
              <w:fldChar w:fldCharType="end"/>
            </w:r>
          </w:hyperlink>
        </w:p>
        <w:p>
          <w:pPr>
            <w:pStyle w:val="12"/>
            <w:ind w:left="720"/>
            <w:tabs>
              <w:tab w:val="right" w:leader="dot" w:pos="9026"/>
            </w:tabs>
            <w:spacing w:before="120" w:after="60"/>
          </w:pPr>
          <w:hyperlink w:anchor="_Toc100024" w:history="1">
            <w:r>
              <w:rPr>
                <w:rStyle w:val="Hyperlink"/>
              </w:rPr>
              <w:t>2.2.12  LLM 检测方案：GPTScan（2024）与 LLM4Vuln（2024）</w:t>
            </w:r>
            <w:r>
              <w:tab/>
            </w:r>
            <w:r>
              <w:fldChar w:fldCharType="begin"/>
            </w:r>
            <w:r>
              <w:instrText xml:space="preserve"> PAGEREF _Toc100024 \h </w:instrText>
            </w:r>
            <w:r>
              <w:fldChar w:fldCharType="separate"/>
            </w:r>
            <w:r>
              <w:t>17</w:t>
            </w:r>
            <w:r>
              <w:fldChar w:fldCharType="end"/>
            </w:r>
          </w:hyperlink>
        </w:p>
        <w:p>
          <w:pPr>
            <w:pStyle w:val="11"/>
            <w:ind w:left="360"/>
            <w:tabs>
              <w:tab w:val="right" w:leader="dot" w:pos="9026"/>
            </w:tabs>
            <w:spacing w:before="120" w:after="60"/>
          </w:pPr>
          <w:hyperlink w:anchor="_Toc100025" w:history="1">
            <w:r>
              <w:rPr>
                <w:rStyle w:val="Hyperlink"/>
              </w:rPr>
              <w:t>2.3  B 类：嵌入式/C-C++ 专项工具</w:t>
            </w:r>
            <w:r>
              <w:tab/>
            </w:r>
            <w:r>
              <w:fldChar w:fldCharType="begin"/>
            </w:r>
            <w:r>
              <w:instrText xml:space="preserve"> PAGEREF _Toc100025 \h </w:instrText>
            </w:r>
            <w:r>
              <w:fldChar w:fldCharType="separate"/>
            </w:r>
            <w:r>
              <w:t>18</w:t>
            </w:r>
            <w:r>
              <w:fldChar w:fldCharType="end"/>
            </w:r>
          </w:hyperlink>
        </w:p>
        <w:p>
          <w:pPr>
            <w:pStyle w:val="12"/>
            <w:ind w:left="720"/>
            <w:tabs>
              <w:tab w:val="right" w:leader="dot" w:pos="9026"/>
            </w:tabs>
            <w:spacing w:before="120" w:after="60"/>
          </w:pPr>
          <w:hyperlink w:anchor="_Toc100026" w:history="1">
            <w:r>
              <w:rPr>
                <w:rStyle w:val="Hyperlink"/>
              </w:rPr>
              <w:t>2.3.1  Astrée（2009 年商用）</w:t>
            </w:r>
            <w:r>
              <w:tab/>
            </w:r>
            <w:r>
              <w:fldChar w:fldCharType="begin"/>
            </w:r>
            <w:r>
              <w:instrText xml:space="preserve"> PAGEREF _Toc100026 \h </w:instrText>
            </w:r>
            <w:r>
              <w:fldChar w:fldCharType="separate"/>
            </w:r>
            <w:r>
              <w:t>18</w:t>
            </w:r>
            <w:r>
              <w:fldChar w:fldCharType="end"/>
            </w:r>
          </w:hyperlink>
        </w:p>
        <w:p>
          <w:pPr>
            <w:pStyle w:val="12"/>
            <w:ind w:left="720"/>
            <w:tabs>
              <w:tab w:val="right" w:leader="dot" w:pos="9026"/>
            </w:tabs>
            <w:spacing w:before="120" w:after="60"/>
          </w:pPr>
          <w:hyperlink w:anchor="_Toc100027" w:history="1">
            <w:r>
              <w:rPr>
                <w:rStyle w:val="Hyperlink"/>
              </w:rPr>
              <w:t>2.3.2  Polyspace（2007 年并入 MathWorks）</w:t>
            </w:r>
            <w:r>
              <w:tab/>
            </w:r>
            <w:r>
              <w:fldChar w:fldCharType="begin"/>
            </w:r>
            <w:r>
              <w:instrText xml:space="preserve"> PAGEREF _Toc100027 \h </w:instrText>
            </w:r>
            <w:r>
              <w:fldChar w:fldCharType="separate"/>
            </w:r>
            <w:r>
              <w:t>19</w:t>
            </w:r>
            <w:r>
              <w:fldChar w:fldCharType="end"/>
            </w:r>
          </w:hyperlink>
        </w:p>
        <w:p>
          <w:pPr>
            <w:pStyle w:val="12"/>
            <w:ind w:left="720"/>
            <w:tabs>
              <w:tab w:val="right" w:leader="dot" w:pos="9026"/>
            </w:tabs>
            <w:spacing w:before="120" w:after="60"/>
          </w:pPr>
          <w:hyperlink w:anchor="_Toc100028" w:history="1">
            <w:r>
              <w:rPr>
                <w:rStyle w:val="Hyperlink"/>
              </w:rPr>
              <w:t>2.3.3  Frama-C（2008）</w:t>
            </w:r>
            <w:r>
              <w:tab/>
            </w:r>
            <w:r>
              <w:fldChar w:fldCharType="begin"/>
            </w:r>
            <w:r>
              <w:instrText xml:space="preserve"> PAGEREF _Toc100028 \h </w:instrText>
            </w:r>
            <w:r>
              <w:fldChar w:fldCharType="separate"/>
            </w:r>
            <w:r>
              <w:t>19</w:t>
            </w:r>
            <w:r>
              <w:fldChar w:fldCharType="end"/>
            </w:r>
          </w:hyperlink>
        </w:p>
        <w:p>
          <w:pPr>
            <w:pStyle w:val="12"/>
            <w:ind w:left="720"/>
            <w:tabs>
              <w:tab w:val="right" w:leader="dot" w:pos="9026"/>
            </w:tabs>
            <w:spacing w:before="120" w:after="60"/>
          </w:pPr>
          <w:hyperlink w:anchor="_Toc100029" w:history="1">
            <w:r>
              <w:rPr>
                <w:rStyle w:val="Hyperlink"/>
              </w:rPr>
              <w:t>2.3.4  CodeSonar（2003）</w:t>
            </w:r>
            <w:r>
              <w:tab/>
            </w:r>
            <w:r>
              <w:fldChar w:fldCharType="begin"/>
            </w:r>
            <w:r>
              <w:instrText xml:space="preserve"> PAGEREF _Toc100029 \h </w:instrText>
            </w:r>
            <w:r>
              <w:fldChar w:fldCharType="separate"/>
            </w:r>
            <w:r>
              <w:t>20</w:t>
            </w:r>
            <w:r>
              <w:fldChar w:fldCharType="end"/>
            </w:r>
          </w:hyperlink>
        </w:p>
        <w:p>
          <w:pPr>
            <w:pStyle w:val="12"/>
            <w:ind w:left="720"/>
            <w:tabs>
              <w:tab w:val="right" w:leader="dot" w:pos="9026"/>
            </w:tabs>
            <w:spacing w:before="120" w:after="60"/>
          </w:pPr>
          <w:hyperlink w:anchor="_Toc100030" w:history="1">
            <w:r>
              <w:rPr>
                <w:rStyle w:val="Hyperlink"/>
              </w:rPr>
              <w:t>2.3.5  Klocwork（2001）</w:t>
            </w:r>
            <w:r>
              <w:tab/>
            </w:r>
            <w:r>
              <w:fldChar w:fldCharType="begin"/>
            </w:r>
            <w:r>
              <w:instrText xml:space="preserve"> PAGEREF _Toc100030 \h </w:instrText>
            </w:r>
            <w:r>
              <w:fldChar w:fldCharType="separate"/>
            </w:r>
            <w:r>
              <w:t>21</w:t>
            </w:r>
            <w:r>
              <w:fldChar w:fldCharType="end"/>
            </w:r>
          </w:hyperlink>
        </w:p>
        <w:p>
          <w:pPr>
            <w:pStyle w:val="12"/>
            <w:ind w:left="720"/>
            <w:tabs>
              <w:tab w:val="right" w:leader="dot" w:pos="9026"/>
            </w:tabs>
            <w:spacing w:before="120" w:after="60"/>
          </w:pPr>
          <w:hyperlink w:anchor="_Toc100031" w:history="1">
            <w:r>
              <w:rPr>
                <w:rStyle w:val="Hyperlink"/>
              </w:rPr>
              <w:t>2.3.6  Helix QAC（1986/2018）</w:t>
            </w:r>
            <w:r>
              <w:tab/>
            </w:r>
            <w:r>
              <w:fldChar w:fldCharType="begin"/>
            </w:r>
            <w:r>
              <w:instrText xml:space="preserve"> PAGEREF _Toc100031 \h </w:instrText>
            </w:r>
            <w:r>
              <w:fldChar w:fldCharType="separate"/>
            </w:r>
            <w:r>
              <w:t>22</w:t>
            </w:r>
            <w:r>
              <w:fldChar w:fldCharType="end"/>
            </w:r>
          </w:hyperlink>
        </w:p>
        <w:p>
          <w:pPr>
            <w:pStyle w:val="12"/>
            <w:ind w:left="720"/>
            <w:tabs>
              <w:tab w:val="right" w:leader="dot" w:pos="9026"/>
            </w:tabs>
            <w:spacing w:before="120" w:after="60"/>
          </w:pPr>
          <w:hyperlink w:anchor="_Toc100032" w:history="1">
            <w:r>
              <w:rPr>
                <w:rStyle w:val="Hyperlink"/>
              </w:rPr>
              <w:t>2.3.7  LDRA（1975）</w:t>
            </w:r>
            <w:r>
              <w:tab/>
            </w:r>
            <w:r>
              <w:fldChar w:fldCharType="begin"/>
            </w:r>
            <w:r>
              <w:instrText xml:space="preserve"> PAGEREF _Toc100032 \h </w:instrText>
            </w:r>
            <w:r>
              <w:fldChar w:fldCharType="separate"/>
            </w:r>
            <w:r>
              <w:t>22</w:t>
            </w:r>
            <w:r>
              <w:fldChar w:fldCharType="end"/>
            </w:r>
          </w:hyperlink>
        </w:p>
        <w:p>
          <w:pPr>
            <w:pStyle w:val="12"/>
            <w:ind w:left="720"/>
            <w:tabs>
              <w:tab w:val="right" w:leader="dot" w:pos="9026"/>
            </w:tabs>
            <w:spacing w:before="120" w:after="60"/>
          </w:pPr>
          <w:hyperlink w:anchor="_Toc100033" w:history="1">
            <w:r>
              <w:rPr>
                <w:rStyle w:val="Hyperlink"/>
              </w:rPr>
              <w:t>2.3.8  Parasoft C/C++test（1999）</w:t>
            </w:r>
            <w:r>
              <w:tab/>
            </w:r>
            <w:r>
              <w:fldChar w:fldCharType="begin"/>
            </w:r>
            <w:r>
              <w:instrText xml:space="preserve"> PAGEREF _Toc100033 \h </w:instrText>
            </w:r>
            <w:r>
              <w:fldChar w:fldCharType="separate"/>
            </w:r>
            <w:r>
              <w:t>23</w:t>
            </w:r>
            <w:r>
              <w:fldChar w:fldCharType="end"/>
            </w:r>
          </w:hyperlink>
        </w:p>
        <w:p>
          <w:pPr>
            <w:pStyle w:val="12"/>
            <w:ind w:left="720"/>
            <w:tabs>
              <w:tab w:val="right" w:leader="dot" w:pos="9026"/>
            </w:tabs>
            <w:spacing w:before="120" w:after="60"/>
          </w:pPr>
          <w:hyperlink w:anchor="_Toc100034" w:history="1">
            <w:r>
              <w:rPr>
                <w:rStyle w:val="Hyperlink"/>
              </w:rPr>
              <w:t>2.3.9  VectorCAST（1990）</w:t>
            </w:r>
            <w:r>
              <w:tab/>
            </w:r>
            <w:r>
              <w:fldChar w:fldCharType="begin"/>
            </w:r>
            <w:r>
              <w:instrText xml:space="preserve"> PAGEREF _Toc100034 \h </w:instrText>
            </w:r>
            <w:r>
              <w:fldChar w:fldCharType="separate"/>
            </w:r>
            <w:r>
              <w:t>24</w:t>
            </w:r>
            <w:r>
              <w:fldChar w:fldCharType="end"/>
            </w:r>
          </w:hyperlink>
        </w:p>
        <w:p>
          <w:pPr>
            <w:pStyle w:val="12"/>
            <w:ind w:left="720"/>
            <w:tabs>
              <w:tab w:val="right" w:leader="dot" w:pos="9026"/>
            </w:tabs>
            <w:spacing w:before="120" w:after="60"/>
          </w:pPr>
          <w:hyperlink w:anchor="_Toc100035" w:history="1">
            <w:r>
              <w:rPr>
                <w:rStyle w:val="Hyperlink"/>
              </w:rPr>
              <w:t>2.3.10  ESBMC（2011）</w:t>
            </w:r>
            <w:r>
              <w:tab/>
            </w:r>
            <w:r>
              <w:fldChar w:fldCharType="begin"/>
            </w:r>
            <w:r>
              <w:instrText xml:space="preserve"> PAGEREF _Toc100035 \h </w:instrText>
            </w:r>
            <w:r>
              <w:fldChar w:fldCharType="separate"/>
            </w:r>
            <w:r>
              <w:t>25</w:t>
            </w:r>
            <w:r>
              <w:fldChar w:fldCharType="end"/>
            </w:r>
          </w:hyperlink>
        </w:p>
        <w:p>
          <w:pPr>
            <w:pStyle w:val="11"/>
            <w:ind w:left="360"/>
            <w:tabs>
              <w:tab w:val="right" w:leader="dot" w:pos="9026"/>
            </w:tabs>
            <w:spacing w:before="120" w:after="60"/>
          </w:pPr>
          <w:hyperlink w:anchor="_Toc100036" w:history="1">
            <w:r>
              <w:rPr>
                <w:rStyle w:val="Hyperlink"/>
              </w:rPr>
              <w:t>2.4  C 类：形式化方法与符号执行</w:t>
            </w:r>
            <w:r>
              <w:tab/>
            </w:r>
            <w:r>
              <w:fldChar w:fldCharType="begin"/>
            </w:r>
            <w:r>
              <w:instrText xml:space="preserve"> PAGEREF _Toc100036 \h </w:instrText>
            </w:r>
            <w:r>
              <w:fldChar w:fldCharType="separate"/>
            </w:r>
            <w:r>
              <w:t>25</w:t>
            </w:r>
            <w:r>
              <w:fldChar w:fldCharType="end"/>
            </w:r>
          </w:hyperlink>
        </w:p>
        <w:p>
          <w:pPr>
            <w:pStyle w:val="12"/>
            <w:ind w:left="720"/>
            <w:tabs>
              <w:tab w:val="right" w:leader="dot" w:pos="9026"/>
            </w:tabs>
            <w:spacing w:before="120" w:after="60"/>
          </w:pPr>
          <w:hyperlink w:anchor="_Toc100037" w:history="1">
            <w:r>
              <w:rPr>
                <w:rStyle w:val="Hyperlink"/>
              </w:rPr>
              <w:t>2.4.1  CBMC（2004）</w:t>
            </w:r>
            <w:r>
              <w:tab/>
            </w:r>
            <w:r>
              <w:fldChar w:fldCharType="begin"/>
            </w:r>
            <w:r>
              <w:instrText xml:space="preserve"> PAGEREF _Toc100037 \h </w:instrText>
            </w:r>
            <w:r>
              <w:fldChar w:fldCharType="separate"/>
            </w:r>
            <w:r>
              <w:t>25</w:t>
            </w:r>
            <w:r>
              <w:fldChar w:fldCharType="end"/>
            </w:r>
          </w:hyperlink>
        </w:p>
        <w:p>
          <w:pPr>
            <w:pStyle w:val="12"/>
            <w:ind w:left="720"/>
            <w:tabs>
              <w:tab w:val="right" w:leader="dot" w:pos="9026"/>
            </w:tabs>
            <w:spacing w:before="120" w:after="60"/>
          </w:pPr>
          <w:hyperlink w:anchor="_Toc100038" w:history="1">
            <w:r>
              <w:rPr>
                <w:rStyle w:val="Hyperlink"/>
              </w:rPr>
              <w:t>2.4.2  KLEE（2008）</w:t>
            </w:r>
            <w:r>
              <w:tab/>
            </w:r>
            <w:r>
              <w:fldChar w:fldCharType="begin"/>
            </w:r>
            <w:r>
              <w:instrText xml:space="preserve"> PAGEREF _Toc100038 \h </w:instrText>
            </w:r>
            <w:r>
              <w:fldChar w:fldCharType="separate"/>
            </w:r>
            <w:r>
              <w:t>26</w:t>
            </w:r>
            <w:r>
              <w:fldChar w:fldCharType="end"/>
            </w:r>
          </w:hyperlink>
        </w:p>
        <w:p>
          <w:pPr>
            <w:pStyle w:val="12"/>
            <w:ind w:left="720"/>
            <w:tabs>
              <w:tab w:val="right" w:leader="dot" w:pos="9026"/>
            </w:tabs>
            <w:spacing w:before="120" w:after="60"/>
          </w:pPr>
          <w:hyperlink w:anchor="_Toc100039" w:history="1">
            <w:r>
              <w:rPr>
                <w:rStyle w:val="Hyperlink"/>
              </w:rPr>
              <w:t>2.4.3  CPAchecker（2011）</w:t>
            </w:r>
            <w:r>
              <w:tab/>
            </w:r>
            <w:r>
              <w:fldChar w:fldCharType="begin"/>
            </w:r>
            <w:r>
              <w:instrText xml:space="preserve"> PAGEREF _Toc100039 \h </w:instrText>
            </w:r>
            <w:r>
              <w:fldChar w:fldCharType="separate"/>
            </w:r>
            <w:r>
              <w:t>27</w:t>
            </w:r>
            <w:r>
              <w:fldChar w:fldCharType="end"/>
            </w:r>
          </w:hyperlink>
        </w:p>
        <w:p>
          <w:pPr>
            <w:pStyle w:val="12"/>
            <w:ind w:left="720"/>
            <w:tabs>
              <w:tab w:val="right" w:leader="dot" w:pos="9026"/>
            </w:tabs>
            <w:spacing w:before="120" w:after="60"/>
          </w:pPr>
          <w:hyperlink w:anchor="_Toc100040" w:history="1">
            <w:r>
              <w:rPr>
                <w:rStyle w:val="Hyperlink"/>
              </w:rPr>
              <w:t>2.4.4  IKOS（2015）</w:t>
            </w:r>
            <w:r>
              <w:tab/>
            </w:r>
            <w:r>
              <w:fldChar w:fldCharType="begin"/>
            </w:r>
            <w:r>
              <w:instrText xml:space="preserve"> PAGEREF _Toc100040 \h </w:instrText>
            </w:r>
            <w:r>
              <w:fldChar w:fldCharType="separate"/>
            </w:r>
            <w:r>
              <w:t>28</w:t>
            </w:r>
            <w:r>
              <w:fldChar w:fldCharType="end"/>
            </w:r>
          </w:hyperlink>
        </w:p>
        <w:p>
          <w:pPr>
            <w:pStyle w:val="12"/>
            <w:ind w:left="720"/>
            <w:tabs>
              <w:tab w:val="right" w:leader="dot" w:pos="9026"/>
            </w:tabs>
            <w:spacing w:before="120" w:after="60"/>
          </w:pPr>
          <w:hyperlink w:anchor="_Toc100041" w:history="1">
            <w:r>
              <w:rPr>
                <w:rStyle w:val="Hyperlink"/>
              </w:rPr>
              <w:t>2.4.5  Goblint（2007）</w:t>
            </w:r>
            <w:r>
              <w:tab/>
            </w:r>
            <w:r>
              <w:fldChar w:fldCharType="begin"/>
            </w:r>
            <w:r>
              <w:instrText xml:space="preserve"> PAGEREF _Toc100041 \h </w:instrText>
            </w:r>
            <w:r>
              <w:fldChar w:fldCharType="separate"/>
            </w:r>
            <w:r>
              <w:t>28</w:t>
            </w:r>
            <w:r>
              <w:fldChar w:fldCharType="end"/>
            </w:r>
          </w:hyperlink>
        </w:p>
        <w:p>
          <w:pPr>
            <w:pStyle w:val="12"/>
            <w:ind w:left="720"/>
            <w:tabs>
              <w:tab w:val="right" w:leader="dot" w:pos="9026"/>
            </w:tabs>
            <w:spacing w:before="120" w:after="60"/>
          </w:pPr>
          <w:hyperlink w:anchor="_Toc100042" w:history="1">
            <w:r>
              <w:rPr>
                <w:rStyle w:val="Hyperlink"/>
              </w:rPr>
              <w:t>2.4.6  SV-COMP（2012）</w:t>
            </w:r>
            <w:r>
              <w:tab/>
            </w:r>
            <w:r>
              <w:fldChar w:fldCharType="begin"/>
            </w:r>
            <w:r>
              <w:instrText xml:space="preserve"> PAGEREF _Toc100042 \h </w:instrText>
            </w:r>
            <w:r>
              <w:fldChar w:fldCharType="separate"/>
            </w:r>
            <w:r>
              <w:t>29</w:t>
            </w:r>
            <w:r>
              <w:fldChar w:fldCharType="end"/>
            </w:r>
          </w:hyperlink>
        </w:p>
        <w:p>
          <w:pPr>
            <w:pStyle w:val="11"/>
            <w:ind w:left="360"/>
            <w:tabs>
              <w:tab w:val="right" w:leader="dot" w:pos="9026"/>
            </w:tabs>
            <w:spacing w:before="120" w:after="60"/>
          </w:pPr>
          <w:hyperlink w:anchor="_Toc100043" w:history="1">
            <w:r>
              <w:rPr>
                <w:rStyle w:val="Hyperlink"/>
              </w:rPr>
              <w:t>2.5  D 类：学术里程碑</w:t>
            </w:r>
            <w:r>
              <w:tab/>
            </w:r>
            <w:r>
              <w:fldChar w:fldCharType="begin"/>
            </w:r>
            <w:r>
              <w:instrText xml:space="preserve"> PAGEREF _Toc100043 \h </w:instrText>
            </w:r>
            <w:r>
              <w:fldChar w:fldCharType="separate"/>
            </w:r>
            <w:r>
              <w:t>30</w:t>
            </w:r>
            <w:r>
              <w:fldChar w:fldCharType="end"/>
            </w:r>
          </w:hyperlink>
        </w:p>
        <w:p>
          <w:pPr>
            <w:pStyle w:val="12"/>
            <w:ind w:left="720"/>
            <w:tabs>
              <w:tab w:val="right" w:leader="dot" w:pos="9026"/>
            </w:tabs>
            <w:spacing w:before="120" w:after="60"/>
          </w:pPr>
          <w:hyperlink w:anchor="_Toc100044" w:history="1">
            <w:r>
              <w:rPr>
                <w:rStyle w:val="Hyperlink"/>
              </w:rPr>
              <w:t>2.5.1  规则挖掘与属性验证时代（2001—2005）：Metal、ESP、MOPS、Saturn</w:t>
            </w:r>
            <w:r>
              <w:tab/>
            </w:r>
            <w:r>
              <w:fldChar w:fldCharType="begin"/>
            </w:r>
            <w:r>
              <w:instrText xml:space="preserve"> PAGEREF _Toc100044 \h </w:instrText>
            </w:r>
            <w:r>
              <w:fldChar w:fldCharType="separate"/>
            </w:r>
            <w:r>
              <w:t>30</w:t>
            </w:r>
            <w:r>
              <w:fldChar w:fldCharType="end"/>
            </w:r>
          </w:hyperlink>
        </w:p>
        <w:p>
          <w:pPr>
            <w:pStyle w:val="12"/>
            <w:ind w:left="720"/>
            <w:tabs>
              <w:tab w:val="right" w:leader="dot" w:pos="9026"/>
            </w:tabs>
            <w:spacing w:before="120" w:after="60"/>
          </w:pPr>
          <w:hyperlink w:anchor="_Toc100045" w:history="1">
            <w:r>
              <w:rPr>
                <w:rStyle w:val="Hyperlink"/>
              </w:rPr>
              <w:t>2.5.2  深度学习时代（2018—2021）：VulDeePecker、Devign、SySeVR、D2A</w:t>
            </w:r>
            <w:r>
              <w:tab/>
            </w:r>
            <w:r>
              <w:fldChar w:fldCharType="begin"/>
            </w:r>
            <w:r>
              <w:instrText xml:space="preserve"> PAGEREF _Toc100045 \h </w:instrText>
            </w:r>
            <w:r>
              <w:fldChar w:fldCharType="separate"/>
            </w:r>
            <w:r>
              <w:t>31</w:t>
            </w:r>
            <w:r>
              <w:fldChar w:fldCharType="end"/>
            </w:r>
          </w:hyperlink>
        </w:p>
        <w:p>
          <w:pPr>
            <w:pStyle w:val="12"/>
            <w:ind w:left="720"/>
            <w:tabs>
              <w:tab w:val="right" w:leader="dot" w:pos="9026"/>
            </w:tabs>
            <w:spacing w:before="120" w:after="60"/>
          </w:pPr>
          <w:hyperlink w:anchor="_Toc100046" w:history="1">
            <w:r>
              <w:rPr>
                <w:rStyle w:val="Hyperlink"/>
              </w:rPr>
              <w:t>2.5.3  大模型与严格基准时代（2024—2025）：PrimeVul、VulBench</w:t>
            </w:r>
            <w:r>
              <w:tab/>
            </w:r>
            <w:r>
              <w:fldChar w:fldCharType="begin"/>
            </w:r>
            <w:r>
              <w:instrText xml:space="preserve"> PAGEREF _Toc100046 \h </w:instrText>
            </w:r>
            <w:r>
              <w:fldChar w:fldCharType="separate"/>
            </w:r>
            <w:r>
              <w:t>31</w:t>
            </w:r>
            <w:r>
              <w:fldChar w:fldCharType="end"/>
            </w:r>
          </w:hyperlink>
        </w:p>
        <w:p>
          <w:pPr>
            <w:pStyle w:val="11"/>
            <w:ind w:left="360"/>
            <w:tabs>
              <w:tab w:val="right" w:leader="dot" w:pos="9026"/>
            </w:tabs>
            <w:spacing w:before="120" w:after="60"/>
          </w:pPr>
          <w:hyperlink w:anchor="_Toc100047" w:history="1">
            <w:r>
              <w:rPr>
                <w:rStyle w:val="Hyperlink"/>
              </w:rPr>
              <w:t>2.6  为什么通用工具在嵌入式场景水土不服</w:t>
            </w:r>
            <w:r>
              <w:tab/>
            </w:r>
            <w:r>
              <w:fldChar w:fldCharType="begin"/>
            </w:r>
            <w:r>
              <w:instrText xml:space="preserve"> PAGEREF _Toc100047 \h </w:instrText>
            </w:r>
            <w:r>
              <w:fldChar w:fldCharType="separate"/>
            </w:r>
            <w:r>
              <w:t>32</w:t>
            </w:r>
            <w:r>
              <w:fldChar w:fldCharType="end"/>
            </w:r>
          </w:hyperlink>
        </w:p>
        <w:p>
          <w:pPr>
            <w:pStyle w:val="11"/>
            <w:ind w:left="360"/>
            <w:tabs>
              <w:tab w:val="right" w:leader="dot" w:pos="9026"/>
            </w:tabs>
            <w:spacing w:before="120" w:after="60"/>
          </w:pPr>
          <w:hyperlink w:anchor="_Toc100048" w:history="1">
            <w:r>
              <w:rPr>
                <w:rStyle w:val="Hyperlink"/>
              </w:rPr>
              <w:t>2.7  横向对比总表与解读</w:t>
            </w:r>
            <w:r>
              <w:tab/>
            </w:r>
            <w:r>
              <w:fldChar w:fldCharType="begin"/>
            </w:r>
            <w:r>
              <w:instrText xml:space="preserve"> PAGEREF _Toc100048 \h </w:instrText>
            </w:r>
            <w:r>
              <w:fldChar w:fldCharType="separate"/>
            </w:r>
            <w:r>
              <w:t>33</w:t>
            </w:r>
            <w:r>
              <w:fldChar w:fldCharType="end"/>
            </w:r>
          </w:hyperlink>
        </w:p>
        <w:p>
          <w:pPr>
            <w:pStyle w:val="9"/>
            <w:tabs>
              <w:tab w:val="right" w:leader="dot" w:pos="9026"/>
            </w:tabs>
            <w:spacing w:before="120" w:after="60"/>
          </w:pPr>
          <w:hyperlink w:anchor="_Toc100049" w:history="1">
            <w:r>
              <w:rPr>
                <w:rStyle w:val="Hyperlink"/>
              </w:rPr>
              <w:t>第三章  问题定义与技术方案</w:t>
            </w:r>
            <w:r>
              <w:tab/>
            </w:r>
            <w:r>
              <w:fldChar w:fldCharType="begin"/>
            </w:r>
            <w:r>
              <w:instrText xml:space="preserve"> PAGEREF _Toc100049 \h </w:instrText>
            </w:r>
            <w:r>
              <w:fldChar w:fldCharType="separate"/>
            </w:r>
            <w:r>
              <w:t>34</w:t>
            </w:r>
            <w:r>
              <w:fldChar w:fldCharType="end"/>
            </w:r>
          </w:hyperlink>
        </w:p>
        <w:p>
          <w:pPr>
            <w:pStyle w:val="11"/>
            <w:ind w:left="360"/>
            <w:tabs>
              <w:tab w:val="right" w:leader="dot" w:pos="9026"/>
            </w:tabs>
            <w:spacing w:before="120" w:after="60"/>
          </w:pPr>
          <w:hyperlink w:anchor="_Toc100050" w:history="1">
            <w:r>
              <w:rPr>
                <w:rStyle w:val="Hyperlink"/>
              </w:rPr>
              <w:t>3.1  急需解决的问题</w:t>
            </w:r>
            <w:r>
              <w:tab/>
            </w:r>
            <w:r>
              <w:fldChar w:fldCharType="begin"/>
            </w:r>
            <w:r>
              <w:instrText xml:space="preserve"> PAGEREF _Toc100050 \h </w:instrText>
            </w:r>
            <w:r>
              <w:fldChar w:fldCharType="separate"/>
            </w:r>
            <w:r>
              <w:t>34</w:t>
            </w:r>
            <w:r>
              <w:fldChar w:fldCharType="end"/>
            </w:r>
          </w:hyperlink>
        </w:p>
        <w:p>
          <w:pPr>
            <w:pStyle w:val="11"/>
            <w:ind w:left="360"/>
            <w:tabs>
              <w:tab w:val="right" w:leader="dot" w:pos="9026"/>
            </w:tabs>
            <w:spacing w:before="120" w:after="60"/>
          </w:pPr>
          <w:hyperlink w:anchor="_Toc100051" w:history="1">
            <w:r>
              <w:rPr>
                <w:rStyle w:val="Hyperlink"/>
              </w:rPr>
              <w:t>3.2  总体技术路线</w:t>
            </w:r>
            <w:r>
              <w:tab/>
            </w:r>
            <w:r>
              <w:fldChar w:fldCharType="begin"/>
            </w:r>
            <w:r>
              <w:instrText xml:space="preserve"> PAGEREF _Toc100051 \h </w:instrText>
            </w:r>
            <w:r>
              <w:fldChar w:fldCharType="separate"/>
            </w:r>
            <w:r>
              <w:t>35</w:t>
            </w:r>
            <w:r>
              <w:fldChar w:fldCharType="end"/>
            </w:r>
          </w:hyperlink>
        </w:p>
        <w:p>
          <w:pPr>
            <w:pStyle w:val="11"/>
            <w:ind w:left="360"/>
            <w:tabs>
              <w:tab w:val="right" w:leader="dot" w:pos="9026"/>
            </w:tabs>
            <w:spacing w:before="120" w:after="60"/>
          </w:pPr>
          <w:hyperlink w:anchor="_Toc100052" w:history="1">
            <w:r>
              <w:rPr>
                <w:rStyle w:val="Hyperlink"/>
              </w:rPr>
              <w:t>3.3  关键模块的具体实现</w:t>
            </w:r>
            <w:r>
              <w:tab/>
            </w:r>
            <w:r>
              <w:fldChar w:fldCharType="begin"/>
            </w:r>
            <w:r>
              <w:instrText xml:space="preserve"> PAGEREF _Toc100052 \h </w:instrText>
            </w:r>
            <w:r>
              <w:fldChar w:fldCharType="separate"/>
            </w:r>
            <w:r>
              <w:t>36</w:t>
            </w:r>
            <w:r>
              <w:fldChar w:fldCharType="end"/>
            </w:r>
          </w:hyperlink>
        </w:p>
        <w:p>
          <w:pPr>
            <w:pStyle w:val="12"/>
            <w:ind w:left="720"/>
            <w:tabs>
              <w:tab w:val="right" w:leader="dot" w:pos="9026"/>
            </w:tabs>
            <w:spacing w:before="120" w:after="60"/>
          </w:pPr>
          <w:hyperlink w:anchor="_Toc100053" w:history="1">
            <w:r>
              <w:rPr>
                <w:rStyle w:val="Hyperlink"/>
              </w:rPr>
              <w:t>3.3.1  编译命令与构建环境自动复现（对应 P1）</w:t>
            </w:r>
            <w:r>
              <w:tab/>
            </w:r>
            <w:r>
              <w:fldChar w:fldCharType="begin"/>
            </w:r>
            <w:r>
              <w:instrText xml:space="preserve"> PAGEREF _Toc100053 \h </w:instrText>
            </w:r>
            <w:r>
              <w:fldChar w:fldCharType="separate"/>
            </w:r>
            <w:r>
              <w:t>36</w:t>
            </w:r>
            <w:r>
              <w:fldChar w:fldCharType="end"/>
            </w:r>
          </w:hyperlink>
        </w:p>
        <w:p>
          <w:pPr>
            <w:pStyle w:val="12"/>
            <w:ind w:left="720"/>
            <w:tabs>
              <w:tab w:val="right" w:leader="dot" w:pos="9026"/>
            </w:tabs>
            <w:spacing w:before="120" w:after="60"/>
          </w:pPr>
          <w:hyperlink w:anchor="_Toc100054" w:history="1">
            <w:r>
              <w:rPr>
                <w:rStyle w:val="Hyperlink"/>
              </w:rPr>
              <w:t>3.3.2  硬件语义与并发建模（对应 P2）</w:t>
            </w:r>
            <w:r>
              <w:tab/>
            </w:r>
            <w:r>
              <w:fldChar w:fldCharType="begin"/>
            </w:r>
            <w:r>
              <w:instrText xml:space="preserve"> PAGEREF _Toc100054 \h </w:instrText>
            </w:r>
            <w:r>
              <w:fldChar w:fldCharType="separate"/>
            </w:r>
            <w:r>
              <w:t>38</w:t>
            </w:r>
            <w:r>
              <w:fldChar w:fldCharType="end"/>
            </w:r>
          </w:hyperlink>
        </w:p>
        <w:p>
          <w:pPr>
            <w:pStyle w:val="12"/>
            <w:ind w:left="720"/>
            <w:tabs>
              <w:tab w:val="right" w:leader="dot" w:pos="9026"/>
            </w:tabs>
            <w:spacing w:before="120" w:after="60"/>
          </w:pPr>
          <w:hyperlink w:anchor="_Toc100055" w:history="1">
            <w:r>
              <w:rPr>
                <w:rStyle w:val="Hyperlink"/>
              </w:rPr>
              <w:t>3.3.3  MISRA/GJB/CERT 规则引擎实现（对应 P3）</w:t>
            </w:r>
            <w:r>
              <w:tab/>
            </w:r>
            <w:r>
              <w:fldChar w:fldCharType="begin"/>
            </w:r>
            <w:r>
              <w:instrText xml:space="preserve"> PAGEREF _Toc100055 \h </w:instrText>
            </w:r>
            <w:r>
              <w:fldChar w:fldCharType="separate"/>
            </w:r>
            <w:r>
              <w:t>39</w:t>
            </w:r>
            <w:r>
              <w:fldChar w:fldCharType="end"/>
            </w:r>
          </w:hyperlink>
        </w:p>
        <w:p>
          <w:pPr>
            <w:pStyle w:val="12"/>
            <w:ind w:left="720"/>
            <w:tabs>
              <w:tab w:val="right" w:leader="dot" w:pos="9026"/>
            </w:tabs>
            <w:spacing w:before="120" w:after="60"/>
          </w:pPr>
          <w:hyperlink w:anchor="_Toc100056" w:history="1">
            <w:r>
              <w:rPr>
                <w:rStyle w:val="Hyperlink"/>
              </w:rPr>
              <w:t>3.3.4  抽象解释与符号执行的嵌入式适配（对应 P4）</w:t>
            </w:r>
            <w:r>
              <w:tab/>
            </w:r>
            <w:r>
              <w:fldChar w:fldCharType="begin"/>
            </w:r>
            <w:r>
              <w:instrText xml:space="preserve"> PAGEREF _Toc100056 \h </w:instrText>
            </w:r>
            <w:r>
              <w:fldChar w:fldCharType="separate"/>
            </w:r>
            <w:r>
              <w:t>41</w:t>
            </w:r>
            <w:r>
              <w:fldChar w:fldCharType="end"/>
            </w:r>
          </w:hyperlink>
        </w:p>
        <w:p>
          <w:pPr>
            <w:pStyle w:val="12"/>
            <w:ind w:left="720"/>
            <w:tabs>
              <w:tab w:val="right" w:leader="dot" w:pos="9026"/>
            </w:tabs>
            <w:spacing w:before="120" w:after="60"/>
          </w:pPr>
          <w:hyperlink w:anchor="_Toc100057" w:history="1">
            <w:r>
              <w:rPr>
                <w:rStyle w:val="Hyperlink"/>
              </w:rPr>
              <w:t>3.3.5  LLM 增强环节（对应 P5）</w:t>
            </w:r>
            <w:r>
              <w:tab/>
            </w:r>
            <w:r>
              <w:fldChar w:fldCharType="begin"/>
            </w:r>
            <w:r>
              <w:instrText xml:space="preserve"> PAGEREF _Toc100057 \h </w:instrText>
            </w:r>
            <w:r>
              <w:fldChar w:fldCharType="separate"/>
            </w:r>
            <w:r>
              <w:t>41</w:t>
            </w:r>
            <w:r>
              <w:fldChar w:fldCharType="end"/>
            </w:r>
          </w:hyperlink>
        </w:p>
        <w:p>
          <w:pPr>
            <w:pStyle w:val="12"/>
            <w:ind w:left="720"/>
            <w:tabs>
              <w:tab w:val="right" w:leader="dot" w:pos="9026"/>
            </w:tabs>
            <w:spacing w:before="120" w:after="60"/>
          </w:pPr>
          <w:hyperlink w:anchor="_Toc100058" w:history="1">
            <w:r>
              <w:rPr>
                <w:rStyle w:val="Hyperlink"/>
              </w:rPr>
              <w:t>3.3.6  增量分析与大规模工程性能优化</w:t>
            </w:r>
            <w:r>
              <w:tab/>
            </w:r>
            <w:r>
              <w:fldChar w:fldCharType="begin"/>
            </w:r>
            <w:r>
              <w:instrText xml:space="preserve"> PAGEREF _Toc100058 \h </w:instrText>
            </w:r>
            <w:r>
              <w:fldChar w:fldCharType="separate"/>
            </w:r>
            <w:r>
              <w:t>43</w:t>
            </w:r>
            <w:r>
              <w:fldChar w:fldCharType="end"/>
            </w:r>
          </w:hyperlink>
        </w:p>
        <w:p>
          <w:pPr>
            <w:pStyle w:val="12"/>
            <w:ind w:left="720"/>
            <w:tabs>
              <w:tab w:val="right" w:leader="dot" w:pos="9026"/>
            </w:tabs>
            <w:spacing w:before="120" w:after="60"/>
          </w:pPr>
          <w:hyperlink w:anchor="_Toc100059" w:history="1">
            <w:r>
              <w:rPr>
                <w:rStyle w:val="Hyperlink"/>
              </w:rPr>
              <w:t>3.3.7  结果聚合、可证明性输出与报告生成（呼应 P3、P4）</w:t>
            </w:r>
            <w:r>
              <w:tab/>
            </w:r>
            <w:r>
              <w:fldChar w:fldCharType="begin"/>
            </w:r>
            <w:r>
              <w:instrText xml:space="preserve"> PAGEREF _Toc100059 \h </w:instrText>
            </w:r>
            <w:r>
              <w:fldChar w:fldCharType="separate"/>
            </w:r>
            <w:r>
              <w:t>43</w:t>
            </w:r>
            <w:r>
              <w:fldChar w:fldCharType="end"/>
            </w:r>
          </w:hyperlink>
        </w:p>
        <w:p>
          <w:pPr>
            <w:pStyle w:val="11"/>
            <w:ind w:left="360"/>
            <w:tabs>
              <w:tab w:val="right" w:leader="dot" w:pos="9026"/>
            </w:tabs>
            <w:spacing w:before="120" w:after="60"/>
          </w:pPr>
          <w:hyperlink w:anchor="_Toc100060" w:history="1">
            <w:r>
              <w:rPr>
                <w:rStyle w:val="Hyperlink"/>
              </w:rPr>
              <w:t>3.4  数据集</w:t>
            </w:r>
            <w:r>
              <w:tab/>
            </w:r>
            <w:r>
              <w:fldChar w:fldCharType="begin"/>
            </w:r>
            <w:r>
              <w:instrText xml:space="preserve"> PAGEREF _Toc100060 \h </w:instrText>
            </w:r>
            <w:r>
              <w:fldChar w:fldCharType="separate"/>
            </w:r>
            <w:r>
              <w:t>44</w:t>
            </w:r>
            <w:r>
              <w:fldChar w:fldCharType="end"/>
            </w:r>
          </w:hyperlink>
        </w:p>
        <w:p>
          <w:pPr>
            <w:pStyle w:val="12"/>
            <w:ind w:left="720"/>
            <w:tabs>
              <w:tab w:val="right" w:leader="dot" w:pos="9026"/>
            </w:tabs>
            <w:spacing w:before="120" w:after="60"/>
          </w:pPr>
          <w:hyperlink w:anchor="_Toc100061" w:history="1">
            <w:r>
              <w:rPr>
                <w:rStyle w:val="Hyperlink"/>
              </w:rPr>
              <w:t>3.4.1  合成/标准数据集</w:t>
            </w:r>
            <w:r>
              <w:tab/>
            </w:r>
            <w:r>
              <w:fldChar w:fldCharType="begin"/>
            </w:r>
            <w:r>
              <w:instrText xml:space="preserve"> PAGEREF _Toc100061 \h </w:instrText>
            </w:r>
            <w:r>
              <w:fldChar w:fldCharType="separate"/>
            </w:r>
            <w:r>
              <w:t>44</w:t>
            </w:r>
            <w:r>
              <w:fldChar w:fldCharType="end"/>
            </w:r>
          </w:hyperlink>
        </w:p>
        <w:p>
          <w:pPr>
            <w:pStyle w:val="12"/>
            <w:ind w:left="720"/>
            <w:tabs>
              <w:tab w:val="right" w:leader="dot" w:pos="9026"/>
            </w:tabs>
            <w:spacing w:before="120" w:after="60"/>
          </w:pPr>
          <w:hyperlink w:anchor="_Toc100062" w:history="1">
            <w:r>
              <w:rPr>
                <w:rStyle w:val="Hyperlink"/>
              </w:rPr>
              <w:t>3.4.2  真实世界数据集</w:t>
            </w:r>
            <w:r>
              <w:tab/>
            </w:r>
            <w:r>
              <w:fldChar w:fldCharType="begin"/>
            </w:r>
            <w:r>
              <w:instrText xml:space="preserve"> PAGEREF _Toc100062 \h </w:instrText>
            </w:r>
            <w:r>
              <w:fldChar w:fldCharType="separate"/>
            </w:r>
            <w:r>
              <w:t>44</w:t>
            </w:r>
            <w:r>
              <w:fldChar w:fldCharType="end"/>
            </w:r>
          </w:hyperlink>
        </w:p>
        <w:p>
          <w:pPr>
            <w:pStyle w:val="12"/>
            <w:ind w:left="720"/>
            <w:tabs>
              <w:tab w:val="right" w:leader="dot" w:pos="9026"/>
            </w:tabs>
            <w:spacing w:before="120" w:after="60"/>
          </w:pPr>
          <w:hyperlink w:anchor="_Toc100063" w:history="1">
            <w:r>
              <w:rPr>
                <w:rStyle w:val="Hyperlink"/>
              </w:rPr>
              <w:t>3.4.3  自建嵌入式数据集（创新点，单独详写）</w:t>
            </w:r>
            <w:r>
              <w:tab/>
            </w:r>
            <w:r>
              <w:fldChar w:fldCharType="begin"/>
            </w:r>
            <w:r>
              <w:instrText xml:space="preserve"> PAGEREF _Toc100063 \h </w:instrText>
            </w:r>
            <w:r>
              <w:fldChar w:fldCharType="separate"/>
            </w:r>
            <w:r>
              <w:t>44</w:t>
            </w:r>
            <w:r>
              <w:fldChar w:fldCharType="end"/>
            </w:r>
          </w:hyperlink>
        </w:p>
        <w:p>
          <w:pPr>
            <w:pStyle w:val="12"/>
            <w:ind w:left="720"/>
            <w:tabs>
              <w:tab w:val="right" w:leader="dot" w:pos="9026"/>
            </w:tabs>
            <w:spacing w:before="120" w:after="60"/>
          </w:pPr>
          <w:hyperlink w:anchor="_Toc100064" w:history="1">
            <w:r>
              <w:rPr>
                <w:rStyle w:val="Hyperlink"/>
              </w:rPr>
              <w:t>3.4.4  数据集使用策略</w:t>
            </w:r>
            <w:r>
              <w:tab/>
            </w:r>
            <w:r>
              <w:fldChar w:fldCharType="begin"/>
            </w:r>
            <w:r>
              <w:instrText xml:space="preserve"> PAGEREF _Toc100064 \h </w:instrText>
            </w:r>
            <w:r>
              <w:fldChar w:fldCharType="separate"/>
            </w:r>
            <w:r>
              <w:t>46</w:t>
            </w:r>
            <w:r>
              <w:fldChar w:fldCharType="end"/>
            </w:r>
          </w:hyperlink>
        </w:p>
        <w:p>
          <w:pPr>
            <w:pStyle w:val="11"/>
            <w:ind w:left="360"/>
            <w:tabs>
              <w:tab w:val="right" w:leader="dot" w:pos="9026"/>
            </w:tabs>
            <w:spacing w:before="120" w:after="60"/>
          </w:pPr>
          <w:hyperlink w:anchor="_Toc100065" w:history="1">
            <w:r>
              <w:rPr>
                <w:rStyle w:val="Hyperlink"/>
              </w:rPr>
              <w:t>3.5  评测方案与指标</w:t>
            </w:r>
            <w:r>
              <w:tab/>
            </w:r>
            <w:r>
              <w:fldChar w:fldCharType="begin"/>
            </w:r>
            <w:r>
              <w:instrText xml:space="preserve"> PAGEREF _Toc100065 \h </w:instrText>
            </w:r>
            <w:r>
              <w:fldChar w:fldCharType="separate"/>
            </w:r>
            <w:r>
              <w:t>46</w:t>
            </w:r>
            <w:r>
              <w:fldChar w:fldCharType="end"/>
            </w:r>
          </w:hyperlink>
        </w:p>
        <w:p>
          <w:pPr>
            <w:pStyle w:val="12"/>
            <w:ind w:left="720"/>
            <w:tabs>
              <w:tab w:val="right" w:leader="dot" w:pos="9026"/>
            </w:tabs>
            <w:spacing w:before="120" w:after="60"/>
          </w:pPr>
          <w:hyperlink w:anchor="_Toc100066" w:history="1">
            <w:r>
              <w:rPr>
                <w:rStyle w:val="Hyperlink"/>
              </w:rPr>
              <w:t>3.5.1  对比基线</w:t>
            </w:r>
            <w:r>
              <w:tab/>
            </w:r>
            <w:r>
              <w:fldChar w:fldCharType="begin"/>
            </w:r>
            <w:r>
              <w:instrText xml:space="preserve"> PAGEREF _Toc100066 \h </w:instrText>
            </w:r>
            <w:r>
              <w:fldChar w:fldCharType="separate"/>
            </w:r>
            <w:r>
              <w:t>46</w:t>
            </w:r>
            <w:r>
              <w:fldChar w:fldCharType="end"/>
            </w:r>
          </w:hyperlink>
        </w:p>
        <w:p>
          <w:pPr>
            <w:pStyle w:val="12"/>
            <w:ind w:left="720"/>
            <w:tabs>
              <w:tab w:val="right" w:leader="dot" w:pos="9026"/>
            </w:tabs>
            <w:spacing w:before="120" w:after="60"/>
          </w:pPr>
          <w:hyperlink w:anchor="_Toc100067" w:history="1">
            <w:r>
              <w:rPr>
                <w:rStyle w:val="Hyperlink"/>
              </w:rPr>
              <w:t>3.5.2  指标定义</w:t>
            </w:r>
            <w:r>
              <w:tab/>
            </w:r>
            <w:r>
              <w:fldChar w:fldCharType="begin"/>
            </w:r>
            <w:r>
              <w:instrText xml:space="preserve"> PAGEREF _Toc100067 \h </w:instrText>
            </w:r>
            <w:r>
              <w:fldChar w:fldCharType="separate"/>
            </w:r>
            <w:r>
              <w:t>46</w:t>
            </w:r>
            <w:r>
              <w:fldChar w:fldCharType="end"/>
            </w:r>
          </w:hyperlink>
        </w:p>
        <w:p>
          <w:pPr>
            <w:pStyle w:val="12"/>
            <w:ind w:left="720"/>
            <w:tabs>
              <w:tab w:val="right" w:leader="dot" w:pos="9026"/>
            </w:tabs>
            <w:spacing w:before="120" w:after="60"/>
          </w:pPr>
          <w:hyperlink w:anchor="_Toc100068" w:history="1">
            <w:r>
              <w:rPr>
                <w:rStyle w:val="Hyperlink"/>
              </w:rPr>
              <w:t>3.5.3  消融实验设计</w:t>
            </w:r>
            <w:r>
              <w:tab/>
            </w:r>
            <w:r>
              <w:fldChar w:fldCharType="begin"/>
            </w:r>
            <w:r>
              <w:instrText xml:space="preserve"> PAGEREF _Toc100068 \h </w:instrText>
            </w:r>
            <w:r>
              <w:fldChar w:fldCharType="separate"/>
            </w:r>
            <w:r>
              <w:t>47</w:t>
            </w:r>
            <w:r>
              <w:fldChar w:fldCharType="end"/>
            </w:r>
          </w:hyperlink>
        </w:p>
        <w:p>
          <w:pPr>
            <w:pStyle w:val="12"/>
            <w:ind w:left="720"/>
            <w:tabs>
              <w:tab w:val="right" w:leader="dot" w:pos="9026"/>
            </w:tabs>
            <w:spacing w:before="120" w:after="60"/>
          </w:pPr>
          <w:hyperlink w:anchor="_Toc100069" w:history="1">
            <w:r>
              <w:rPr>
                <w:rStyle w:val="Hyperlink"/>
              </w:rPr>
              <w:t>3.5.4  预期结果表（留空待填）</w:t>
            </w:r>
            <w:r>
              <w:tab/>
            </w:r>
            <w:r>
              <w:fldChar w:fldCharType="begin"/>
            </w:r>
            <w:r>
              <w:instrText xml:space="preserve"> PAGEREF _Toc100069 \h </w:instrText>
            </w:r>
            <w:r>
              <w:fldChar w:fldCharType="separate"/>
            </w:r>
            <w:r>
              <w:t>47</w:t>
            </w:r>
            <w:r>
              <w:fldChar w:fldCharType="end"/>
            </w:r>
          </w:hyperlink>
        </w:p>
        <w:p>
          <w:pPr>
            <w:pStyle w:val="11"/>
            <w:ind w:left="360"/>
            <w:tabs>
              <w:tab w:val="right" w:leader="dot" w:pos="9026"/>
            </w:tabs>
            <w:spacing w:before="120" w:after="60"/>
          </w:pPr>
          <w:hyperlink w:anchor="_Toc100070" w:history="1">
            <w:r>
              <w:rPr>
                <w:rStyle w:val="Hyperlink"/>
              </w:rPr>
              <w:t>3.6  实施路线与阶段计划</w:t>
            </w:r>
            <w:r>
              <w:tab/>
            </w:r>
            <w:r>
              <w:fldChar w:fldCharType="begin"/>
            </w:r>
            <w:r>
              <w:instrText xml:space="preserve"> PAGEREF _Toc100070 \h </w:instrText>
            </w:r>
            <w:r>
              <w:fldChar w:fldCharType="separate"/>
            </w:r>
            <w:r>
              <w:t>47</w:t>
            </w:r>
            <w:r>
              <w:fldChar w:fldCharType="end"/>
            </w:r>
          </w:hyperlink>
        </w:p>
        <w:p>
          <w:pPr>
            <w:pStyle w:val="9"/>
            <w:tabs>
              <w:tab w:val="right" w:leader="dot" w:pos="9026"/>
            </w:tabs>
            <w:spacing w:before="120" w:after="60"/>
          </w:pPr>
          <w:hyperlink w:anchor="_Toc100071" w:history="1">
            <w:r>
              <w:rPr>
                <w:rStyle w:val="Hyperlink"/>
              </w:rPr>
              <w:t>参考文献</w:t>
            </w:r>
            <w:r>
              <w:tab/>
            </w:r>
            <w:r>
              <w:fldChar w:fldCharType="begin"/>
            </w:r>
            <w:r>
              <w:instrText xml:space="preserve"> PAGEREF _Toc100071 \h </w:instrText>
            </w:r>
            <w:r>
              <w:fldChar w:fldCharType="separate"/>
            </w:r>
            <w:r>
              <w:t>48</w:t>
            </w:r>
            <w:r>
              <w:fldChar w:fldCharType="end"/>
            </w:r>
          </w:hyperlink>
        </w:p>
        <w:p>
          <w:r>
            <w:fldChar w:fldCharType="end"/>
          </w:r>
        </w:p>
      </w:sdtContent>
    </w:sdt>
    <w:p>
      <w:pPr>
        <w:spacing w:before="200"/>
      </w:pPr>
      <w:r>
        <w:rPr>
          <w:rFonts w:ascii="Times New Roman" w:eastAsia="宋体"/>
          <w:i/>
          <w:iCs/>
          <w:color w:val="888888"/>
          <w:sz w:val="18"/>
          <w:szCs w:val="18"/>
        </w:rPr>
        <w:t xml:space="preserve">注：本目录由域代码生成。编辑文档后，请在目录上单击右键选择“更新域”刷新页码。</w:t>
      </w:r>
    </w:p>
    <w:p>
      <w:pPr>
        <w:sectPr>
          <w:footerReference w:type="default" r:id="rId6"/>
          <w:type w:val="nextPage"/>
          <w:pgSz w:w="12240" w:h="15840" w:orient="portrait"/>
          <w:pgMar w:top="1701" w:right="1418" w:bottom="1134" w:left="1418" w:header="720" w:footer="720" w:gutter="0"/>
          <w:pgNumType w:start="1" w:fmt="upperRoman"/>
          <w:docGrid w:linePitch="360"/>
        </w:sectPr>
      </w:pPr>
    </w:p>
    <w:p>
      <w:pPr>
        <w:pStyle w:val="Heading1"/>
        <w:spacing w:after="120" w:before="120" w:line="400" w:lineRule="exact"/>
        <w:jc w:val="center"/>
      </w:pPr>
      <w:bookmarkStart w:id="100001" w:name="_Toc100001"/>
      <w:r>
        <w:rPr>
          <w:rFonts w:ascii="Times New Roman" w:eastAsia="黑体"/>
          <w:color w:val="000000"/>
          <w:sz w:val="32"/>
          <w:szCs w:val="32"/>
        </w:rPr>
        <w:t xml:space="preserve">第一章  绪论</w:t>
      </w:r>
      <w:bookmarkEnd w:id="100001"/>
    </w:p>
    <w:p>
      <w:pPr>
        <w:pStyle w:val="Heading2"/>
        <w:spacing w:after="120" w:before="120" w:line="360" w:lineRule="auto"/>
      </w:pPr>
      <w:bookmarkStart w:id="100002" w:name="_Toc100002"/>
      <w:r>
        <w:rPr>
          <w:rFonts w:ascii="Times New Roman" w:eastAsia="黑体"/>
          <w:color w:val="000000"/>
          <w:sz w:val="28"/>
          <w:szCs w:val="28"/>
        </w:rPr>
        <w:t xml:space="preserve">1.1  项目背景：政策与标准引领</w:t>
      </w:r>
      <w:bookmarkEnd w:id="100002"/>
    </w:p>
    <w:p>
      <w:pPr>
        <w:spacing w:after="0" w:before="0" w:line="360" w:lineRule="auto"/>
        <w:ind w:firstLine="480"/>
        <w:jc w:val="both"/>
      </w:pPr>
      <w:r>
        <w:rPr>
          <w:rFonts w:ascii="Times New Roman" w:eastAsia="宋体"/>
          <w:b w:val="false"/>
          <w:bCs w:val="false"/>
          <w:color w:val="000000"/>
          <w:sz w:val="24"/>
          <w:szCs w:val="24"/>
        </w:rPr>
        <w:t xml:space="preserve">嵌入式软件的代码级检测并非单纯的技术选型问题，而是由法律法规、国家标准、行业标准和编码规范共同构成的合规要求体系。本节按效力层级逐项列明可核查的文件编号与年份，并以量化数据说明立项的时间窗口。</w:t>
      </w:r>
    </w:p>
    <w:p>
      <w:pPr>
        <w:pStyle w:val="Heading3"/>
        <w:spacing w:after="80" w:before="80" w:line="360" w:lineRule="auto"/>
      </w:pPr>
      <w:bookmarkStart w:id="100003" w:name="_Toc100003"/>
      <w:r>
        <w:rPr>
          <w:rFonts w:ascii="Times New Roman" w:eastAsia="宋体"/>
          <w:b/>
          <w:bCs/>
          <w:color w:val="000000"/>
          <w:sz w:val="24"/>
          <w:szCs w:val="24"/>
        </w:rPr>
        <w:t xml:space="preserve">1.1.1  法律法规与国家标准</w:t>
      </w:r>
      <w:bookmarkEnd w:id="100003"/>
    </w:p>
    <w:p>
      <w:pPr>
        <w:spacing w:after="0" w:before="0" w:line="360" w:lineRule="auto"/>
        <w:ind w:firstLine="480"/>
        <w:jc w:val="both"/>
      </w:pPr>
      <w:r>
        <w:rPr>
          <w:rFonts w:ascii="Times New Roman" w:eastAsia="宋体"/>
          <w:b/>
          <w:bCs/>
          <w:color w:val="000000"/>
          <w:sz w:val="24"/>
          <w:szCs w:val="24"/>
        </w:rPr>
        <w:t xml:space="preserve">（1）法律法规。</w:t>
      </w:r>
      <w:r>
        <w:rPr>
          <w:rFonts w:ascii="Times New Roman" w:eastAsia="宋体"/>
          <w:color w:val="000000"/>
          <w:sz w:val="24"/>
          <w:szCs w:val="24"/>
        </w:rPr>
        <w:t xml:space="preserve">《中华人民共和国网络安全法》于 2016 年通过、2017 年 6 月 1 日施行，2025 年 10 月完成首次修正并于 2026 年 1 月 1 日施行，进一步压实网络运营者的漏洞处置责任[1]；《关键信息基础设施安全保护条例》（国务院令第 745 号）自 2021 年 9 月 1 日施行，将能源、交通、水利、工业制造等行业的工控系统纳入重点保护范围并明确检测义务[2]；《中华人民共和国数据安全法》自 2021 年 9 月 1 日施行[3]。三部法律法规共同构成嵌入式软件（尤其关基场景）开展安全检测的法定依据。</w:t>
      </w:r>
    </w:p>
    <w:p>
      <w:pPr>
        <w:spacing w:after="0" w:before="0" w:line="360" w:lineRule="auto"/>
        <w:ind w:firstLine="480"/>
        <w:jc w:val="both"/>
      </w:pPr>
      <w:r>
        <w:rPr>
          <w:rFonts w:ascii="Times New Roman" w:eastAsia="宋体"/>
          <w:b/>
          <w:bCs/>
          <w:color w:val="000000"/>
          <w:sz w:val="24"/>
          <w:szCs w:val="24"/>
        </w:rPr>
        <w:t xml:space="preserve">（2）国家标准。</w:t>
      </w:r>
      <w:r>
        <w:rPr>
          <w:rFonts w:ascii="Times New Roman" w:eastAsia="宋体"/>
          <w:color w:val="000000"/>
          <w:sz w:val="24"/>
          <w:szCs w:val="24"/>
        </w:rPr>
        <w:t xml:space="preserve">GB/T 22239-2019《信息安全技术 网络安全等级保护基本要求》（等保 2.0）于 2019 年发布、同年 12 月实施，将安全要求从网络层延伸至应用与数据层[4]；GB/T 38674-2020《信息安全技术 应用软件安全编程指南》于 2020 年发布，给出覆盖 C/C++ 等语言的安全编程与检测基线[5]；GB/T 30279-2020《信息安全技术 网络安全漏洞分类分级指南》为漏洞分级提供国家口径[6]。功能安全侧，GB/T 34590-2022《道路车辆 功能安全》等同采用 ISO 26262:2018 并于 2023 年 7 月实施[7]，GB/T 20438-2017 系列等同采用 IEC 61508:2010[8]。</w:t>
      </w:r>
    </w:p>
    <w:p>
      <w:pPr>
        <w:pStyle w:val="Heading3"/>
        <w:spacing w:after="80" w:before="80" w:line="360" w:lineRule="auto"/>
      </w:pPr>
      <w:bookmarkStart w:id="100004" w:name="_Toc100004"/>
      <w:r>
        <w:rPr>
          <w:rFonts w:ascii="Times New Roman" w:eastAsia="宋体"/>
          <w:b/>
          <w:bCs/>
          <w:color w:val="000000"/>
          <w:sz w:val="24"/>
          <w:szCs w:val="24"/>
        </w:rPr>
        <w:t xml:space="preserve">1.1.2  行业标准与编码规范</w:t>
      </w:r>
      <w:bookmarkEnd w:id="100004"/>
    </w:p>
    <w:p>
      <w:pPr>
        <w:spacing w:after="0" w:before="0" w:line="360" w:lineRule="auto"/>
        <w:ind w:firstLine="480"/>
        <w:jc w:val="both"/>
      </w:pPr>
      <w:r>
        <w:rPr>
          <w:rFonts w:ascii="Times New Roman" w:eastAsia="宋体"/>
          <w:b/>
          <w:bCs/>
          <w:color w:val="000000"/>
          <w:sz w:val="24"/>
          <w:szCs w:val="24"/>
        </w:rPr>
        <w:t xml:space="preserve">（1）汽车电子（本系统默认行业之一）。</w:t>
      </w:r>
      <w:r>
        <w:rPr>
          <w:rFonts w:ascii="Times New Roman" w:eastAsia="宋体"/>
          <w:color w:val="000000"/>
          <w:sz w:val="24"/>
          <w:szCs w:val="24"/>
        </w:rPr>
        <w:t xml:space="preserve">ISO 26262 系列对软件单元验证规定了随汽车安全完整性等级（Automotive Safety Integrity Level, ASIL）递增的方法强度：静态分析在 ASIL D 为强推荐项，结构覆盖率最高要求达到修正条件/判定覆盖（Modified Condition/Decision Coverage, MC/DC）[7]。网络安全侧，ISO/SAE 21434:2021 将网络安全工程贯穿车辆全生命周期[13]；联合国法规 UNECE R155 自 2021 年生效、2022 年 7 月起对新车型强制[14]；欧盟《网络弹性法案》（Cyber Resilience Act, Regulation (EU) 2024/2847）已于 2024 年 12 月生效，漏洞报告义务自 2026 年 9 月 11 日起适用[15]。</w:t>
      </w:r>
    </w:p>
    <w:p>
      <w:pPr>
        <w:spacing w:after="0" w:before="0" w:line="360" w:lineRule="auto"/>
        <w:ind w:firstLine="480"/>
        <w:jc w:val="both"/>
      </w:pPr>
      <w:r>
        <w:rPr>
          <w:rFonts w:ascii="Times New Roman" w:eastAsia="宋体"/>
          <w:b/>
          <w:bCs/>
          <w:color w:val="000000"/>
          <w:sz w:val="24"/>
          <w:szCs w:val="24"/>
        </w:rPr>
        <w:t xml:space="preserve">（2）工业控制（本系统默认行业之二）。</w:t>
      </w:r>
      <w:r>
        <w:rPr>
          <w:rFonts w:ascii="Times New Roman" w:eastAsia="宋体"/>
          <w:color w:val="000000"/>
          <w:sz w:val="24"/>
          <w:szCs w:val="24"/>
        </w:rPr>
        <w:t xml:space="preserve">IEC 61508（GB/T 20438-2017）对软件在较高安全完整性等级要求使用编码标准子集与静态分析[8]。轨道交通领域，EN 50128 已被 EN 50716:2023 取代，新标准统一了轨交软件的开发与验证要求[16]。</w:t>
      </w:r>
    </w:p>
    <w:p>
      <w:pPr>
        <w:spacing w:after="0" w:before="0" w:line="360" w:lineRule="auto"/>
        <w:ind w:firstLine="480"/>
        <w:jc w:val="both"/>
      </w:pPr>
      <w:r>
        <w:rPr>
          <w:rFonts w:ascii="Times New Roman" w:eastAsia="宋体"/>
          <w:b/>
          <w:bCs/>
          <w:color w:val="000000"/>
          <w:sz w:val="24"/>
          <w:szCs w:val="24"/>
        </w:rPr>
        <w:t xml:space="preserve">（3）航空航天与军工（扩展行业）。</w:t>
      </w:r>
      <w:r>
        <w:rPr>
          <w:rFonts w:ascii="Times New Roman" w:eastAsia="宋体"/>
          <w:color w:val="000000"/>
          <w:sz w:val="24"/>
          <w:szCs w:val="24"/>
        </w:rPr>
        <w:t xml:space="preserve">DO-178C 按设计保证等级（Design Assurance Level, DAL）要求结构覆盖率，A 级强制 MC/DC，且明确规定静态分析不能替代动态测试；GJB 8114-2013《C/C++ 语言编程安全子集》规定 124 条强制性检查规则，GJB 5369-2005《航天型号软件 C 语言安全子集》规定 138 条规则，两者构成国内军品嵌入式软件静态检测的事实基线（军用标准不公开发行，依据标准编号引用）。</w:t>
      </w:r>
    </w:p>
    <w:p>
      <w:pPr>
        <w:spacing w:after="0" w:before="0" w:line="360" w:lineRule="auto"/>
        <w:ind w:firstLine="480"/>
        <w:jc w:val="both"/>
      </w:pPr>
      <w:r>
        <w:rPr>
          <w:rFonts w:ascii="Times New Roman" w:eastAsia="宋体"/>
          <w:b/>
          <w:bCs/>
          <w:color w:val="000000"/>
          <w:sz w:val="24"/>
          <w:szCs w:val="24"/>
        </w:rPr>
        <w:t xml:space="preserve">（4）编码规范。</w:t>
      </w:r>
      <w:r>
        <w:rPr>
          <w:rFonts w:ascii="Times New Roman" w:eastAsia="宋体"/>
          <w:color w:val="000000"/>
          <w:sz w:val="24"/>
          <w:szCs w:val="24"/>
        </w:rPr>
        <w:t xml:space="preserve">MISRA（Motor Industry Software Reliability Association）C:2012 于 2013 年发布并经四次修订（AMD1 2016、AMD2 2020、AMD3 2022、AMD4 2023），其整合版 MISRA C:2023 已发布，MISRA C:2025 于 2025 年 3 月发布[17]；美国卡内基梅隆大学软件工程研究所（SEI）发布的 CERT C 编码标准提供 98 条安全编码规则并与 CWE 建立官方映射[18]；MITRE 组织每年发布的通用缺陷枚举（Common Weakness Enumeration, CWE）Top 25 榜单（2025 版基于约 39,080 条 CVE）是漏洞类型优先级排序的权威参考[19]。</w:t>
      </w:r>
    </w:p>
    <w:p>
      <w:pPr>
        <w:pStyle w:val="Heading3"/>
        <w:spacing w:after="80" w:before="80" w:line="360" w:lineRule="auto"/>
      </w:pPr>
      <w:bookmarkStart w:id="100005" w:name="_Toc100005"/>
      <w:r>
        <w:rPr>
          <w:rFonts w:ascii="Times New Roman" w:eastAsia="宋体"/>
          <w:b/>
          <w:bCs/>
          <w:color w:val="000000"/>
          <w:sz w:val="24"/>
          <w:szCs w:val="24"/>
        </w:rPr>
        <w:t xml:space="preserve">1.1.3  产业规划与“为什么是现在”的量化证据</w:t>
      </w:r>
      <w:bookmarkEnd w:id="100005"/>
    </w:p>
    <w:p>
      <w:pPr>
        <w:spacing w:after="0" w:before="0" w:line="360" w:lineRule="auto"/>
        <w:ind w:firstLine="480"/>
        <w:jc w:val="both"/>
      </w:pPr>
      <w:r>
        <w:rPr>
          <w:rFonts w:ascii="Times New Roman" w:eastAsia="宋体"/>
          <w:b w:val="false"/>
          <w:bCs w:val="false"/>
          <w:color w:val="000000"/>
          <w:sz w:val="24"/>
          <w:szCs w:val="24"/>
        </w:rPr>
        <w:t xml:space="preserve">产业规划方面，工信部《“十四五”软件和信息技术服务业发展规划》（工信部规〔2021〕180 号）明确将工业软件与嵌入式软件列为补短板重点[9]；国务院《新能源汽车产业发展规划（2021—2035 年）》（国办发〔2020〕39 号）推动整车电子电气架构软件化[10]；《工业互联网创新发展行动计划（2021—2023 年）》（工信部信管〔2020〕197 号）与《“十四五”国家信息化规划》对工业互联网设备与关基系统安全提出要求[11][12]。</w:t>
      </w:r>
    </w:p>
    <w:p>
      <w:pPr>
        <w:spacing w:after="0" w:before="0" w:line="360" w:lineRule="auto"/>
        <w:ind w:firstLine="480"/>
        <w:jc w:val="both"/>
      </w:pPr>
      <w:r>
        <w:rPr>
          <w:rFonts w:ascii="Times New Roman" w:eastAsia="宋体"/>
          <w:b w:val="false"/>
          <w:bCs w:val="false"/>
          <w:color w:val="000000"/>
          <w:sz w:val="24"/>
          <w:szCs w:val="24"/>
        </w:rPr>
        <w:t xml:space="preserve">量化证据方面，本报告仅引用可核查数据：其一，据 SynSaber 对美国网络安全和基础设施安全局（CISA）工业控制系统（Industrial Control System, ICS）安全通告的统计，2022 年 ICS 通告共揭示 1,342 个 ICS 漏洞，2020 至 2022 年漏洞数量增长约 144%[20]；其二，Microsoft 2021 年调查显示 80% 的受访企业过去两年内遭遇过至少一次固件攻击[21]；其三，Upstream《2025 全球汽车网络安全报告》统计 2024 年公开报道的汽车网络安全事件达 409 起（2023 年为 295 起），其中可大规模影响车辆群的事件占比升至 19%[22]；其四，2024 年美国车辆召回约 2,890 万辆，其中约 46% 涉及软件问题（2023 年该比例为 14.2%，不同统计口径存在差异，见来源说明）[23]；其五，CISQ 估算 2022 年美国软件劣质成本约 2.41 万亿美元[24]。</w:t>
      </w:r>
    </w:p>
    <w:p>
      <w:pPr>
        <w:spacing w:after="0" w:before="0" w:line="360" w:lineRule="auto"/>
        <w:ind w:firstLine="480"/>
        <w:jc w:val="both"/>
      </w:pPr>
      <w:r>
        <w:rPr>
          <w:rFonts w:ascii="Times New Roman" w:eastAsia="宋体"/>
          <w:b w:val="false"/>
          <w:bCs w:val="false"/>
          <w:color w:val="000000"/>
          <w:sz w:val="24"/>
          <w:szCs w:val="24"/>
        </w:rPr>
        <w:t xml:space="preserve">上述合规压力与安全态势共同界定了立项窗口：漏洞增长与软件化趋势使检测需求刚性化，而现有工具在嵌入式场景的能力缺口（详见第二章）尚未被填补，</w:t>
      </w:r>
      <w:r>
        <w:rPr>
          <w:rFonts w:ascii="Times New Roman" w:eastAsia="宋体"/>
          <w:b/>
          <w:bCs/>
          <w:color w:val="000000"/>
          <w:sz w:val="24"/>
          <w:szCs w:val="24"/>
        </w:rPr>
        <w:t xml:space="preserve">此时构建面向嵌入式的代码缺陷与安全漏洞检测系统具备明确的必要性与时效性。</w:t>
      </w:r>
    </w:p>
    <w:p>
      <w:pPr>
        <w:pStyle w:val="Heading2"/>
        <w:spacing w:after="120" w:before="120" w:line="360" w:lineRule="auto"/>
      </w:pPr>
      <w:bookmarkStart w:id="100006" w:name="_Toc100006"/>
      <w:r>
        <w:rPr>
          <w:rFonts w:ascii="Times New Roman" w:eastAsia="黑体"/>
          <w:color w:val="000000"/>
          <w:sz w:val="28"/>
          <w:szCs w:val="28"/>
        </w:rPr>
        <w:t xml:space="preserve">1.2  嵌入式软件与通用软件的本质差异</w:t>
      </w:r>
      <w:bookmarkEnd w:id="100006"/>
    </w:p>
    <w:p>
      <w:pPr>
        <w:spacing w:after="0" w:before="0" w:line="360" w:lineRule="auto"/>
        <w:ind w:firstLine="480"/>
        <w:jc w:val="both"/>
      </w:pPr>
      <w:r>
        <w:rPr>
          <w:rFonts w:ascii="Times New Roman" w:eastAsia="宋体"/>
          <w:b w:val="false"/>
          <w:bCs w:val="false"/>
          <w:color w:val="000000"/>
          <w:sz w:val="24"/>
          <w:szCs w:val="24"/>
        </w:rPr>
        <w:t xml:space="preserve">通用代码检测工具的默认假设（类 UNIX 桌面环境、完整标准库、操作系统进程隔离、源码可直接编译）在嵌入式场景大面积失效。本节将差异归纳为七个维度并逐项说明其对检测技术的影响，这是全篇“为什么要单独做嵌入式检测”的立论根基。</w:t>
      </w:r>
    </w:p>
    <w:p>
      <w:pPr>
        <w:spacing w:after="0" w:before="0" w:line="360" w:lineRule="auto"/>
        <w:ind w:firstLine="480"/>
        <w:jc w:val="both"/>
      </w:pPr>
      <w:r>
        <w:rPr>
          <w:rFonts w:ascii="Times New Roman" w:eastAsia="宋体"/>
          <w:b/>
          <w:bCs/>
          <w:color w:val="000000"/>
          <w:sz w:val="24"/>
          <w:szCs w:val="24"/>
        </w:rPr>
        <w:t xml:space="preserve">（1）资源受限。</w:t>
      </w:r>
      <w:r>
        <w:rPr>
          <w:rFonts w:ascii="Times New Roman" w:eastAsia="宋体"/>
          <w:color w:val="000000"/>
          <w:sz w:val="24"/>
          <w:szCs w:val="24"/>
        </w:rPr>
        <w:t xml:space="preserve">目标平台内存以千字节计、无虚拟内存与内存管理单元（Memory Management Unit, MMU），堆分配常被禁用。检测影响：越界写不会触发段错误而是静默破坏相邻任务内存，缺陷暴露点远离触发点；运行时检测工具（如 AddressSanitizer）因依赖页保护机制在裸机平台不可用。</w:t>
      </w:r>
    </w:p>
    <w:p>
      <w:pPr>
        <w:spacing w:after="0" w:before="0" w:line="360" w:lineRule="auto"/>
        <w:ind w:firstLine="480"/>
        <w:jc w:val="both"/>
      </w:pPr>
      <w:r>
        <w:rPr>
          <w:rFonts w:ascii="Times New Roman" w:eastAsia="宋体"/>
          <w:b/>
          <w:bCs/>
          <w:color w:val="000000"/>
          <w:sz w:val="24"/>
          <w:szCs w:val="24"/>
        </w:rPr>
        <w:t xml:space="preserve">（2）强实时性。</w:t>
      </w:r>
      <w:r>
        <w:rPr>
          <w:rFonts w:ascii="Times New Roman" w:eastAsia="宋体"/>
          <w:color w:val="000000"/>
          <w:sz w:val="24"/>
          <w:szCs w:val="24"/>
        </w:rPr>
        <w:t xml:space="preserve">任务有截止期约束，需要论证最坏情况执行时间（Worst-Case Execution Time, WCET）。检测影响：代码模式（动态分配、递归、无界循环）本身成为缺陷；时序缺陷无法靠输入遍历发现。</w:t>
      </w:r>
    </w:p>
    <w:p>
      <w:pPr>
        <w:spacing w:after="0" w:before="0" w:line="360" w:lineRule="auto"/>
        <w:ind w:firstLine="480"/>
        <w:jc w:val="both"/>
      </w:pPr>
      <w:r>
        <w:rPr>
          <w:rFonts w:ascii="Times New Roman" w:eastAsia="宋体"/>
          <w:b/>
          <w:bCs/>
          <w:color w:val="000000"/>
          <w:sz w:val="24"/>
          <w:szCs w:val="24"/>
        </w:rPr>
        <w:t xml:space="preserve">（3）硬件强耦合。</w:t>
      </w:r>
      <w:r>
        <w:rPr>
          <w:rFonts w:ascii="Times New Roman" w:eastAsia="宋体"/>
          <w:color w:val="000000"/>
          <w:sz w:val="24"/>
          <w:szCs w:val="24"/>
        </w:rPr>
        <w:t xml:space="preserve">代码经内存映射输入输出（Memory-Mapped I/O, MMIO）直接读写外设寄存器，行为依赖芯片手册。检测影响：分析器必须理解“对地址 0x40021000 的写入”的语义，否则大量告警不可判定（详见 2.6）。</w:t>
      </w:r>
    </w:p>
    <w:p>
      <w:pPr>
        <w:spacing w:after="0" w:before="0" w:line="360" w:lineRule="auto"/>
        <w:ind w:firstLine="480"/>
        <w:jc w:val="both"/>
      </w:pPr>
      <w:r>
        <w:rPr>
          <w:rFonts w:ascii="Times New Roman" w:eastAsia="宋体"/>
          <w:b/>
          <w:bCs/>
          <w:color w:val="000000"/>
          <w:sz w:val="24"/>
          <w:szCs w:val="24"/>
        </w:rPr>
        <w:t xml:space="preserve">（4）交叉编译。</w:t>
      </w:r>
      <w:r>
        <w:rPr>
          <w:rFonts w:ascii="Times New Roman" w:eastAsia="宋体"/>
          <w:color w:val="000000"/>
          <w:sz w:val="24"/>
          <w:szCs w:val="24"/>
        </w:rPr>
        <w:t xml:space="preserve">宿主机与目标机指令集、字长、对齐不同，构建由交叉工具链完成且配置分散。检测影响：通用工具依赖的编译数据库在嵌入式工程中经常缺失或不可复现（详见 P1）。</w:t>
      </w:r>
    </w:p>
    <w:p>
      <w:pPr>
        <w:spacing w:after="0" w:before="0" w:line="360" w:lineRule="auto"/>
        <w:ind w:firstLine="480"/>
        <w:jc w:val="both"/>
      </w:pPr>
      <w:r>
        <w:rPr>
          <w:rFonts w:ascii="Times New Roman" w:eastAsia="宋体"/>
          <w:b/>
          <w:bCs/>
          <w:color w:val="000000"/>
          <w:sz w:val="24"/>
          <w:szCs w:val="24"/>
        </w:rPr>
        <w:t xml:space="preserve">（5）裸机与实时操作系统（Real-Time Operating System, RTOS）环境。</w:t>
      </w:r>
      <w:r>
        <w:rPr>
          <w:rFonts w:ascii="Times New Roman" w:eastAsia="宋体"/>
          <w:color w:val="000000"/>
          <w:sz w:val="24"/>
          <w:szCs w:val="24"/>
        </w:rPr>
        <w:t xml:space="preserve">并发单位是中断服务程序（Interrupt Service Routine, ISR）与 RTOS 任务而非线程，调度语义由 RTOS API 定义。检测影响：通用数据竞争模型基于线程共享内存假设，对 ISR 与任务间竞争普遍漏报（详见 P2）。</w:t>
      </w:r>
    </w:p>
    <w:p>
      <w:pPr>
        <w:spacing w:after="0" w:before="0" w:line="360" w:lineRule="auto"/>
        <w:ind w:firstLine="480"/>
        <w:jc w:val="both"/>
      </w:pPr>
      <w:r>
        <w:rPr>
          <w:rFonts w:ascii="Times New Roman" w:eastAsia="宋体"/>
          <w:b/>
          <w:bCs/>
          <w:color w:val="000000"/>
          <w:sz w:val="24"/>
          <w:szCs w:val="24"/>
        </w:rPr>
        <w:t xml:space="preserve">（6）长生命周期、难打补丁。</w:t>
      </w:r>
      <w:r>
        <w:rPr>
          <w:rFonts w:ascii="Times New Roman" w:eastAsia="宋体"/>
          <w:color w:val="000000"/>
          <w:sz w:val="24"/>
          <w:szCs w:val="24"/>
        </w:rPr>
        <w:t xml:space="preserve">设备服役十年以上，现场升级成本高甚至物理不可达。检测影响：缺陷必须在出厂前拦截，对漏报的容忍度远低于通用软件。</w:t>
      </w:r>
    </w:p>
    <w:p>
      <w:pPr>
        <w:spacing w:after="0" w:before="0" w:line="360" w:lineRule="auto"/>
        <w:ind w:firstLine="480"/>
        <w:jc w:val="both"/>
      </w:pPr>
      <w:r>
        <w:rPr>
          <w:rFonts w:ascii="Times New Roman" w:eastAsia="宋体"/>
          <w:b/>
          <w:bCs/>
          <w:color w:val="000000"/>
          <w:sz w:val="24"/>
          <w:szCs w:val="24"/>
        </w:rPr>
        <w:t xml:space="preserve">（7）失效代价高。</w:t>
      </w:r>
      <w:r>
        <w:rPr>
          <w:rFonts w:ascii="Times New Roman" w:eastAsia="宋体"/>
          <w:color w:val="000000"/>
          <w:sz w:val="24"/>
          <w:szCs w:val="24"/>
        </w:rPr>
        <w:t xml:space="preserve">汽车、工业场景的失效直接关联人身与生产安全，受 1.1 节所述标准强制约束。检测影响：检测结果需满足可追溯与可证明性要求，单纯“报告式”输出不满足合规证据链要求。</w:t>
      </w:r>
    </w:p>
    <w:p>
      <w:pPr>
        <w:keepNext/>
        <w:spacing w:after="80" w:before="200" w:line="300" w:lineRule="atLeast"/>
        <w:jc w:val="left"/>
      </w:pPr>
      <w:r>
        <w:rPr>
          <w:rFonts w:ascii="Times New Roman" w:eastAsia="宋体"/>
          <w:color w:val="000000"/>
          <w:sz w:val="21"/>
          <w:szCs w:val="21"/>
        </w:rPr>
        <w:t xml:space="preserve">表 1-1  嵌入式软件与通用软件的本质差异及其检测影响</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3762"/>
        <w:gridCol w:w="4326"/>
      </w:tblGrid>
      <w:tr>
        <w:trPr>
          <w:cantSplit/>
          <w:tblHeader/>
        </w:trPr>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差异维度</w:t>
            </w:r>
          </w:p>
        </w:tc>
        <w:tc>
          <w:tcPr>
            <w:tcW w:type="pct" w:w="2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嵌入式场景特征</w:t>
            </w:r>
          </w:p>
        </w:tc>
        <w:tc>
          <w:tcPr>
            <w:tcW w:type="pct" w:w="2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对检测技术的影响</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资源受限</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内存千字节级、无 MMU、常禁堆</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越界写静默破坏内存；ASan 等运行时工具不可用</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强实时性</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任务截止期、WCET 约束</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动态分配/递归/无界循环成为缺陷；时序缺陷难遍历</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硬件强耦合</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MMIO 寄存器直接读写、依赖芯片手册</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寄存器访问语义需显式建模，否则告警不可判定</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交叉编译</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交叉工具链、构建配置分散</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编译数据库缺失，通用工具导入失败</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裸机/RTOS</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并发单位为 ISR 与任务，API 定义调度语义</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线程模型的数据竞争检测漏报 ISR 竞争</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长生命周期</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服役十年以上、现场升级困难</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缺陷须出厂前拦截，漏报容忍度极低</w:t>
            </w:r>
          </w:p>
        </w:tc>
      </w:tr>
      <w:tr>
        <w:trPr>
          <w:cantSplit/>
        </w:trPr>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失效代价高</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关联人身与生产安全、受标准强制</w:t>
            </w:r>
          </w:p>
        </w:tc>
        <w:tc>
          <w:tcPr>
            <w:tcW w:type="pct" w:w="2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检测结果须可追溯、可证明，满足合规证据链</w:t>
            </w:r>
          </w:p>
        </w:tc>
      </w:tr>
    </w:tbl>
    <w:p>
      <w:pPr>
        <w:pStyle w:val="Heading2"/>
        <w:spacing w:after="120" w:before="120" w:line="360" w:lineRule="auto"/>
      </w:pPr>
      <w:bookmarkStart w:id="100007" w:name="_Toc100007"/>
      <w:r>
        <w:rPr>
          <w:rFonts w:ascii="Times New Roman" w:eastAsia="黑体"/>
          <w:color w:val="000000"/>
          <w:sz w:val="28"/>
          <w:szCs w:val="28"/>
        </w:rPr>
        <w:t xml:space="preserve">1.3  嵌入式编程语言全景</w:t>
      </w:r>
      <w:bookmarkEnd w:id="100007"/>
    </w:p>
    <w:p>
      <w:pPr>
        <w:spacing w:after="0" w:before="0" w:line="360" w:lineRule="auto"/>
        <w:ind w:firstLine="480"/>
        <w:jc w:val="both"/>
      </w:pPr>
      <w:r>
        <w:rPr>
          <w:rFonts w:ascii="Times New Roman" w:eastAsia="宋体"/>
          <w:b w:val="false"/>
          <w:bCs w:val="false"/>
          <w:color w:val="000000"/>
          <w:sz w:val="24"/>
          <w:szCs w:val="24"/>
        </w:rPr>
        <w:t xml:space="preserve">嵌入式软件并非只有 C/C++。按行业分布与工程实践，与代码检测相关的语言可分为九类，本系统按“C/C++ 为主、兼顾汇编与 Rust 趋势”的口径划定范围，其余语言作为兼容性预留。</w:t>
      </w:r>
    </w:p>
    <w:p>
      <w:pPr>
        <w:spacing w:after="0" w:before="0" w:line="360" w:lineRule="auto"/>
        <w:ind w:firstLine="480"/>
        <w:jc w:val="both"/>
      </w:pPr>
      <w:r>
        <w:rPr>
          <w:rFonts w:ascii="Times New Roman" w:eastAsia="宋体"/>
          <w:b/>
          <w:bCs/>
          <w:color w:val="000000"/>
          <w:sz w:val="24"/>
          <w:szCs w:val="24"/>
        </w:rPr>
        <w:t xml:space="preserve">（1）C 语言。</w:t>
      </w:r>
      <w:r>
        <w:rPr>
          <w:rFonts w:ascii="Times New Roman" w:eastAsia="宋体"/>
          <w:color w:val="000000"/>
          <w:sz w:val="24"/>
          <w:szCs w:val="24"/>
        </w:rPr>
        <w:t xml:space="preserve">嵌入式绝对主力，覆盖裸机、RTOS 与嵌入式 Linux 内核态。检测难点集中在前述七个维度，尤其指针运算、隐式类型转换与未定义行为（Undefined Behavior, UB）。</w:t>
      </w:r>
    </w:p>
    <w:p>
      <w:pPr>
        <w:spacing w:after="0" w:before="0" w:line="360" w:lineRule="auto"/>
        <w:ind w:firstLine="480"/>
        <w:jc w:val="both"/>
      </w:pPr>
      <w:r>
        <w:rPr>
          <w:rFonts w:ascii="Times New Roman" w:eastAsia="宋体"/>
          <w:b/>
          <w:bCs/>
          <w:color w:val="000000"/>
          <w:sz w:val="24"/>
          <w:szCs w:val="24"/>
        </w:rPr>
        <w:t xml:space="preserve">（2）C++ 语言。</w:t>
      </w:r>
      <w:r>
        <w:rPr>
          <w:rFonts w:ascii="Times New Roman" w:eastAsia="宋体"/>
          <w:color w:val="000000"/>
          <w:sz w:val="24"/>
          <w:szCs w:val="24"/>
        </w:rPr>
        <w:t xml:space="preserve">用于复杂车载域控与工控上位机，子集受 AUTOSAR C++14 与 MISRA C++:2023 约束。检测难点为对象生命周期、异常与模板实例化爆炸。</w:t>
      </w:r>
    </w:p>
    <w:p>
      <w:pPr>
        <w:spacing w:after="0" w:before="0" w:line="360" w:lineRule="auto"/>
        <w:ind w:firstLine="480"/>
        <w:jc w:val="both"/>
      </w:pPr>
      <w:r>
        <w:rPr>
          <w:rFonts w:ascii="Times New Roman" w:eastAsia="宋体"/>
          <w:b/>
          <w:bCs/>
          <w:color w:val="000000"/>
          <w:sz w:val="24"/>
          <w:szCs w:val="24"/>
        </w:rPr>
        <w:t xml:space="preserve">（3）汇编（ARM/Thumb、RISC-V、8051、PowerPC）。</w:t>
      </w:r>
      <w:r>
        <w:rPr>
          <w:rFonts w:ascii="Times New Roman" w:eastAsia="宋体"/>
          <w:color w:val="000000"/>
          <w:sz w:val="24"/>
          <w:szCs w:val="24"/>
        </w:rPr>
        <w:t xml:space="preserve">启动代码、中断向量表与关键时序片段仍以汇编实现。检测难点为无中间表示可依赖，需反汇编级或模式级检查（对齐、原子性、寄存器约定）。</w:t>
      </w:r>
    </w:p>
    <w:p>
      <w:pPr>
        <w:spacing w:after="0" w:before="0" w:line="360" w:lineRule="auto"/>
        <w:ind w:firstLine="480"/>
        <w:jc w:val="both"/>
      </w:pPr>
      <w:r>
        <w:rPr>
          <w:rFonts w:ascii="Times New Roman" w:eastAsia="宋体"/>
          <w:b/>
          <w:bCs/>
          <w:color w:val="000000"/>
          <w:sz w:val="24"/>
          <w:szCs w:val="24"/>
        </w:rPr>
        <w:t xml:space="preserve">（4）Rust。</w:t>
      </w:r>
      <w:r>
        <w:rPr>
          <w:rFonts w:ascii="Times New Roman" w:eastAsia="宋体"/>
          <w:color w:val="000000"/>
          <w:sz w:val="24"/>
          <w:szCs w:val="24"/>
        </w:rPr>
        <w:t xml:space="preserve">以所有权与借用检查在语言层消除数据竞争与释放后使用（Use-After-Free, UAF），实时执行器框架 RTIC 与 Rust-for-Linux 推动其进入嵌入式。检测重点转移为 unsafe 块边界与 FFI 交互。本系统将其列为趋势跟踪项。</w:t>
      </w:r>
    </w:p>
    <w:p>
      <w:pPr>
        <w:spacing w:after="0" w:before="0" w:line="360" w:lineRule="auto"/>
        <w:ind w:firstLine="480"/>
        <w:jc w:val="both"/>
      </w:pPr>
      <w:r>
        <w:rPr>
          <w:rFonts w:ascii="Times New Roman" w:eastAsia="宋体"/>
          <w:b/>
          <w:bCs/>
          <w:color w:val="000000"/>
          <w:sz w:val="24"/>
          <w:szCs w:val="24"/>
        </w:rPr>
        <w:t xml:space="preserve">（5）IEC 61131-3 工控语言（ST/LD/FBD）。</w:t>
      </w:r>
      <w:r>
        <w:rPr>
          <w:rFonts w:ascii="Times New Roman" w:eastAsia="宋体"/>
          <w:color w:val="000000"/>
          <w:sz w:val="24"/>
          <w:szCs w:val="24"/>
        </w:rPr>
        <w:t xml:space="preserve">可编程逻辑控制器（PLC）编程标准语言，编译后多运行于专有 runtime。检测以规则检查与离线仿真为主，作为兼容预留。</w:t>
      </w:r>
    </w:p>
    <w:p>
      <w:pPr>
        <w:spacing w:after="0" w:before="0" w:line="360" w:lineRule="auto"/>
        <w:ind w:firstLine="480"/>
        <w:jc w:val="both"/>
      </w:pPr>
      <w:r>
        <w:rPr>
          <w:rFonts w:ascii="Times New Roman" w:eastAsia="宋体"/>
          <w:b/>
          <w:bCs/>
          <w:color w:val="000000"/>
          <w:sz w:val="24"/>
          <w:szCs w:val="24"/>
        </w:rPr>
        <w:t xml:space="preserve">（6）MATLAB/Simulink 生成代码。</w:t>
      </w:r>
      <w:r>
        <w:rPr>
          <w:rFonts w:ascii="Times New Roman" w:eastAsia="宋体"/>
          <w:color w:val="000000"/>
          <w:sz w:val="24"/>
          <w:szCs w:val="24"/>
        </w:rPr>
        <w:t xml:space="preserve">模型驱动开发在汽车控制策略中普遍使用，其生成 C 代码（Embedded Coder）有厂商保证，但手写接口与集成代码仍需检测，且生成代码风格对通用规则引擎不友好。</w:t>
      </w:r>
    </w:p>
    <w:p>
      <w:pPr>
        <w:spacing w:after="0" w:before="0" w:line="360" w:lineRule="auto"/>
        <w:ind w:firstLine="480"/>
        <w:jc w:val="both"/>
      </w:pPr>
      <w:r>
        <w:rPr>
          <w:rFonts w:ascii="Times New Roman" w:eastAsia="宋体"/>
          <w:b/>
          <w:bCs/>
          <w:color w:val="000000"/>
          <w:sz w:val="24"/>
          <w:szCs w:val="24"/>
        </w:rPr>
        <w:t xml:space="preserve">（7）MicroPython/Lua 脚本层。</w:t>
      </w:r>
      <w:r>
        <w:rPr>
          <w:rFonts w:ascii="Times New Roman" w:eastAsia="宋体"/>
          <w:color w:val="000000"/>
          <w:sz w:val="24"/>
          <w:szCs w:val="24"/>
        </w:rPr>
        <w:t xml:space="preserve">物联网网关与原型场景常用，类型动态导致静态保证弱，以运行时沙箱与字节码检查为主，列为预留。</w:t>
      </w:r>
    </w:p>
    <w:p>
      <w:pPr>
        <w:spacing w:after="0" w:before="0" w:line="360" w:lineRule="auto"/>
        <w:ind w:firstLine="480"/>
        <w:jc w:val="both"/>
      </w:pPr>
      <w:r>
        <w:rPr>
          <w:rFonts w:ascii="Times New Roman" w:eastAsia="宋体"/>
          <w:b/>
          <w:bCs/>
          <w:color w:val="000000"/>
          <w:sz w:val="24"/>
          <w:szCs w:val="24"/>
        </w:rPr>
        <w:t xml:space="preserve">（8）Java（车载信息娱乐与 Android Automotive）。</w:t>
      </w:r>
      <w:r>
        <w:rPr>
          <w:rFonts w:ascii="Times New Roman" w:eastAsia="宋体"/>
          <w:color w:val="000000"/>
          <w:sz w:val="24"/>
          <w:szCs w:val="24"/>
        </w:rPr>
        <w:t xml:space="preserve">属应用层，通用 JVM 生态工具成熟，不在本系统核心范围。</w:t>
      </w:r>
    </w:p>
    <w:p>
      <w:pPr>
        <w:spacing w:after="0" w:before="0" w:line="360" w:lineRule="auto"/>
        <w:ind w:firstLine="480"/>
        <w:jc w:val="both"/>
      </w:pPr>
      <w:r>
        <w:rPr>
          <w:rFonts w:ascii="Times New Roman" w:eastAsia="宋体"/>
          <w:b/>
          <w:bCs/>
          <w:color w:val="000000"/>
          <w:sz w:val="24"/>
          <w:szCs w:val="24"/>
        </w:rPr>
        <w:t xml:space="preserve">（9）Verilog/VHDL。</w:t>
      </w:r>
      <w:r>
        <w:rPr>
          <w:rFonts w:ascii="Times New Roman" w:eastAsia="宋体"/>
          <w:color w:val="000000"/>
          <w:sz w:val="24"/>
          <w:szCs w:val="24"/>
        </w:rPr>
        <w:t xml:space="preserve">硬件描述语言属芯片侧验证范畴（仿真与形式验证生态独立），明确排除在本系统范围外。</w:t>
      </w:r>
    </w:p>
    <w:p>
      <w:pPr>
        <w:keepNext/>
        <w:spacing w:after="80" w:before="200" w:line="300" w:lineRule="atLeast"/>
        <w:jc w:val="left"/>
      </w:pPr>
      <w:r>
        <w:rPr>
          <w:rFonts w:ascii="Times New Roman" w:eastAsia="宋体"/>
          <w:color w:val="000000"/>
          <w:sz w:val="21"/>
          <w:szCs w:val="21"/>
        </w:rPr>
        <w:t xml:space="preserve">表 1-2  嵌入式编程语言全景与本系统范围界定</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2445"/>
        <w:gridCol w:w="3762"/>
        <w:gridCol w:w="1693"/>
      </w:tblGrid>
      <w:tr>
        <w:trPr>
          <w:cantSplit/>
          <w:tblHeader/>
        </w:trPr>
        <w:tc>
          <w:tcPr>
            <w:tcW w:type="pct" w:w="8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语言</w:t>
            </w:r>
          </w:p>
        </w:tc>
        <w:tc>
          <w:tcPr>
            <w:tcW w:type="pct" w:w="1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典型场景</w:t>
            </w:r>
          </w:p>
        </w:tc>
        <w:tc>
          <w:tcPr>
            <w:tcW w:type="pct" w:w="2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检测要点</w:t>
            </w:r>
          </w:p>
        </w:tc>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本系统范围</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裸机/RTOS/内核态全场景</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指针与 UB、ISR 并发、寄存器访问、MISRA/GJB 合规</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核心支持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车载域控、工控上位机</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生命周期、异常与模板、AUTOSAR/MISRA C++ 子集</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核心支持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汇编</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启动代码、向量表、关键时序</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对齐与原子性、寄存器约定、反汇编级检查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选择性支持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Rust</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RTIC、Rust-for-Linux（新兴）</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unsafe 边界、FFI 交互、借用检查互补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趋势跟踪</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IEC 61131-3</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PLC（ST/LD/FBD）</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规则检查、离线仿真</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兼容预留</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Simulink 生成代码</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汽车控制策略</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手写接口与集成层、生成代码风格适配</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接口层支持</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MicroPython/Lua</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网关与原型脚本层</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运行时沙箱、字节码检查</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预留</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Java（IVI）</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车载信息娱乐</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通用 JVM 工具生态</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范围外</w:t>
            </w:r>
          </w:p>
        </w:tc>
      </w:tr>
      <w:tr>
        <w:trPr>
          <w:cantSplit/>
        </w:trPr>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Verilog/VHDL</w:t>
            </w:r>
          </w:p>
        </w:tc>
        <w:tc>
          <w:tcPr>
            <w:tcW w:type="pct" w:w="1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硬件逻辑</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仿真与硬件形式验证</w:t>
            </w:r>
          </w:p>
        </w:tc>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范围外</w:t>
            </w:r>
          </w:p>
        </w:tc>
      </w:tr>
    </w:tbl>
    <w:p>
      <w:pPr>
        <w:pStyle w:val="Heading2"/>
        <w:spacing w:after="120" w:before="120" w:line="360" w:lineRule="auto"/>
      </w:pPr>
      <w:bookmarkStart w:id="100008" w:name="_Toc100008"/>
      <w:r>
        <w:rPr>
          <w:rFonts w:ascii="Times New Roman" w:eastAsia="黑体"/>
          <w:color w:val="000000"/>
          <w:sz w:val="28"/>
          <w:szCs w:val="28"/>
        </w:rPr>
        <w:t xml:space="preserve">1.4  系统定位：这套系统到底干什么、能做什么</w:t>
      </w:r>
      <w:bookmarkEnd w:id="100008"/>
    </w:p>
    <w:p>
      <w:pPr>
        <w:spacing w:after="0" w:before="0" w:line="360" w:lineRule="auto"/>
        <w:ind w:firstLine="480"/>
        <w:jc w:val="both"/>
      </w:pPr>
      <w:r>
        <w:rPr>
          <w:rFonts w:ascii="Times New Roman" w:eastAsia="宋体"/>
          <w:b w:val="false"/>
          <w:bCs w:val="false"/>
          <w:color w:val="000000"/>
          <w:sz w:val="24"/>
          <w:szCs w:val="24"/>
        </w:rPr>
        <w:t xml:space="preserve">本系统定位为面向嵌入式 C/C++ 源码的白盒检测平台（有源码为主），以规则与静态分析为骨架、LLM 为增强，按六层能力组织输出；二进制/固件侧能力作为无源码场景的扩展预留。每一层能力对应明确的缺陷示例，避免“通用质量提升”式的空泛表述。</w:t>
      </w:r>
    </w:p>
    <w:p>
      <w:pPr>
        <w:keepNext/>
        <w:spacing w:after="80" w:before="200" w:line="300" w:lineRule="atLeast"/>
        <w:jc w:val="left"/>
      </w:pPr>
      <w:r>
        <w:rPr>
          <w:rFonts w:ascii="Times New Roman" w:eastAsia="宋体"/>
          <w:color w:val="000000"/>
          <w:sz w:val="21"/>
          <w:szCs w:val="21"/>
        </w:rPr>
        <w:t xml:space="preserve">表 1-3  系统能力分层与典型缺陷示例</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3574"/>
        <w:gridCol w:w="4138"/>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能力层</w:t>
            </w:r>
          </w:p>
        </w:tc>
        <w:tc>
          <w:tcPr>
            <w:tcW w:type="pct" w:w="1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检测内容</w:t>
            </w:r>
          </w:p>
        </w:tc>
        <w:tc>
          <w:tcPr>
            <w:tcW w:type="pct" w:w="2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典型缺陷示例</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规范符合性检查</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MISRA C:2012/2023、CERT C、GJB 8114/5369 规则逐条检查与合规记录</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隐式整型收窄（MISRA 10.x 族）；使用已废弃函数（GJB 禁用库函数）</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代码缺陷与运行时错误</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空指针解引用、数组越界、UAF、整数溢出、除零、未初始化、死代码</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计数器回绕导致缓冲区索引为负；错误分支漏初始化状态变量</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安全漏洞检测</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污点分析（Taint Analysis）、CWE 映射、CVE 关联</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外部报文字段未校验长度即 memcpy（CWE-787 越界写）；printf 用户可控格式串（CWE-134）</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并发与硬件语义缺陷</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中断与主循环竞争、重入、volatile 误用、MMIO 访问合法性</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ISR 与任务共享多字节变量未加临界区导致数据撕裂；对只读状态寄存器执行写操作</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二进制/固件侧（扩展）</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反汇编、固件模糊测试（Fuzzing）、无源码场景</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闭源第三方库中命令注入；固件内硬编码凭证</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供应链合规</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软件物料清单（Software Bill of Materials, SBOM）、开源成分与许可证</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引入带已知 CVE 的旧版 lwIP；GPL 组件链接进闭源固件</w:t>
            </w:r>
          </w:p>
        </w:tc>
      </w:tr>
    </w:tbl>
    <w:p>
      <w:pPr>
        <w:pStyle w:val="Heading2"/>
        <w:spacing w:after="120" w:before="120" w:line="360" w:lineRule="auto"/>
      </w:pPr>
      <w:bookmarkStart w:id="100009" w:name="_Toc100009"/>
      <w:r>
        <w:rPr>
          <w:rFonts w:ascii="Times New Roman" w:eastAsia="黑体"/>
          <w:color w:val="000000"/>
          <w:sz w:val="28"/>
          <w:szCs w:val="28"/>
        </w:rPr>
        <w:t xml:space="preserve">1.5  研究意义、目标与技术挑战概览</w:t>
      </w:r>
      <w:bookmarkEnd w:id="100009"/>
    </w:p>
    <w:p>
      <w:pPr>
        <w:spacing w:after="0" w:before="0" w:line="360" w:lineRule="auto"/>
        <w:ind w:firstLine="480"/>
        <w:jc w:val="both"/>
      </w:pPr>
      <w:r>
        <w:rPr>
          <w:rFonts w:ascii="Times New Roman" w:eastAsia="宋体"/>
          <w:b/>
          <w:bCs/>
          <w:color w:val="000000"/>
          <w:sz w:val="24"/>
          <w:szCs w:val="24"/>
        </w:rPr>
        <w:t xml:space="preserve">研究意义。</w:t>
      </w:r>
      <w:r>
        <w:rPr>
          <w:rFonts w:ascii="Times New Roman" w:eastAsia="宋体"/>
          <w:color w:val="000000"/>
          <w:sz w:val="24"/>
          <w:szCs w:val="24"/>
        </w:rPr>
        <w:t xml:space="preserve">其一，合规意义：为 ISO 26262/IEC 61508/GJB 体系提供可追溯的代码级检测证据链，降低认证人工成本；其二，工程意义：以 LLM 承接告警分诊与解释，缓解静态分析误报消耗专家时间这一产能瓶颈（微软对其 C/C++/C# 代码库的实证研究显示告警处置行为直接影响工具信任[75]）；其三，方法论意义：探索“精确分析为骨架、LLM 为增强、工具反馈为约束”的混合式路线，为 LLM 应用于安全关键软件提供可复现的评测证据。</w:t>
      </w:r>
    </w:p>
    <w:p>
      <w:pPr>
        <w:spacing w:after="0" w:before="0" w:line="360" w:lineRule="auto"/>
        <w:ind w:firstLine="480"/>
        <w:jc w:val="both"/>
      </w:pPr>
      <w:r>
        <w:rPr>
          <w:rFonts w:ascii="Times New Roman" w:eastAsia="宋体"/>
          <w:b/>
          <w:bCs/>
          <w:color w:val="000000"/>
          <w:sz w:val="24"/>
          <w:szCs w:val="24"/>
        </w:rPr>
        <w:t xml:space="preserve">研究目标。</w:t>
      </w:r>
      <w:r>
        <w:rPr>
          <w:rFonts w:ascii="Times New Roman" w:eastAsia="宋体"/>
          <w:color w:val="000000"/>
          <w:sz w:val="24"/>
          <w:szCs w:val="24"/>
        </w:rPr>
        <w:t xml:space="preserve">（1）在自建嵌入式数据集与 Toyota ITC 基准上，F1 相较单一基线工具（Cppcheck、Clang Static Analyzer）提升不低于 20%；（2）LLM 增强的误报过滤使人工审查工作量下降不低于 30%，且漏判率不高于基线；（3）对 MISRA C:2012 与 GJB 8114 规则集形成自动检查与合规记录输出；（4）形成可复现的构建环境复现工具链，使第三章选定的目标仓库零人工干预完成分析接入。</w:t>
      </w:r>
    </w:p>
    <w:p>
      <w:pPr>
        <w:spacing w:after="0" w:before="0" w:line="360" w:lineRule="auto"/>
        <w:ind w:firstLine="480"/>
        <w:jc w:val="both"/>
      </w:pPr>
      <w:r>
        <w:rPr>
          <w:rFonts w:ascii="Times New Roman" w:eastAsia="宋体"/>
          <w:b/>
          <w:bCs/>
          <w:color w:val="000000"/>
          <w:sz w:val="24"/>
          <w:szCs w:val="24"/>
        </w:rPr>
        <w:t xml:space="preserve">技术挑战概览。</w:t>
      </w:r>
      <w:r>
        <w:rPr>
          <w:rFonts w:ascii="Times New Roman" w:eastAsia="宋体"/>
          <w:color w:val="000000"/>
          <w:sz w:val="24"/>
          <w:szCs w:val="24"/>
        </w:rPr>
        <w:t xml:space="preserve">挑战一：交叉编译环境与构建语义的自动复现（对应 P1）；挑战二：ISR 并发与硬件寄存器语义的形式化建模（对应 P2）；挑战三：规范检查与漏洞检测两套体系的统一表示与聚合（对应 P3）；挑战四：误报与漏报的平衡及结论可证明性（对应 P4）；挑战五：LLM 幻觉抑制与证据回链（对应 P5）；挑战六：贴近真实嵌入式缺陷分布的评测数据缺失（对应 P6）。六个问题在第三章逐一展开并给出解法。</w:t>
      </w:r>
    </w:p>
    <w:p>
      <w:pPr>
        <w:pStyle w:val="Heading1"/>
        <w:pageBreakBefore/>
        <w:spacing w:after="120" w:before="120" w:line="400" w:lineRule="exact"/>
        <w:jc w:val="center"/>
      </w:pPr>
      <w:bookmarkStart w:id="100010" w:name="_Toc100010"/>
      <w:r>
        <w:rPr>
          <w:rFonts w:ascii="Times New Roman" w:eastAsia="黑体"/>
          <w:color w:val="000000"/>
          <w:sz w:val="32"/>
          <w:szCs w:val="32"/>
        </w:rPr>
        <w:t xml:space="preserve">第二章  相关工作综述</w:t>
      </w:r>
      <w:bookmarkEnd w:id="100010"/>
    </w:p>
    <w:p>
      <w:pPr>
        <w:pStyle w:val="Heading2"/>
        <w:spacing w:after="120" w:before="120" w:line="360" w:lineRule="auto"/>
      </w:pPr>
      <w:bookmarkStart w:id="100011" w:name="_Toc100011"/>
      <w:r>
        <w:rPr>
          <w:rFonts w:ascii="Times New Roman" w:eastAsia="黑体"/>
          <w:color w:val="000000"/>
          <w:sz w:val="28"/>
          <w:szCs w:val="28"/>
        </w:rPr>
        <w:t xml:space="preserve">2.1  分类框架</w:t>
      </w:r>
      <w:bookmarkEnd w:id="100011"/>
    </w:p>
    <w:p>
      <w:pPr>
        <w:spacing w:after="0" w:before="0" w:line="360" w:lineRule="auto"/>
        <w:ind w:firstLine="480"/>
        <w:jc w:val="both"/>
      </w:pPr>
      <w:r>
        <w:rPr>
          <w:rFonts w:ascii="Times New Roman" w:eastAsia="宋体"/>
          <w:b w:val="false"/>
          <w:bCs w:val="false"/>
          <w:color w:val="000000"/>
          <w:sz w:val="24"/>
          <w:szCs w:val="24"/>
        </w:rPr>
        <w:t xml:space="preserve">为避免流水账式罗列，本报告按“技术谱系与目标场景”将现有工作划分为四类：A 类为通用软件分析工具与引擎（跨语言、面向通用软件生态，含模糊测试基础设施与预训练代码模型、LLM 检测方案）；B 类为嵌入式/C-C++ 专项工具（以安全关键行业为主战场，多具备标准合规与工具鉴定能力）；C 类为形式化方法与符号执行（以数学证明或路径完备探索为目标）；D 类为学术里程碑（按规则挖掘、深度学习、大模型三代演进）。四类共同勾勒出技术脉络：从 2000 年代初的编译器扩展规则挖掘，到抽象解释与模型检查的精确化，再到深度学习与大模型两次范式转移。2.2 至 2.5 逐类调研，每个项目统一按“出处、技术核心、解决问题、实测效果、局限性”五要素撰写，局限性将直接成为第三章问题定义的论据。</w:t>
      </w:r>
    </w:p>
    <w:p>
      <w:pPr>
        <w:spacing w:after="0" w:before="0" w:line="360" w:lineRule="auto"/>
        <w:ind w:firstLine="480"/>
        <w:jc w:val="both"/>
      </w:pPr>
      <w:r>
        <w:rPr>
          <w:rFonts w:ascii="Times New Roman" w:eastAsia="宋体"/>
          <w:b/>
          <w:bCs/>
          <w:color w:val="000000"/>
          <w:sz w:val="24"/>
          <w:szCs w:val="24"/>
        </w:rPr>
        <w:t xml:space="preserve">证据纪律说明：</w:t>
      </w:r>
      <w:r>
        <w:rPr>
          <w:rFonts w:ascii="Times New Roman" w:eastAsia="宋体"/>
          <w:b w:val="false"/>
          <w:bCs w:val="false"/>
          <w:color w:val="000000"/>
          <w:sz w:val="24"/>
          <w:szCs w:val="24"/>
        </w:rPr>
        <w:t xml:space="preserve">本报告所有项目的年份、出处均于 2026 年 10 月经联网核实，可核实不到之处以[待核实]显式标注；星标数、性能数字等动态数据标注其统计口径。</w:t>
      </w:r>
    </w:p>
    <w:p>
      <w:pPr>
        <w:pStyle w:val="Heading2"/>
        <w:spacing w:after="120" w:before="120" w:line="360" w:lineRule="auto"/>
      </w:pPr>
      <w:bookmarkStart w:id="100012" w:name="_Toc100012"/>
      <w:r>
        <w:rPr>
          <w:rFonts w:ascii="Times New Roman" w:eastAsia="黑体"/>
          <w:color w:val="000000"/>
          <w:sz w:val="28"/>
          <w:szCs w:val="28"/>
        </w:rPr>
        <w:t xml:space="preserve">2.2  A 类：通用软件分析工具与引擎</w:t>
      </w:r>
      <w:bookmarkEnd w:id="100012"/>
    </w:p>
    <w:p>
      <w:pPr>
        <w:pStyle w:val="Heading3"/>
        <w:spacing w:after="80" w:before="80" w:line="360" w:lineRule="auto"/>
      </w:pPr>
      <w:bookmarkStart w:id="100013" w:name="_Toc100013"/>
      <w:r>
        <w:rPr>
          <w:rFonts w:ascii="Times New Roman" w:eastAsia="宋体"/>
          <w:b/>
          <w:bCs/>
          <w:color w:val="000000"/>
          <w:sz w:val="24"/>
          <w:szCs w:val="24"/>
        </w:rPr>
        <w:t xml:space="preserve">2.2.1  Coverity（2002）</w:t>
      </w:r>
      <w:bookmarkEnd w:id="10001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斯坦福大学技术衍生公司，2002 年创立；2014 年被 Synopsys 以 3.75 亿美元收购，2024 年随其软件完整性集团出售并更名归属 Black Duck[25]。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全程序过程间数据流/控制流缺陷分析（Checkers 体系），与早期 Metal 研究一脉相承[25]。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企业级 C/C++/Java 等大型代码库的静态应用安全测试（Static Application Security Testing, SAST）。</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Coverity Scan 免费服务开源社区，覆盖 3,900 余个项目、累计分析数十亿行代码[25]。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分析依赖完整构建捕获（build capture），嵌入式交叉工程经常无法产出可用的构建模型（对应 P1）；规则定制灵活性低于 CodeQL/Semgrep 的查询式方案。</w:t>
      </w:r>
    </w:p>
    <w:p>
      <w:pPr>
        <w:pStyle w:val="Heading3"/>
        <w:spacing w:after="80" w:before="80" w:line="360" w:lineRule="auto"/>
      </w:pPr>
      <w:bookmarkStart w:id="100014" w:name="_Toc100014"/>
      <w:r>
        <w:rPr>
          <w:rFonts w:ascii="Times New Roman" w:eastAsia="宋体"/>
          <w:b/>
          <w:bCs/>
          <w:color w:val="000000"/>
          <w:sz w:val="24"/>
          <w:szCs w:val="24"/>
        </w:rPr>
        <w:t xml:space="preserve">2.2.2  CodeQL（2019 年开放）</w:t>
      </w:r>
      <w:bookmarkEnd w:id="10001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查询语言 QL 源于 2006 年牛津大学 Semmle 公司，GitHub 2019 年收购后于同年 11 月开放研究与开源使用[26]。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将代码编译为可查询的关系数据库（AST/CFG/数据流/调用图），以基于 Datalog 的面向对象查询语言 QL 编写安全查询，支持过程间污点追踪[26]。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以声明式查询表达自定义漏洞模式，支撑 GitHub 官方代码扫描。</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查询库含数千条社区安全查询，成为安全研究的事实标准之一[26]。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C/C++ 分析需先构建 CodeQL 数据库，交叉编译工程适配成本高；CLI 许可禁止作为商业竞品分析引擎；深度查询在大仓库耗时显著。</w:t>
      </w:r>
    </w:p>
    <w:p>
      <w:pPr>
        <w:pStyle w:val="Heading3"/>
        <w:spacing w:after="80" w:before="80" w:line="360" w:lineRule="auto"/>
      </w:pPr>
      <w:bookmarkStart w:id="100015" w:name="_Toc100015"/>
      <w:r>
        <w:rPr>
          <w:rFonts w:ascii="Times New Roman" w:eastAsia="宋体"/>
          <w:b/>
          <w:bCs/>
          <w:color w:val="000000"/>
          <w:sz w:val="24"/>
          <w:szCs w:val="24"/>
        </w:rPr>
        <w:t xml:space="preserve">2.2.3  Semgrep（2020）</w:t>
      </w:r>
      <w:bookmarkEnd w:id="10001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前身是 Facebook 内部工具 sgrep，由 r2c 公司开源并于 2020 年改名 Semgrep[27]。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“规则即代码”——以近似源码形态的模式在 AST 上匹配，附带轻量污点模式，无需完整构建[27]。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安全工程师快速编写与维护自定义规则并嵌入 CI 门禁。</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2025 年因规则许可收紧，社区分叉出 OpenGrep，侧面反映其生态影响力[27]。</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深度跨文件/过程间数据流弱于 CodeQL 与 Coverity（强版本为商业引擎）；模式级匹配对需要路径敏感推理的缺陷无能为力。</w:t>
      </w:r>
    </w:p>
    <w:p>
      <w:pPr>
        <w:pStyle w:val="Heading3"/>
        <w:spacing w:after="80" w:before="80" w:line="360" w:lineRule="auto"/>
      </w:pPr>
      <w:bookmarkStart w:id="100016" w:name="_Toc100016"/>
      <w:r>
        <w:rPr>
          <w:rFonts w:ascii="Times New Roman" w:eastAsia="宋体"/>
          <w:b/>
          <w:bCs/>
          <w:color w:val="000000"/>
          <w:sz w:val="24"/>
          <w:szCs w:val="24"/>
        </w:rPr>
        <w:t xml:space="preserve">2.2.4  Infer（2015）</w:t>
      </w:r>
      <w:bookmarkEnd w:id="100016"/>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Meta（Facebook）2015 年 6 月开源，MIT 许可；方法论文发表于 CACM 2015[28]。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分离逻辑（Separation Logic）加双向 abduction 的组合式过程间分析：按函数生成摘要并增量组合，无需全程序一次跑完[28]。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在万人级工程师的移动开发流程中做到每次提交实时分析。</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官方口径约 80% 的移动应用发布部署中检出至少一个真实缺陷[28]。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摘要式组合以覆盖面换可扩展性，跨组件复杂逻辑漏洞覆盖弱；检查器类别相对固定，对 ISR/硬件语义无建模。</w:t>
      </w:r>
    </w:p>
    <w:p>
      <w:pPr>
        <w:pStyle w:val="Heading3"/>
        <w:spacing w:after="80" w:before="80" w:line="360" w:lineRule="auto"/>
      </w:pPr>
      <w:bookmarkStart w:id="100017" w:name="_Toc100017"/>
      <w:r>
        <w:rPr>
          <w:rFonts w:ascii="Times New Roman" w:eastAsia="宋体"/>
          <w:b/>
          <w:bCs/>
          <w:color w:val="000000"/>
          <w:sz w:val="24"/>
          <w:szCs w:val="24"/>
        </w:rPr>
        <w:t xml:space="preserve">2.2.5  SonarQube（2008）</w:t>
      </w:r>
      <w:bookmarkEnd w:id="100017"/>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SonarSource 公司（瑞士日内瓦，2008 年创立）[29]。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规则引擎加代码度量的持续检查平台，以质量门禁（Quality Gate）嵌入 CI/CD[29]。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团队级代码质量管理与技术债治理。</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开源代码质量平台的事实标准之一，2025 年实证研究显示质量门禁被广泛采用[29]。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深度污点与安全检测集中于商业版；对 C/C++ 复杂指针场景的分析深度不足，不面向安全关键合规。</w:t>
      </w:r>
    </w:p>
    <w:p>
      <w:pPr>
        <w:pStyle w:val="Heading3"/>
        <w:spacing w:after="80" w:before="80" w:line="360" w:lineRule="auto"/>
      </w:pPr>
      <w:bookmarkStart w:id="100018" w:name="_Toc100018"/>
      <w:r>
        <w:rPr>
          <w:rFonts w:ascii="Times New Roman" w:eastAsia="宋体"/>
          <w:b/>
          <w:bCs/>
          <w:color w:val="000000"/>
          <w:sz w:val="24"/>
          <w:szCs w:val="24"/>
        </w:rPr>
        <w:t xml:space="preserve">2.2.6  Clang Static Analyzer（随 LLVM 演进）</w:t>
      </w:r>
      <w:bookmarkEnd w:id="10001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LLVM/Clang 项目内置分析器，Apache-2.0（LLVM 例外条款）[30]。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路径敏感的符号执行引擎加可插拔 checker 架构，scan-build 为命令行包装[30]。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编译期免费获得空解引用、UAF 等路径敏感检查，被 Chromium 等大型项目采用。</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随 Xcode 分发，是苹果生态默认静态分析设施[30]。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跨翻译单元（Cross Translation Unit, CTU）分析仍为实验性且默认关闭，单编译单元视野造成漏报；大项目依赖完整编译数据库且速度慢于 Cppcheck（对应 P1）。</w:t>
      </w:r>
    </w:p>
    <w:p>
      <w:pPr>
        <w:pStyle w:val="Heading3"/>
        <w:spacing w:after="80" w:before="80" w:line="360" w:lineRule="auto"/>
      </w:pPr>
      <w:bookmarkStart w:id="100019" w:name="_Toc100019"/>
      <w:r>
        <w:rPr>
          <w:rFonts w:ascii="Times New Roman" w:eastAsia="宋体"/>
          <w:b/>
          <w:bCs/>
          <w:color w:val="000000"/>
          <w:sz w:val="24"/>
          <w:szCs w:val="24"/>
        </w:rPr>
        <w:t xml:space="preserve">2.2.7  PVS-Studio（2008）</w:t>
      </w:r>
      <w:bookmarkEnd w:id="10001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俄罗斯 PVS-Studio 公司，2008 年创立[31]。</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1,000 余条诊断规则的模式与抽象解释混合分析，以消息分级与多层抑制机制控制误报[31]。</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商业项目的广谱缺陷检测，长期以免费分析开源项目扩大影响。</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曾对无人机自驾仪固件 ArduPilot 等航空相关开源项目出具分析报告[31]。</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专有闭源；路径敏感与全程序深度弱于 Coverity；其厂商自述的检出率对比数据缺乏第三方复核。</w:t>
      </w:r>
    </w:p>
    <w:p>
      <w:pPr>
        <w:pStyle w:val="Heading3"/>
        <w:spacing w:after="80" w:before="80" w:line="360" w:lineRule="auto"/>
      </w:pPr>
      <w:bookmarkStart w:id="100020" w:name="_Toc100020"/>
      <w:r>
        <w:rPr>
          <w:rFonts w:ascii="Times New Roman" w:eastAsia="宋体"/>
          <w:b/>
          <w:bCs/>
          <w:color w:val="000000"/>
          <w:sz w:val="24"/>
          <w:szCs w:val="24"/>
        </w:rPr>
        <w:t xml:space="preserve">2.2.8  Cppcheck（2009）</w:t>
      </w:r>
      <w:bookmarkEnd w:id="10002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Daniel Marjamäki 发起的开源项目，2009 年 3 月创建仓库，GPL-3.0[32]。</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自研轻量前端加值流（value flow）跟踪，定位“编译器查不到的缺陷”，以低误报为设计哲学[32]。</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无需完整构建即可对 C/C++（含嵌入式平台参数 --platform）做快速检查，并提供官方 MISRA 检查插件。</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GitHub 6,700 余星，嵌入式社区使用最广的开源静态检查器[32]。</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跨翻译单元分析深度受 --max-ctu-depth 限制且主要覆盖浅层检查项，缺乏跨函数深层数据流；无路径敏感符号执行与成熟污点分析；手册明确记载多线程运行且未配置构建目录时全程序检查会静默失效；自研前端对复杂宏与模板的处理与真实编译器存在偏差（本系统预筛选层选型依据与已知短板）。</w:t>
      </w:r>
    </w:p>
    <w:p>
      <w:pPr>
        <w:pStyle w:val="Heading3"/>
        <w:spacing w:after="80" w:before="80" w:line="360" w:lineRule="auto"/>
      </w:pPr>
      <w:bookmarkStart w:id="100021" w:name="_Toc100021"/>
      <w:r>
        <w:rPr>
          <w:rFonts w:ascii="Times New Roman" w:eastAsia="宋体"/>
          <w:b/>
          <w:bCs/>
          <w:color w:val="000000"/>
          <w:sz w:val="24"/>
          <w:szCs w:val="24"/>
        </w:rPr>
        <w:t xml:space="preserve">2.2.9  TscanCode（2015/2016）</w:t>
      </w:r>
      <w:bookmarkEnd w:id="10002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腾讯开源，仓库 2015 年 3 月创建，社区通常记 2016 年对外发布[33]。</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早期基于 Cppcheck 二次开发、后转自研引擎，覆盖 C/C++、C#、Lua，无需编译目标代码[33]。</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腾讯内部游戏与客户端 C++ 项目的空指针、越界、未初始化检查。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厂商口径约 20 万行/分钟、报告准确率约 90%（无第三方复核）[33]。</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未核实到内置 MISRA 支持[待核实]；仓库采用自定义许可声明（非标准 SPDX）；2023 年底后停止更新，腾讯主力转向代码分析平台 TCA。</w:t>
      </w:r>
    </w:p>
    <w:p>
      <w:pPr>
        <w:pStyle w:val="Heading3"/>
        <w:spacing w:after="80" w:before="80" w:line="360" w:lineRule="auto"/>
      </w:pPr>
      <w:bookmarkStart w:id="100022" w:name="_Toc100022"/>
      <w:r>
        <w:rPr>
          <w:rFonts w:ascii="Times New Roman" w:eastAsia="宋体"/>
          <w:b/>
          <w:bCs/>
          <w:color w:val="000000"/>
          <w:sz w:val="24"/>
          <w:szCs w:val="24"/>
        </w:rPr>
        <w:t xml:space="preserve">2.2.10  AFL++（2019）与 OSS-Fuzz（2016）</w:t>
      </w:r>
      <w:bookmarkEnd w:id="10002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AFL++ 是 lcamtuf 的 AFL 停更后社区维护的续作（2019 年创建仓库），方法论文发表于 USENIX WOOT 2020[34]；OSS-Fuzz 为 Google 2016 年 12 月上线的持续模糊测试基础设施[35]。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覆盖率引导的遗传变异模糊测试（AFL++ 融合 RedQueen、MOPT 等成果）；OSS-Fuzz 以 ClusterFuzz 规模化调度 libFuzzer/AFL++[34][35]。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动态侧的真实触发漏洞发现。</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OSS-Fuzz 官方 README 口径累计发现 13,000 余个安全漏洞、50,000 余个缺陷，覆盖 1,000 余个项目[35]。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需要源码插桩或二进制重写；对依赖硬件外设输入的嵌入式目标，激励生成难以覆盖 MMIO 状态空间，fuzzing harness 的构建成本高。</w:t>
      </w:r>
    </w:p>
    <w:p>
      <w:pPr>
        <w:pStyle w:val="Heading3"/>
        <w:spacing w:after="80" w:before="80" w:line="360" w:lineRule="auto"/>
      </w:pPr>
      <w:bookmarkStart w:id="100023" w:name="_Toc100023"/>
      <w:r>
        <w:rPr>
          <w:rFonts w:ascii="Times New Roman" w:eastAsia="宋体"/>
          <w:b/>
          <w:bCs/>
          <w:color w:val="000000"/>
          <w:sz w:val="24"/>
          <w:szCs w:val="24"/>
        </w:rPr>
        <w:t xml:space="preserve">2.2.11  预训练代码模型：CodeBERT（2020）→ GraphCodeBERT（2021）→ UniXcoder（2022）</w:t>
      </w:r>
      <w:bookmarkEnd w:id="10002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微软亚洲研究院系列工作：CodeBERT（EMNLP 2020）[36]、GraphCodeBERT（ICLR 2021）[37]、UniXcoder（AAAI 2022）[38]。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CodeBERT 以自然语言与编程语言双模态预训练；GraphCodeBERT 引入数据流图预训练任务；UniXcoder 统一 AST 与注释跨模态，兼顾理解与生成[36][37][38]。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为漏洞检测等下游任务提供可微调的通用代码表示。</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发布当时在代码检索与克隆检测等任务上达到最优[36][37][38]。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上下文窗口小（512 token 级）、函数级粒度，无法覆盖仓库级上下文；在严格去重的 PrimeVul 基准上，此类模型及微调方法的真实检出能力大幅低于早期基准报告值[65]（详见 2.5.3）。</w:t>
      </w:r>
    </w:p>
    <w:p>
      <w:pPr>
        <w:pStyle w:val="Heading3"/>
        <w:spacing w:after="80" w:before="80" w:line="360" w:lineRule="auto"/>
      </w:pPr>
      <w:bookmarkStart w:id="100024" w:name="_Toc100024"/>
      <w:r>
        <w:rPr>
          <w:rFonts w:ascii="Times New Roman" w:eastAsia="宋体"/>
          <w:b/>
          <w:bCs/>
          <w:color w:val="000000"/>
          <w:sz w:val="24"/>
          <w:szCs w:val="24"/>
        </w:rPr>
        <w:t xml:space="preserve">2.2.12  LLM 检测方案：GPTScan（2024）与 LLM4Vuln（2024）</w:t>
      </w:r>
      <w:bookmarkEnd w:id="10002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GPTScan（ICSE 2024）将 GPT 与程序分析结合检测智能合约逻辑漏洞[39]；LLM4Vuln（2024，arXiv 技术报告）提出解耦 LLM 漏洞推理能力与知识/上下文/提示方案的统一评测框架[40]。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GPTScan 把漏洞拆解为场景加属性，LLM 产生候选后由静态分析确认以抑制幻觉；LLM4Vuln 以受控变量实验度量各因素贡献[39][40]。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为 LLM 参与漏洞检测提供“生成-验证”耦合与可归因评测两种范式。</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GPTScan 在 token 合约数据集上精确率超过 90%，静态确认环节削减约三分之二误报[39]；LLM4Vuln 在 4 个漏洞赏金项目中发现 14 个零日漏洞[40]。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GPTScan 面向 Solidity 而非 C/C++，其场景加属性分解依赖领域知识迁移；LLM4Vuln 的基准规模较小；两者均依赖外部 API，存在成本、隐私与版本漂移问题（对应 P5）。</w:t>
      </w:r>
    </w:p>
    <w:p>
      <w:pPr>
        <w:pStyle w:val="Heading2"/>
        <w:spacing w:after="120" w:before="120" w:line="360" w:lineRule="auto"/>
      </w:pPr>
      <w:bookmarkStart w:id="100025" w:name="_Toc100025"/>
      <w:r>
        <w:rPr>
          <w:rFonts w:ascii="Times New Roman" w:eastAsia="黑体"/>
          <w:color w:val="000000"/>
          <w:sz w:val="28"/>
          <w:szCs w:val="28"/>
        </w:rPr>
        <w:t xml:space="preserve">2.3  B 类：嵌入式/C-C++ 专项工具</w:t>
      </w:r>
      <w:bookmarkEnd w:id="100025"/>
    </w:p>
    <w:p>
      <w:pPr>
        <w:pStyle w:val="Heading3"/>
        <w:spacing w:after="80" w:before="80" w:line="360" w:lineRule="auto"/>
      </w:pPr>
      <w:bookmarkStart w:id="100026" w:name="_Toc100026"/>
      <w:r>
        <w:rPr>
          <w:rFonts w:ascii="Times New Roman" w:eastAsia="宋体"/>
          <w:b/>
          <w:bCs/>
          <w:color w:val="000000"/>
          <w:sz w:val="24"/>
          <w:szCs w:val="24"/>
        </w:rPr>
        <w:t xml:space="preserve">2.3.1  Astrée（2009 年商用）</w:t>
      </w:r>
      <w:bookmarkEnd w:id="100026"/>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Cousot 夫妇与 Miné 等于 2001—2003 年在巴黎高等师范学院研制，2009 年 2 月由 AbsInt 公司在 ENS/CNRS 许可下商用[45]。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抽象解释（Abstract Interpretation）：对变量值域做保守超逼近并迭代收敛，可自动证明程序不存在运行时错误[45]。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安全关键同步 C 程序（飞控类）的运行时错误完全性证明。</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2003 年对 Airbus A340 主飞控软件（约 40 万行 C）实现零误报的运行时错误证明，后应用于 A380 电传飞控[45]。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面向无递归、无动态分配的同步代码最有效；复杂指针与大循环需要按项目做域（domain）定制，换项目常需专家调参；商业闭源、价格昂贵（对应 P4 的成本侧）。</w:t>
      </w:r>
    </w:p>
    <w:p>
      <w:pPr>
        <w:pStyle w:val="Heading3"/>
        <w:spacing w:after="80" w:before="80" w:line="360" w:lineRule="auto"/>
      </w:pPr>
      <w:bookmarkStart w:id="100027" w:name="_Toc100027"/>
      <w:r>
        <w:rPr>
          <w:rFonts w:ascii="Times New Roman" w:eastAsia="宋体"/>
          <w:b/>
          <w:bCs/>
          <w:color w:val="000000"/>
          <w:sz w:val="24"/>
          <w:szCs w:val="24"/>
        </w:rPr>
        <w:t xml:space="preserve">2.3.2  Polyspace（2007 年并入 MathWorks）</w:t>
      </w:r>
      <w:bookmarkEnd w:id="100027"/>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前身 PolySpace Technologies（法国，1999 年）商业化抽象解释技术，MathWorks 于 2007 年 4 月收购[46]。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Bug Finder（缺陷与规则检查）加 Code Prover（抽象解释证明所有控制流与数据值下无关键运行时错误）[46]。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汽车 ISO 26262、航空 DO-178C 场景的运行时错误证明与合规，提供 DO/IEC 工具鉴定套件[46]。</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被整车厂与 Tier1 供应商用于 ASIL 项目合规（厂商公开案例）[46]。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Code Prover 的灰色（未证明）结果需大量人工评审；分析耗时随规模激增，实践中只用于关键模块；证明结论依赖建模假设的正确性（对应 P4）。</w:t>
      </w:r>
    </w:p>
    <w:p>
      <w:pPr>
        <w:pStyle w:val="Heading3"/>
        <w:spacing w:after="80" w:before="80" w:line="360" w:lineRule="auto"/>
      </w:pPr>
      <w:bookmarkStart w:id="100028" w:name="_Toc100028"/>
      <w:r>
        <w:rPr>
          <w:rFonts w:ascii="Times New Roman" w:eastAsia="宋体"/>
          <w:b/>
          <w:bCs/>
          <w:color w:val="000000"/>
          <w:sz w:val="24"/>
          <w:szCs w:val="24"/>
        </w:rPr>
        <w:t xml:space="preserve">2.3.3  Frama-C（2008）</w:t>
      </w:r>
      <w:bookmarkEnd w:id="10002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法国原子能与可替代能源委员会-list（CEA List）与 Inria 联合开发，2008 年首次公开发布，核心 LGPL-2.1[53]。</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可插拔 C 分析平台：EVA 插件做抽象解释值分析，WP 插件以最弱前置条件生成 ACSL 契约的证明义务并交由 SMT 求解器/Coq 消化[53]。</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从自动值域分析到演绎验证的连续谱覆盖，Airbus 与达索曾以其开展 DO-178C 低层需求验证实验[53]。</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欧洲学术与工业界安全关键 C 验证的主力开源平台[53]。</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WP 演绎验证需要大量人工书写 ACSL 标注；EVA 在无标注大程序上精度下降需调参；无厂商背书的工具鉴定文档（对应 P3、P4）。</w:t>
      </w:r>
    </w:p>
    <w:p>
      <w:pPr>
        <w:pStyle w:val="Heading3"/>
        <w:spacing w:after="80" w:before="80" w:line="360" w:lineRule="auto"/>
      </w:pPr>
      <w:bookmarkStart w:id="100029" w:name="_Toc100029"/>
      <w:r>
        <w:rPr>
          <w:rFonts w:ascii="Times New Roman" w:eastAsia="宋体"/>
          <w:b/>
          <w:bCs/>
          <w:color w:val="000000"/>
          <w:sz w:val="24"/>
          <w:szCs w:val="24"/>
        </w:rPr>
        <w:t xml:space="preserve">2.3.4  CodeSonar（2003）</w:t>
      </w:r>
      <w:bookmarkEnd w:id="10002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GrammaTech（康奈尔大学衍生公司）2003 年首发；2023 年其分析业务被收购成立 CodeSecure，2025 年 6 月与 AdaCore 合并[47]。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全程序过程间分析（源码与二进制双通道），检测内存破坏、泄漏与并发缺陷[47]。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航空起源的大型 C/C++ 深度缺陷检测，NASA 曾将其引入航天网络地面系统分析[47]。</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安全关键行业长期商用（厂商与 NASA 案例口径）[47]。</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全程序分析的时间与内存开销大，大型库需分片；告警量大导致分诊负担；商业许可费用高。</w:t>
      </w:r>
    </w:p>
    <w:p>
      <w:pPr>
        <w:pStyle w:val="Heading3"/>
        <w:spacing w:after="80" w:before="80" w:line="360" w:lineRule="auto"/>
      </w:pPr>
      <w:bookmarkStart w:id="100030" w:name="_Toc100030"/>
      <w:r>
        <w:rPr>
          <w:rFonts w:ascii="Times New Roman" w:eastAsia="宋体"/>
          <w:b/>
          <w:bCs/>
          <w:color w:val="000000"/>
          <w:sz w:val="24"/>
          <w:szCs w:val="24"/>
        </w:rPr>
        <w:t xml:space="preserve">2.3.5  Klocwork（2001）</w:t>
      </w:r>
      <w:bookmarkEnd w:id="10003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2001 年自北电网络（Nortel Networks）分立（渥太华），2014 年入 Rogue Wave，2019 年随其并入 Perforce[48]。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数据流/控制流 SAST 加 CWE 安全检查，深度 IDE 集成为长期卖点[48]。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嵌入式大型 C/C++ 代码库的持续缺陷检查与合规报告。</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汽车与医疗行业广泛商用（厂商口径）[48]。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分析深度介于规则检查器与全程序证明器之间；误报需人工分诊；商业闭源。</w:t>
      </w:r>
    </w:p>
    <w:p>
      <w:pPr>
        <w:pStyle w:val="Heading3"/>
        <w:spacing w:after="80" w:before="80" w:line="360" w:lineRule="auto"/>
      </w:pPr>
      <w:bookmarkStart w:id="100031" w:name="_Toc100031"/>
      <w:r>
        <w:rPr>
          <w:rFonts w:ascii="Times New Roman" w:eastAsia="宋体"/>
          <w:b/>
          <w:bCs/>
          <w:color w:val="000000"/>
          <w:sz w:val="24"/>
          <w:szCs w:val="24"/>
        </w:rPr>
        <w:t xml:space="preserve">2.3.6  Helix QAC（1986/2018）</w:t>
      </w:r>
      <w:bookmarkEnd w:id="10003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原英国 Programming Research 公司的 QA·C/QA·C++（1986 年起），2018 年 5 月被 Perforce 收购[49]。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以编码标准合规为核心的静态分析，按 MISRA Compliance 框架输出合规记录，是 MISRA 合规的事实标准工具之一[49]。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汽车/航空行业的编码规范强制合规。</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长期被整车厂用于 ISO 26262 项目（厂商口径）[49]。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不做全程序路径证明，运行时错误覆盖能力弱于抽象解释类工具；对逻辑缺陷检出有限；商业闭源。</w:t>
      </w:r>
    </w:p>
    <w:p>
      <w:pPr>
        <w:pStyle w:val="Heading3"/>
        <w:spacing w:after="80" w:before="80" w:line="360" w:lineRule="auto"/>
      </w:pPr>
      <w:bookmarkStart w:id="100032" w:name="_Toc100032"/>
      <w:r>
        <w:rPr>
          <w:rFonts w:ascii="Times New Roman" w:eastAsia="宋体"/>
          <w:b/>
          <w:bCs/>
          <w:color w:val="000000"/>
          <w:sz w:val="24"/>
          <w:szCs w:val="24"/>
        </w:rPr>
        <w:t xml:space="preserve">2.3.7  LDRA（1975）</w:t>
      </w:r>
      <w:bookmarkEnd w:id="10003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Liverpool Data Research Associates，1975 年成立，业界最早的静态分析/验证工具厂商之一[50]。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Testbed 静态与动态分析、编码标准与覆盖率一体，TBrun 提供单元测试与自动打桩，支持 DO-178 的数据/控制耦合分析[50]。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航空与国防供应链的全套验证证据。</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其套件可鉴定为 DO-178 软件验证工具，长期服务 NATO 供应链（厂商口径）[50]。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公开的第三方对比数据少；工作流偏传统，现代 CI 体验一般；商业授权昂贵。</w:t>
      </w:r>
    </w:p>
    <w:p>
      <w:pPr>
        <w:pStyle w:val="Heading3"/>
        <w:spacing w:after="80" w:before="80" w:line="360" w:lineRule="auto"/>
      </w:pPr>
      <w:bookmarkStart w:id="100033" w:name="_Toc100033"/>
      <w:r>
        <w:rPr>
          <w:rFonts w:ascii="Times New Roman" w:eastAsia="宋体"/>
          <w:b/>
          <w:bCs/>
          <w:color w:val="000000"/>
          <w:sz w:val="24"/>
          <w:szCs w:val="24"/>
        </w:rPr>
        <w:t xml:space="preserve">2.3.8  Parasoft C/C++test（1999）</w:t>
      </w:r>
      <w:bookmarkEnd w:id="100033"/>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Parasoft 公司 1987 年创立，C/C++test 产品 1999 年推出[51]。</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静态分析（MISRA/AUTOSAR/CERT/CWE 规则）加自动单元测试生成与运行时检测（Insure++）的整合套件[51]。</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嵌入式 C/C++ 安全关键开发的规则合规与测试补充。</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自称服务财富 500 强三十余年（厂商口径）[51]。</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自动生成测试的断言深度有限；误报需调优；套件体量大、学习成本高。</w:t>
      </w:r>
    </w:p>
    <w:p>
      <w:pPr>
        <w:pStyle w:val="Heading3"/>
        <w:spacing w:after="80" w:before="80" w:line="360" w:lineRule="auto"/>
      </w:pPr>
      <w:bookmarkStart w:id="100034" w:name="_Toc100034"/>
      <w:r>
        <w:rPr>
          <w:rFonts w:ascii="Times New Roman" w:eastAsia="宋体"/>
          <w:b/>
          <w:bCs/>
          <w:color w:val="000000"/>
          <w:sz w:val="24"/>
          <w:szCs w:val="24"/>
        </w:rPr>
        <w:t xml:space="preserve">2.3.9  VectorCAST（1990）</w:t>
      </w:r>
      <w:bookmarkEnd w:id="100034"/>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Vector Software 1990 年创立，2017 年 1 月并入德国 Vector 集团[52]。</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V 模型的单元/集成测试自动化：自动生成驱动与桩、回归管理、MC/DC 覆盖率，提供 DO-178B/C/DO-330 鉴定包[52]。</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动态侧的认证级测试执行与覆盖率证据。</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航空业广泛商用（厂商口径）[52]。</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解决测试执行自动化而非静态证明；许可与维护成本高；测试生成质量依赖被测代码可测性。</w:t>
      </w:r>
    </w:p>
    <w:p>
      <w:pPr>
        <w:pStyle w:val="Heading3"/>
        <w:spacing w:after="80" w:before="80" w:line="360" w:lineRule="auto"/>
      </w:pPr>
      <w:bookmarkStart w:id="100035" w:name="_Toc100035"/>
      <w:r>
        <w:rPr>
          <w:rFonts w:ascii="Times New Roman" w:eastAsia="宋体"/>
          <w:b/>
          <w:bCs/>
          <w:color w:val="000000"/>
          <w:sz w:val="24"/>
          <w:szCs w:val="24"/>
        </w:rPr>
        <w:t xml:space="preserve">2.3.10  ESBMC（2011）</w:t>
      </w:r>
      <w:bookmarkEnd w:id="100035"/>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Lucas Cordeiro 与 Bernd Fischer 等，CAV 2011 首发；初代复用 CBMC 前端，v5.0（2018）起改用 Clang 前端[54]。</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SMT 的有界模型检查（Bounded Model Checking, BMC），支持 k-归纳、并发（数据竞争与死锁）、浮点精确模式与反例生成[54]。</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开源侧兼具并发与浮点能力的 C/C++ 模型检查。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多赛道常年参赛，2025 年竞赛报告显示其在并发安全赛道的稳定增益[54][60]。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BMC 完备性受展开界限制（未证到不等于无缺陷）；深循环与大状态空间下 SMT 求解开销大；并发建模对锁模式依赖较强。</w:t>
      </w:r>
    </w:p>
    <w:p>
      <w:pPr>
        <w:pStyle w:val="Heading2"/>
        <w:spacing w:after="120" w:before="120" w:line="360" w:lineRule="auto"/>
      </w:pPr>
      <w:bookmarkStart w:id="100036" w:name="_Toc100036"/>
      <w:r>
        <w:rPr>
          <w:rFonts w:ascii="Times New Roman" w:eastAsia="黑体"/>
          <w:color w:val="000000"/>
          <w:sz w:val="28"/>
          <w:szCs w:val="28"/>
        </w:rPr>
        <w:t xml:space="preserve">2.4  C 类：形式化方法与符号执行</w:t>
      </w:r>
      <w:bookmarkEnd w:id="100036"/>
    </w:p>
    <w:p>
      <w:pPr>
        <w:pStyle w:val="Heading3"/>
        <w:spacing w:after="80" w:before="80" w:line="360" w:lineRule="auto"/>
      </w:pPr>
      <w:bookmarkStart w:id="100037" w:name="_Toc100037"/>
      <w:r>
        <w:rPr>
          <w:rFonts w:ascii="Times New Roman" w:eastAsia="宋体"/>
          <w:b/>
          <w:bCs/>
          <w:color w:val="000000"/>
          <w:sz w:val="24"/>
          <w:szCs w:val="24"/>
        </w:rPr>
        <w:t xml:space="preserve">2.4.1  CBMC（2004）</w:t>
      </w:r>
      <w:bookmarkEnd w:id="100037"/>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Clarke、Kroening 与 Lerda，TACAS 2004；现由 AWS 自动推理团队主导维护[55]。</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位精确的 C 程序有界模型检查：程序按界展开后编码为 SAT/SMT 公式，检查断言、溢出、指针安全与 UB，v6 起默认开启 UB 检查[55]。</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对关键性质给出界内的完备判定与反例。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AWS 在关键基础设施项目中用其做穷举性质验证（Proving Grounds 项目口径）[55]。</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证明范围受展开界限制；状态空间随展开深度指数增长；对嵌入式工程需要可运行的展开驱动（harness）与外设建模（对应 P2、P4）。</w:t>
      </w:r>
    </w:p>
    <w:p>
      <w:pPr>
        <w:pStyle w:val="Heading3"/>
        <w:spacing w:after="80" w:before="80" w:line="360" w:lineRule="auto"/>
      </w:pPr>
      <w:bookmarkStart w:id="100038" w:name="_Toc100038"/>
      <w:r>
        <w:rPr>
          <w:rFonts w:ascii="Times New Roman" w:eastAsia="宋体"/>
          <w:b/>
          <w:bCs/>
          <w:color w:val="000000"/>
          <w:sz w:val="24"/>
          <w:szCs w:val="24"/>
        </w:rPr>
        <w:t xml:space="preserve">2.4.2  KLEE（2008）</w:t>
      </w:r>
      <w:bookmarkEnd w:id="100038"/>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Cadar、Dunbar 与 Engler（斯坦福），OSDI 2008[56]。</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 LLVM 的符号执行（Symbolic Execution）引擎：以路径约束求解自动生成高覆盖测试，含约束缓存与查询优化[56]。</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无人干预地为系统程序生成高覆盖测试并挖掘深层缺陷。</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在 GNU Coreutils 上的行覆盖平均超过 90%（远高于手写测试套件约 68%），发现 56 个真实缺陷[56]。</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路径爆炸限制深循环覆盖；系统调用与环境建模不完整；目标需重编译至 LLVM IR，交叉编译工程适配成本高；对浮点与并发支持有限。</w:t>
      </w:r>
    </w:p>
    <w:p>
      <w:pPr>
        <w:pStyle w:val="Heading3"/>
        <w:spacing w:after="80" w:before="80" w:line="360" w:lineRule="auto"/>
      </w:pPr>
      <w:bookmarkStart w:id="100039" w:name="_Toc100039"/>
      <w:r>
        <w:rPr>
          <w:rFonts w:ascii="Times New Roman" w:eastAsia="宋体"/>
          <w:b/>
          <w:bCs/>
          <w:color w:val="000000"/>
          <w:sz w:val="24"/>
          <w:szCs w:val="24"/>
        </w:rPr>
        <w:t xml:space="preserve">2.4.3  CPAchecker（2011）</w:t>
      </w:r>
      <w:bookmarkEnd w:id="100039"/>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Dirk Beyer 与 Keremoglu，CAV 2011（注意：发表于 CAV 而非 TACAS）[57]。</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可配置程序分析（Configurable Program Analysis, CPA）框架：谓词抽象、显式值分析、BAM 模块化分析等算子可组合切换，支持见证（witness）生成与校验[57]。</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软件验证的通用可达性与内存安全检查。</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2012 首届总冠军并多年多赛道夺冠，2025 届仍获可达安全与内存安全赛道冠军[57][60]。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最优精度依赖配置选择；对并发 C 与复杂位运算/浮点支持弱于专用工具；反例定位质量一般。</w:t>
      </w:r>
    </w:p>
    <w:p>
      <w:pPr>
        <w:pStyle w:val="Heading3"/>
        <w:spacing w:after="80" w:before="80" w:line="360" w:lineRule="auto"/>
      </w:pPr>
      <w:bookmarkStart w:id="100040" w:name="_Toc100040"/>
      <w:r>
        <w:rPr>
          <w:rFonts w:ascii="Times New Roman" w:eastAsia="宋体"/>
          <w:b/>
          <w:bCs/>
          <w:color w:val="000000"/>
          <w:sz w:val="24"/>
          <w:szCs w:val="24"/>
        </w:rPr>
        <w:t xml:space="preserve">2.4.4  IKOS（2015）</w:t>
      </w:r>
      <w:bookmarkEnd w:id="100040"/>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NASA 艾姆斯研究中心，2015 年发布[58]。</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基于抽象解释的通用 C/C++ 分析框架（LLVM 前端），检查缓冲区溢出、除零、未初始化、空解引用等运行时错误[58]。</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NASA 飞行软件等安全关键代码的运行时错误分析。</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NASA 内部使用并开源[58]。</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默认抽象域对真实工业代码精度偏低（大量“可能为真”告警）；不支持并发分析；社区规模小、更新慢。</w:t>
      </w:r>
    </w:p>
    <w:p>
      <w:pPr>
        <w:pStyle w:val="Heading3"/>
        <w:spacing w:after="80" w:before="80" w:line="360" w:lineRule="auto"/>
      </w:pPr>
      <w:bookmarkStart w:id="100041" w:name="_Toc100041"/>
      <w:r>
        <w:rPr>
          <w:rFonts w:ascii="Times New Roman" w:eastAsia="宋体"/>
          <w:b/>
          <w:bCs/>
          <w:color w:val="000000"/>
          <w:sz w:val="24"/>
          <w:szCs w:val="24"/>
        </w:rPr>
        <w:t xml:space="preserve">2.4.5  Goblint（2007）</w:t>
      </w:r>
      <w:bookmarkEnd w:id="100041"/>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Vojdani 与 Vene，SPLST 2007（起点为 2007 年而非 2017 年），现由慕尼黑工业大学主导[59]。</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基于抽象解释与线程模块化的 C 静态分析器，专长多线程程序的数据竞争健全检查[59]。</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并发 C 程序的健全数据竞争检测。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SV-COMP 数据竞争赛道 2021、2023、2024 届得分最高[59][60]。</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检查类别相对专窄；健全但精度依赖域设计；其线程模型基于 pthread 共享内存假设，对 ISR/RTOS 任务语义仍需上层适配（对应 P2）。</w:t>
      </w:r>
    </w:p>
    <w:p>
      <w:pPr>
        <w:pStyle w:val="Heading3"/>
        <w:spacing w:after="80" w:before="80" w:line="360" w:lineRule="auto"/>
      </w:pPr>
      <w:bookmarkStart w:id="100042" w:name="_Toc100042"/>
      <w:r>
        <w:rPr>
          <w:rFonts w:ascii="Times New Roman" w:eastAsia="宋体"/>
          <w:b/>
          <w:bCs/>
          <w:color w:val="000000"/>
          <w:sz w:val="24"/>
          <w:szCs w:val="24"/>
        </w:rPr>
        <w:t xml:space="preserve">2.4.6  SV-COMP（2012）</w:t>
      </w:r>
      <w:bookmarkEnd w:id="100042"/>
    </w:p>
    <w:p>
      <w:pPr>
        <w:spacing w:after="0" w:before="0" w:line="360" w:lineRule="auto"/>
        <w:ind w:firstLine="480"/>
        <w:jc w:val="both"/>
      </w:pPr>
      <w:r>
        <w:rPr>
          <w:rFonts w:ascii="Times New Roman" w:eastAsia="宋体"/>
          <w:b/>
          <w:bCs/>
          <w:color w:val="000000"/>
          <w:sz w:val="24"/>
          <w:szCs w:val="24"/>
        </w:rPr>
        <w:t xml:space="preserve">出处：</w:t>
      </w:r>
      <w:r>
        <w:rPr>
          <w:rFonts w:ascii="Times New Roman" w:eastAsia="宋体"/>
          <w:color w:val="000000"/>
          <w:sz w:val="24"/>
          <w:szCs w:val="24"/>
        </w:rPr>
        <w:t xml:space="preserve">TACAS 工具竞赛（Beyer 组织），2012 年首届，2026 年为第 15 届[60]。</w:t>
      </w:r>
    </w:p>
    <w:p>
      <w:pPr>
        <w:spacing w:after="0" w:before="0" w:line="360" w:lineRule="auto"/>
        <w:ind w:firstLine="480"/>
        <w:jc w:val="both"/>
      </w:pPr>
      <w:r>
        <w:rPr>
          <w:rFonts w:ascii="Times New Roman" w:eastAsia="宋体"/>
          <w:b/>
          <w:bCs/>
          <w:color w:val="000000"/>
          <w:sz w:val="24"/>
          <w:szCs w:val="24"/>
        </w:rPr>
        <w:t xml:space="preserve">技术核心：</w:t>
      </w:r>
      <w:r>
        <w:rPr>
          <w:rFonts w:ascii="Times New Roman" w:eastAsia="宋体"/>
          <w:color w:val="000000"/>
          <w:sz w:val="24"/>
          <w:szCs w:val="24"/>
        </w:rPr>
        <w:t xml:space="preserve">统一的验证任务集与见证校验闭环评分，覆盖可达安全、内存安全、溢出、并发、终止等类别[60]。</w:t>
      </w:r>
    </w:p>
    <w:p>
      <w:pPr>
        <w:spacing w:after="0" w:before="0" w:line="360" w:lineRule="auto"/>
        <w:ind w:firstLine="480"/>
        <w:jc w:val="both"/>
      </w:pPr>
      <w:r>
        <w:rPr>
          <w:rFonts w:ascii="Times New Roman" w:eastAsia="宋体"/>
          <w:b/>
          <w:bCs/>
          <w:color w:val="000000"/>
          <w:sz w:val="24"/>
          <w:szCs w:val="24"/>
        </w:rPr>
        <w:t xml:space="preserve">解决问题：</w:t>
      </w:r>
      <w:r>
        <w:rPr>
          <w:rFonts w:ascii="Times New Roman" w:eastAsia="宋体"/>
          <w:color w:val="000000"/>
          <w:sz w:val="24"/>
          <w:szCs w:val="24"/>
        </w:rPr>
        <w:t xml:space="preserve">软件验证工具的横向可比评测。</w:t>
      </w:r>
    </w:p>
    <w:p>
      <w:pPr>
        <w:spacing w:after="0" w:before="0" w:line="360" w:lineRule="auto"/>
        <w:ind w:firstLine="480"/>
        <w:jc w:val="both"/>
      </w:pPr>
      <w:r>
        <w:rPr>
          <w:rFonts w:ascii="Times New Roman" w:eastAsia="宋体"/>
          <w:b/>
          <w:bCs/>
          <w:color w:val="000000"/>
          <w:sz w:val="24"/>
          <w:szCs w:val="24"/>
        </w:rPr>
        <w:t xml:space="preserve">实测效果/落地：</w:t>
      </w:r>
      <w:r>
        <w:rPr>
          <w:rFonts w:ascii="Times New Roman" w:eastAsia="宋体"/>
          <w:color w:val="000000"/>
          <w:sz w:val="24"/>
          <w:szCs w:val="24"/>
        </w:rPr>
        <w:t xml:space="preserve">2025 届 34,700 个验证任务；2026 届 74 个验证工具加 20 个校验器参赛[60][69]。</w:t>
      </w:r>
    </w:p>
    <w:p>
      <w:pPr>
        <w:spacing w:after="0" w:before="0" w:line="360" w:lineRule="auto"/>
        <w:ind w:firstLine="480"/>
        <w:jc w:val="both"/>
      </w:pPr>
      <w:r>
        <w:rPr>
          <w:rFonts w:ascii="Times New Roman" w:eastAsia="宋体"/>
          <w:b/>
          <w:bCs/>
          <w:color w:val="000000"/>
          <w:sz w:val="24"/>
          <w:szCs w:val="24"/>
        </w:rPr>
        <w:t xml:space="preserve">局限性：</w:t>
      </w:r>
      <w:r>
        <w:rPr>
          <w:rFonts w:ascii="Times New Roman" w:eastAsia="宋体"/>
          <w:color w:val="000000"/>
          <w:sz w:val="24"/>
          <w:szCs w:val="24"/>
        </w:rPr>
        <w:t xml:space="preserve">任务多为小规模单性质程序，与工业规模代码差距大；存在面向基准调参的争议（评测外推需谨慎，对应 P6）。</w:t>
      </w:r>
    </w:p>
    <w:p>
      <w:pPr>
        <w:pStyle w:val="Heading2"/>
        <w:spacing w:after="120" w:before="120" w:line="360" w:lineRule="auto"/>
      </w:pPr>
      <w:bookmarkStart w:id="100043" w:name="_Toc100043"/>
      <w:r>
        <w:rPr>
          <w:rFonts w:ascii="Times New Roman" w:eastAsia="黑体"/>
          <w:color w:val="000000"/>
          <w:sz w:val="28"/>
          <w:szCs w:val="28"/>
        </w:rPr>
        <w:t xml:space="preserve">2.5  D 类：学术里程碑</w:t>
      </w:r>
      <w:bookmarkEnd w:id="100043"/>
    </w:p>
    <w:p>
      <w:pPr>
        <w:pStyle w:val="Heading3"/>
        <w:spacing w:after="80" w:before="80" w:line="360" w:lineRule="auto"/>
      </w:pPr>
      <w:bookmarkStart w:id="100044" w:name="_Toc100044"/>
      <w:r>
        <w:rPr>
          <w:rFonts w:ascii="Times New Roman" w:eastAsia="宋体"/>
          <w:b/>
          <w:bCs/>
          <w:color w:val="000000"/>
          <w:sz w:val="24"/>
          <w:szCs w:val="24"/>
        </w:rPr>
        <w:t xml:space="preserve">2.5.1  规则挖掘与属性验证时代（2001—2005）：Metal、ESP、MOPS、Saturn</w:t>
      </w:r>
      <w:bookmarkEnd w:id="100044"/>
    </w:p>
    <w:p>
      <w:pPr>
        <w:spacing w:after="0" w:before="0" w:line="360" w:lineRule="auto"/>
        <w:ind w:firstLine="480"/>
        <w:jc w:val="both"/>
      </w:pPr>
      <w:r>
        <w:rPr>
          <w:rFonts w:ascii="Times New Roman" w:eastAsia="宋体"/>
          <w:b/>
          <w:bCs/>
          <w:color w:val="000000"/>
          <w:sz w:val="24"/>
          <w:szCs w:val="24"/>
        </w:rPr>
        <w:t xml:space="preserve">Metal（PLDI 2001，斯坦福 Engler 组）：</w:t>
      </w:r>
      <w:r>
        <w:rPr>
          <w:rFonts w:ascii="Times New Roman" w:eastAsia="宋体"/>
          <w:color w:val="000000"/>
          <w:sz w:val="24"/>
          <w:szCs w:val="24"/>
        </w:rPr>
        <w:t xml:space="preserve">meta-level compilation——程序员以 xcc 语言把系统规则写成编译器扩展，在编译 Linux 内核与 FLASH 协议栈时同步检查，发现数百量级真实缺陷[41]；其“缺陷即异常行为”的统计挖掘思想（SOSP 2001）影响深远。局限性：规则需逐条人工书写，属性覆盖依赖专家投入。</w:t>
      </w:r>
    </w:p>
    <w:p>
      <w:pPr>
        <w:spacing w:after="0" w:before="0" w:line="360" w:lineRule="auto"/>
        <w:ind w:firstLine="480"/>
        <w:jc w:val="both"/>
      </w:pPr>
      <w:r>
        <w:rPr>
          <w:rFonts w:ascii="Times New Roman" w:eastAsia="宋体"/>
          <w:b/>
          <w:bCs/>
          <w:color w:val="000000"/>
          <w:sz w:val="24"/>
          <w:szCs w:val="24"/>
        </w:rPr>
        <w:t xml:space="preserve">ESP（PLDI 2002，微软研究院 Das 等）：</w:t>
      </w:r>
      <w:r>
        <w:rPr>
          <w:rFonts w:ascii="Times New Roman" w:eastAsia="宋体"/>
          <w:color w:val="000000"/>
          <w:sz w:val="24"/>
          <w:szCs w:val="24"/>
        </w:rPr>
        <w:t xml:space="preserve">以路径模拟（path simulation）折叠控制流图中可互模拟的路径，在多项式时间内实现路径敏感验证[42]。局限性：面向特定验证属性，需人工指定目标。</w:t>
      </w:r>
    </w:p>
    <w:p>
      <w:pPr>
        <w:spacing w:after="0" w:before="0" w:line="360" w:lineRule="auto"/>
        <w:ind w:firstLine="480"/>
        <w:jc w:val="both"/>
      </w:pPr>
      <w:r>
        <w:rPr>
          <w:rFonts w:ascii="Times New Roman" w:eastAsia="宋体"/>
          <w:b/>
          <w:bCs/>
          <w:color w:val="000000"/>
          <w:sz w:val="24"/>
          <w:szCs w:val="24"/>
        </w:rPr>
        <w:t xml:space="preserve">MOPS（CCS 2002，伯克利 Chen 与 Wagner）：</w:t>
      </w:r>
      <w:r>
        <w:rPr>
          <w:rFonts w:ascii="Times New Roman" w:eastAsia="宋体"/>
          <w:color w:val="000000"/>
          <w:sz w:val="24"/>
          <w:szCs w:val="24"/>
        </w:rPr>
        <w:t xml:space="preserve">把程序建模为下推自动机、安全属性写成有限状态机，模型检查所有过程间路径（如特权操作序列）[43]。局限性：仅能表达有限状态属性，逐属性建模成本高。</w:t>
      </w:r>
    </w:p>
    <w:p>
      <w:pPr>
        <w:spacing w:after="0" w:before="0" w:line="360" w:lineRule="auto"/>
        <w:ind w:firstLine="480"/>
        <w:jc w:val="both"/>
      </w:pPr>
      <w:r>
        <w:rPr>
          <w:rFonts w:ascii="Times New Roman" w:eastAsia="宋体"/>
          <w:b/>
          <w:bCs/>
          <w:color w:val="000000"/>
          <w:sz w:val="24"/>
          <w:szCs w:val="24"/>
        </w:rPr>
        <w:t xml:space="preserve">Saturn（POPL 2005，斯坦福 Xie 与 Aiken）：</w:t>
      </w:r>
      <w:r>
        <w:rPr>
          <w:rFonts w:ascii="Times New Roman" w:eastAsia="宋体"/>
          <w:color w:val="000000"/>
          <w:sz w:val="24"/>
          <w:szCs w:val="24"/>
        </w:rPr>
        <w:t xml:space="preserve">以 SAT 求解器驱动的路径敏感、位精确分析，自底向上为函数生成布尔摘要再组合，配套 CAL 分析语言；应用于 Linux 内核检出未知缺陷[44]。局限性：SAT 求解开销大、规则种类少，项目早已停止维护。</w:t>
      </w:r>
    </w:p>
    <w:p>
      <w:pPr>
        <w:spacing w:after="0" w:before="0" w:line="360" w:lineRule="auto"/>
        <w:ind w:firstLine="480"/>
        <w:jc w:val="both"/>
      </w:pPr>
      <w:r>
        <w:rPr>
          <w:rFonts w:ascii="Times New Roman" w:eastAsia="宋体"/>
          <w:b/>
          <w:bCs/>
          <w:color w:val="000000"/>
          <w:sz w:val="24"/>
          <w:szCs w:val="24"/>
        </w:rPr>
        <w:t xml:space="preserve">小结：</w:t>
      </w:r>
      <w:r>
        <w:rPr>
          <w:rFonts w:ascii="Times New Roman" w:eastAsia="宋体"/>
          <w:b w:val="false"/>
          <w:bCs w:val="false"/>
          <w:color w:val="000000"/>
          <w:sz w:val="24"/>
          <w:szCs w:val="24"/>
        </w:rPr>
        <w:t xml:space="preserve">这一代工作确立了“属性驱动的系统代码检查”范式，其规则需人工书写的瓶颈后来由统计学习与大模型接续——这正是本系统以规则库为骨架、以 LLM 降低规则与研判成本的思想源头。</w:t>
      </w:r>
    </w:p>
    <w:p>
      <w:pPr>
        <w:pStyle w:val="Heading3"/>
        <w:spacing w:after="80" w:before="80" w:line="360" w:lineRule="auto"/>
      </w:pPr>
      <w:bookmarkStart w:id="100045" w:name="_Toc100045"/>
      <w:r>
        <w:rPr>
          <w:rFonts w:ascii="Times New Roman" w:eastAsia="宋体"/>
          <w:b/>
          <w:bCs/>
          <w:color w:val="000000"/>
          <w:sz w:val="24"/>
          <w:szCs w:val="24"/>
        </w:rPr>
        <w:t xml:space="preserve">2.5.2  深度学习时代（2018—2021）：VulDeePecker、Devign、SySeVR、D2A</w:t>
      </w:r>
      <w:bookmarkEnd w:id="100045"/>
    </w:p>
    <w:p>
      <w:pPr>
        <w:spacing w:after="0" w:before="0" w:line="360" w:lineRule="auto"/>
        <w:ind w:firstLine="480"/>
        <w:jc w:val="both"/>
      </w:pPr>
      <w:r>
        <w:rPr>
          <w:rFonts w:ascii="Times New Roman" w:eastAsia="宋体"/>
          <w:b/>
          <w:bCs/>
          <w:color w:val="000000"/>
          <w:sz w:val="24"/>
          <w:szCs w:val="24"/>
        </w:rPr>
        <w:t xml:space="preserve">VulDeePecker（NDSS 2018，华中科技大学李珍组）：</w:t>
      </w:r>
      <w:r>
        <w:rPr>
          <w:rFonts w:ascii="Times New Roman" w:eastAsia="宋体"/>
          <w:color w:val="000000"/>
          <w:sz w:val="24"/>
          <w:szCs w:val="24"/>
        </w:rPr>
        <w:t xml:space="preserve">围绕安全敏感 API 调用做程序切片（code gadget），以双向 LSTM 分类；在 Xen、Seamonkey、Libav 中发现 4 个未被 NVD 收录的漏洞[61]。局限性：仅覆盖依赖 API 特征的两类漏洞；切片截断损失长函数上下文。</w:t>
      </w:r>
    </w:p>
    <w:p>
      <w:pPr>
        <w:spacing w:after="0" w:before="0" w:line="360" w:lineRule="auto"/>
        <w:ind w:firstLine="480"/>
        <w:jc w:val="both"/>
      </w:pPr>
      <w:r>
        <w:rPr>
          <w:rFonts w:ascii="Times New Roman" w:eastAsia="宋体"/>
          <w:b/>
          <w:bCs/>
          <w:color w:val="000000"/>
          <w:sz w:val="24"/>
          <w:szCs w:val="24"/>
        </w:rPr>
        <w:t xml:space="preserve">Devign（NeurIPS 2019，南洋理工大学杨易组/IBM）：</w:t>
      </w:r>
      <w:r>
        <w:rPr>
          <w:rFonts w:ascii="Times New Roman" w:eastAsia="宋体"/>
          <w:color w:val="000000"/>
          <w:sz w:val="24"/>
          <w:szCs w:val="24"/>
        </w:rPr>
        <w:t xml:space="preserve">把函数表示为 AST+CFG+DFG 复合图，以门控图神经网络做图级分类；发布 FFmpeg+QEMU 人工标注数据集（27,996 个函数）[62]。局限性：后续独立重评测显示其在其他真实数据集上 F1 大幅下滑，暴露基准过拟合与标注噪声问题[76]。</w:t>
      </w:r>
    </w:p>
    <w:p>
      <w:pPr>
        <w:spacing w:after="0" w:before="0" w:line="360" w:lineRule="auto"/>
        <w:ind w:firstLine="480"/>
        <w:jc w:val="both"/>
      </w:pPr>
      <w:r>
        <w:rPr>
          <w:rFonts w:ascii="Times New Roman" w:eastAsia="宋体"/>
          <w:b/>
          <w:bCs/>
          <w:color w:val="000000"/>
          <w:sz w:val="24"/>
          <w:szCs w:val="24"/>
        </w:rPr>
        <w:t xml:space="preserve">SySeVR（IEEE TDSC 2022，李珍组）：</w:t>
      </w:r>
      <w:r>
        <w:rPr>
          <w:rFonts w:ascii="Times New Roman" w:eastAsia="宋体"/>
          <w:color w:val="000000"/>
          <w:sz w:val="24"/>
          <w:szCs w:val="24"/>
        </w:rPr>
        <w:t xml:space="preserve">将切片从 API 调用泛化为四类语法构件（SyVC）到语义切片（SeVC）的系统框架[63]。局限性：切片以语法元素为中心，跨文件上下文不足；同样受数据集泄漏影响。</w:t>
      </w:r>
    </w:p>
    <w:p>
      <w:pPr>
        <w:spacing w:after="0" w:before="0" w:line="360" w:lineRule="auto"/>
        <w:ind w:firstLine="480"/>
        <w:jc w:val="both"/>
      </w:pPr>
      <w:r>
        <w:rPr>
          <w:rFonts w:ascii="Times New Roman" w:eastAsia="宋体"/>
          <w:b/>
          <w:bCs/>
          <w:color w:val="000000"/>
          <w:sz w:val="24"/>
          <w:szCs w:val="24"/>
        </w:rPr>
        <w:t xml:space="preserve">D2A（ICSE-SEIP 2021，IBM）：</w:t>
      </w:r>
      <w:r>
        <w:rPr>
          <w:rFonts w:ascii="Times New Roman" w:eastAsia="宋体"/>
          <w:color w:val="000000"/>
          <w:sz w:val="24"/>
          <w:szCs w:val="24"/>
        </w:rPr>
        <w:t xml:space="preserve">用商用静态分析器对开源项目漏洞修复前后版本做差分标注，自动构建 130 万余个函数级标注样本[64]。局限性：标签继承该分析器自身的漏报/误报偏差，存在系统性噪声[64]。</w:t>
      </w:r>
    </w:p>
    <w:p>
      <w:pPr>
        <w:pStyle w:val="Heading3"/>
        <w:spacing w:after="80" w:before="80" w:line="360" w:lineRule="auto"/>
      </w:pPr>
      <w:bookmarkStart w:id="100046" w:name="_Toc100046"/>
      <w:r>
        <w:rPr>
          <w:rFonts w:ascii="Times New Roman" w:eastAsia="宋体"/>
          <w:b/>
          <w:bCs/>
          <w:color w:val="000000"/>
          <w:sz w:val="24"/>
          <w:szCs w:val="24"/>
        </w:rPr>
        <w:t xml:space="preserve">2.5.3  大模型与严格基准时代（2024—2025）：PrimeVul、VulBench</w:t>
      </w:r>
      <w:bookmarkEnd w:id="100046"/>
    </w:p>
    <w:p>
      <w:pPr>
        <w:spacing w:after="0" w:before="0" w:line="360" w:lineRule="auto"/>
        <w:ind w:firstLine="480"/>
        <w:jc w:val="both"/>
      </w:pPr>
      <w:r>
        <w:rPr>
          <w:rFonts w:ascii="Times New Roman" w:eastAsia="宋体"/>
          <w:b/>
          <w:bCs/>
          <w:color w:val="000000"/>
          <w:sz w:val="24"/>
          <w:szCs w:val="24"/>
        </w:rPr>
        <w:t xml:space="preserve">PrimeVul（ICSE 2025，威斯康星大学麦迪逊分校 Ding 等）：</w:t>
      </w:r>
      <w:r>
        <w:rPr>
          <w:rFonts w:ascii="Times New Roman" w:eastAsia="宋体"/>
          <w:color w:val="000000"/>
          <w:sz w:val="24"/>
          <w:szCs w:val="24"/>
        </w:rPr>
        <w:t xml:space="preserve">以严格去重、按时间划分与配对评估构建的 C/C++ 函数级基准（约 23 万函数、6,968 个漏洞函数、140 余种 CWE）；实证揭示此前基准严重高估：在严格设置下，SOTA 7B 模型的 F1 从 Big-Vul 上的 68.26% 跌至 3.09%，GPT 级模型接近随机猜测[65]。</w:t>
      </w:r>
    </w:p>
    <w:p>
      <w:pPr>
        <w:spacing w:after="0" w:before="0" w:line="360" w:lineRule="auto"/>
        <w:ind w:firstLine="480"/>
        <w:jc w:val="both"/>
      </w:pPr>
      <w:r>
        <w:rPr>
          <w:rFonts w:ascii="Times New Roman" w:eastAsia="宋体"/>
          <w:b/>
          <w:bCs/>
          <w:color w:val="000000"/>
          <w:sz w:val="24"/>
          <w:szCs w:val="24"/>
        </w:rPr>
        <w:t xml:space="preserve">VulBench（NAACL 2024，华中科技大学 Gao 等）：</w:t>
      </w:r>
      <w:r>
        <w:rPr>
          <w:rFonts w:ascii="Times New Roman" w:eastAsia="宋体"/>
          <w:color w:val="000000"/>
          <w:sz w:val="24"/>
          <w:szCs w:val="24"/>
        </w:rPr>
        <w:t xml:space="preserve">聚合 CTF 挑战与真实 CVE 数据，评测 16 个 LLM 与传统深度学习/图方法，发现部分 LLM 优于传统基线，且补充函数间上下文可提升性能[66]。</w:t>
      </w:r>
    </w:p>
    <w:p>
      <w:pPr>
        <w:spacing w:after="0" w:before="0" w:line="360" w:lineRule="auto"/>
        <w:ind w:firstLine="480"/>
        <w:jc w:val="both"/>
      </w:pPr>
      <w:r>
        <w:rPr>
          <w:rFonts w:ascii="Times New Roman" w:eastAsia="宋体"/>
          <w:b/>
          <w:bCs/>
          <w:color w:val="000000"/>
          <w:sz w:val="24"/>
          <w:szCs w:val="24"/>
        </w:rPr>
        <w:t xml:space="preserve">对本案的直接启示：</w:t>
      </w:r>
      <w:r>
        <w:rPr>
          <w:rFonts w:ascii="Times New Roman" w:eastAsia="宋体"/>
          <w:b w:val="false"/>
          <w:bCs w:val="false"/>
          <w:color w:val="000000"/>
          <w:sz w:val="24"/>
          <w:szCs w:val="24"/>
        </w:rPr>
        <w:t xml:space="preserve">其一，任何 LLM 检测方案必须在严格去重与时间划分的基准上报告结果，否则结论不可信[65]；其二，函数级孤立判断远不充分，仓库级上下文与过程间信息是提升 LLM 检出能力的关键变量[66]；其三，这正是本系统把 LLM 定位为“增强”而非“裁判”、并以工具验证约束其输出的实证依据。</w:t>
      </w:r>
    </w:p>
    <w:p>
      <w:pPr>
        <w:pStyle w:val="Heading2"/>
        <w:spacing w:after="120" w:before="120" w:line="360" w:lineRule="auto"/>
      </w:pPr>
      <w:bookmarkStart w:id="100047" w:name="_Toc100047"/>
      <w:r>
        <w:rPr>
          <w:rFonts w:ascii="Times New Roman" w:eastAsia="黑体"/>
          <w:color w:val="000000"/>
          <w:sz w:val="28"/>
          <w:szCs w:val="28"/>
        </w:rPr>
        <w:t xml:space="preserve">2.6  为什么通用工具在嵌入式场景水土不服</w:t>
      </w:r>
      <w:bookmarkEnd w:id="100047"/>
    </w:p>
    <w:p>
      <w:pPr>
        <w:spacing w:after="0" w:before="0" w:line="360" w:lineRule="auto"/>
        <w:ind w:firstLine="480"/>
        <w:jc w:val="both"/>
      </w:pPr>
      <w:r>
        <w:rPr>
          <w:rFonts w:ascii="Times New Roman" w:eastAsia="宋体"/>
          <w:b w:val="false"/>
          <w:bCs w:val="false"/>
          <w:color w:val="000000"/>
          <w:sz w:val="24"/>
          <w:szCs w:val="24"/>
        </w:rPr>
        <w:t xml:space="preserve">综合 2.2 至 2.5 的逐项局限，通用工具在嵌入式场景的失效可归纳为八个相互交织的原因，每一条都对应可核查的技术事实，而非泛泛的经验之谈。</w:t>
      </w:r>
    </w:p>
    <w:p>
      <w:pPr>
        <w:spacing w:after="0" w:before="0" w:line="360" w:lineRule="auto"/>
        <w:ind w:firstLine="480"/>
        <w:jc w:val="both"/>
      </w:pPr>
      <w:r>
        <w:rPr>
          <w:rFonts w:ascii="Times New Roman" w:eastAsia="宋体"/>
          <w:b/>
          <w:bCs/>
          <w:color w:val="000000"/>
          <w:sz w:val="24"/>
          <w:szCs w:val="24"/>
        </w:rPr>
        <w:t xml:space="preserve">（1）编译器方言与内联汇编。</w:t>
      </w:r>
      <w:r>
        <w:rPr>
          <w:rFonts w:ascii="Times New Roman" w:eastAsia="宋体"/>
          <w:color w:val="000000"/>
          <w:sz w:val="24"/>
          <w:szCs w:val="24"/>
        </w:rPr>
        <w:t xml:space="preserve">嵌入式代码大量使用编译器扩展（__attribute__((interrupt))、#pragma location、内联汇编）。自研前端类工具（如 Cppcheck）对非标准语法的解析与真实编译器存在偏差，轻则误报、重则整文件解析失败跳过。</w:t>
      </w:r>
    </w:p>
    <w:p>
      <w:pPr>
        <w:spacing w:after="0" w:before="0" w:line="360" w:lineRule="auto"/>
        <w:ind w:firstLine="480"/>
        <w:jc w:val="both"/>
      </w:pPr>
      <w:r>
        <w:rPr>
          <w:rFonts w:ascii="Times New Roman" w:eastAsia="宋体"/>
          <w:b/>
          <w:bCs/>
          <w:color w:val="000000"/>
          <w:sz w:val="24"/>
          <w:szCs w:val="24"/>
        </w:rPr>
        <w:t xml:space="preserve">（2）内存映射寄存器与 volatile。</w:t>
      </w:r>
      <w:r>
        <w:rPr>
          <w:rFonts w:ascii="Times New Roman" w:eastAsia="宋体"/>
          <w:color w:val="000000"/>
          <w:sz w:val="24"/>
          <w:szCs w:val="24"/>
        </w:rPr>
        <w:t xml:space="preserve">对外设地址的读写与 volatile 语义是 C 标准中最难精确建模的部分，通用工具将其视为普通指针访问，导致两类后果：围绕寄存器访问的正确性检查（只读寄存器被写、位域越界）缺失；volatile 变量上的“冗余读写”类告警成为高频误报。</w:t>
      </w:r>
    </w:p>
    <w:p>
      <w:pPr>
        <w:spacing w:after="0" w:before="0" w:line="360" w:lineRule="auto"/>
        <w:ind w:firstLine="480"/>
        <w:jc w:val="both"/>
      </w:pPr>
      <w:r>
        <w:rPr>
          <w:rFonts w:ascii="Times New Roman" w:eastAsia="宋体"/>
          <w:b/>
          <w:bCs/>
          <w:color w:val="000000"/>
          <w:sz w:val="24"/>
          <w:szCs w:val="24"/>
        </w:rPr>
        <w:t xml:space="preserve">（3）ISR 与主循环的并发。</w:t>
      </w:r>
      <w:r>
        <w:rPr>
          <w:rFonts w:ascii="Times New Roman" w:eastAsia="宋体"/>
          <w:color w:val="000000"/>
          <w:sz w:val="24"/>
          <w:szCs w:val="24"/>
        </w:rPr>
        <w:t xml:space="preserve">通用数据竞争检测建立在 pthread 线程模型上（如 Goblint[59]），而嵌入式的并发单位是 ISR 与 RTOS 任务，竞争关系由中断优先级与 RTOS API 语义决定，通用模型对此系统性漏报。</w:t>
      </w:r>
    </w:p>
    <w:p>
      <w:pPr>
        <w:spacing w:after="0" w:before="0" w:line="360" w:lineRule="auto"/>
        <w:ind w:firstLine="480"/>
        <w:jc w:val="both"/>
      </w:pPr>
      <w:r>
        <w:rPr>
          <w:rFonts w:ascii="Times New Roman" w:eastAsia="宋体"/>
          <w:b/>
          <w:bCs/>
          <w:color w:val="000000"/>
          <w:sz w:val="24"/>
          <w:szCs w:val="24"/>
        </w:rPr>
        <w:t xml:space="preserve">（4）无标准库与裸机启动代码。</w:t>
      </w:r>
      <w:r>
        <w:rPr>
          <w:rFonts w:ascii="Times New Roman" w:eastAsia="宋体"/>
          <w:color w:val="000000"/>
          <w:sz w:val="24"/>
          <w:szCs w:val="24"/>
        </w:rPr>
        <w:t xml:space="preserve">裸机工程缺少完整标准库与 main 之上的运行时，通用工具以“main 为入口、库函数语义已知”的假设失效，摘要分析从入口即不完整。</w:t>
      </w:r>
    </w:p>
    <w:p>
      <w:pPr>
        <w:spacing w:after="0" w:before="0" w:line="360" w:lineRule="auto"/>
        <w:ind w:firstLine="480"/>
        <w:jc w:val="both"/>
      </w:pPr>
      <w:r>
        <w:rPr>
          <w:rFonts w:ascii="Times New Roman" w:eastAsia="宋体"/>
          <w:b/>
          <w:bCs/>
          <w:color w:val="000000"/>
          <w:sz w:val="24"/>
          <w:szCs w:val="24"/>
        </w:rPr>
        <w:t xml:space="preserve">（5）交叉编译构建环境缺失。</w:t>
      </w:r>
      <w:r>
        <w:rPr>
          <w:rFonts w:ascii="Times New Roman" w:eastAsia="宋体"/>
          <w:color w:val="000000"/>
          <w:sz w:val="24"/>
          <w:szCs w:val="24"/>
        </w:rPr>
        <w:t xml:space="preserve">CodeQL 需构建数据库、Coverity 需构建捕获、Clang 系需 compile_commands.json，而嵌入式工程的构建脚本（make/CMake/IAR 工程）往往无法在分析环境复现，导致工具导入即失败（对应 P1，为工业落地的第一道门槛）。</w:t>
      </w:r>
    </w:p>
    <w:p>
      <w:pPr>
        <w:spacing w:after="0" w:before="0" w:line="360" w:lineRule="auto"/>
        <w:ind w:firstLine="480"/>
        <w:jc w:val="both"/>
      </w:pPr>
      <w:r>
        <w:rPr>
          <w:rFonts w:ascii="Times New Roman" w:eastAsia="宋体"/>
          <w:b/>
          <w:bCs/>
          <w:color w:val="000000"/>
          <w:sz w:val="24"/>
          <w:szCs w:val="24"/>
        </w:rPr>
        <w:t xml:space="preserve">（6）第三方 SDK 闭源。</w:t>
      </w:r>
      <w:r>
        <w:rPr>
          <w:rFonts w:ascii="Times New Roman" w:eastAsia="宋体"/>
          <w:color w:val="000000"/>
          <w:sz w:val="24"/>
          <w:szCs w:val="24"/>
        </w:rPr>
        <w:t xml:space="preserve">芯片厂商 SDK 常以二进制库加头文件发布，过程间分析在库边界中断，调用链不完整，漏报与误报同时增加。</w:t>
      </w:r>
    </w:p>
    <w:p>
      <w:pPr>
        <w:spacing w:after="0" w:before="0" w:line="360" w:lineRule="auto"/>
        <w:ind w:firstLine="480"/>
        <w:jc w:val="both"/>
      </w:pPr>
      <w:r>
        <w:rPr>
          <w:rFonts w:ascii="Times New Roman" w:eastAsia="宋体"/>
          <w:b/>
          <w:bCs/>
          <w:color w:val="000000"/>
          <w:sz w:val="24"/>
          <w:szCs w:val="24"/>
        </w:rPr>
        <w:t xml:space="preserve">（7）RTOS 语义不可见。</w:t>
      </w:r>
      <w:r>
        <w:rPr>
          <w:rFonts w:ascii="Times New Roman" w:eastAsia="宋体"/>
          <w:color w:val="000000"/>
          <w:sz w:val="24"/>
          <w:szCs w:val="24"/>
        </w:rPr>
        <w:t xml:space="preserve">任务创建、队列、信号量、延时等 RTOS API 的调度与阻塞语义对通用分析器是普通函数调用，死锁、优先级反转、阻塞调用误用等缺陷不可见（对应 P2）。</w:t>
      </w:r>
    </w:p>
    <w:p>
      <w:pPr>
        <w:spacing w:after="0" w:before="0" w:line="360" w:lineRule="auto"/>
        <w:ind w:firstLine="480"/>
        <w:jc w:val="both"/>
      </w:pPr>
      <w:r>
        <w:rPr>
          <w:rFonts w:ascii="Times New Roman" w:eastAsia="宋体"/>
          <w:b/>
          <w:bCs/>
          <w:color w:val="000000"/>
          <w:sz w:val="24"/>
          <w:szCs w:val="24"/>
        </w:rPr>
        <w:t xml:space="preserve">（8）性能与增量分析需求。</w:t>
      </w:r>
      <w:r>
        <w:rPr>
          <w:rFonts w:ascii="Times New Roman" w:eastAsia="宋体"/>
          <w:color w:val="000000"/>
          <w:sz w:val="24"/>
          <w:szCs w:val="24"/>
        </w:rPr>
        <w:t xml:space="preserve">嵌入式工程频繁全量重建，全程序深度分析（CodeSonar、Astrée 类）单次数小时，无法嵌入每日集成；缺乏基于调用图影响集的增量能力使深度分析在嵌入式 CI 中不可用。</w:t>
      </w:r>
    </w:p>
    <w:p>
      <w:pPr>
        <w:spacing w:after="0" w:before="0" w:line="360" w:lineRule="auto"/>
        <w:ind w:firstLine="480"/>
        <w:jc w:val="both"/>
      </w:pPr>
      <w:r>
        <w:rPr>
          <w:rFonts w:ascii="Times New Roman" w:eastAsia="宋体"/>
          <w:b/>
          <w:bCs/>
          <w:color w:val="000000"/>
          <w:sz w:val="24"/>
          <w:szCs w:val="24"/>
        </w:rPr>
        <w:t xml:space="preserve">归纳：</w:t>
      </w:r>
      <w:r>
        <w:rPr>
          <w:rFonts w:ascii="Times New Roman" w:eastAsia="宋体"/>
          <w:b w:val="false"/>
          <w:bCs w:val="false"/>
          <w:color w:val="000000"/>
          <w:sz w:val="24"/>
          <w:szCs w:val="24"/>
        </w:rPr>
        <w:t xml:space="preserve">八个原因中，（1）—（4）是“语义建模缺失”，（5）是“工程环境缺失”，（6）—（7）是“上下文缺失”，（8）是“工程化缺失”。第三章的 P1—P6 即按此归纳并逐条对位。</w:t>
      </w:r>
    </w:p>
    <w:p>
      <w:pPr>
        <w:sectPr>
          <w:footerReference w:type="default" r:id="rId7"/>
          <w:type w:val="nextPage"/>
          <w:pgSz w:w="12240" w:h="15840" w:orient="portrait"/>
          <w:pgMar w:top="1701" w:right="1418" w:bottom="1134" w:left="1418" w:header="720" w:footer="720" w:gutter="0"/>
          <w:pgNumType w:start="1" w:fmt="decimal"/>
          <w:docGrid w:linePitch="360"/>
        </w:sectPr>
      </w:pPr>
    </w:p>
    <w:p>
      <w:pPr>
        <w:pStyle w:val="Heading2"/>
        <w:spacing w:after="120" w:before="120" w:line="360" w:lineRule="auto"/>
      </w:pPr>
      <w:bookmarkStart w:id="100048" w:name="_Toc100048"/>
      <w:r>
        <w:rPr>
          <w:rFonts w:ascii="Times New Roman" w:eastAsia="黑体"/>
          <w:color w:val="000000"/>
          <w:sz w:val="28"/>
          <w:szCs w:val="28"/>
        </w:rPr>
        <w:t xml:space="preserve">2.7  横向对比总表与解读</w:t>
      </w:r>
      <w:bookmarkEnd w:id="100048"/>
    </w:p>
    <w:p>
      <w:pPr>
        <w:spacing w:after="0" w:before="0" w:line="360" w:lineRule="auto"/>
        <w:ind w:firstLine="480"/>
        <w:jc w:val="both"/>
      </w:pPr>
      <w:r>
        <w:rPr>
          <w:rFonts w:ascii="Times New Roman" w:eastAsia="宋体"/>
          <w:b w:val="false"/>
          <w:bCs w:val="false"/>
          <w:color w:val="000000"/>
          <w:sz w:val="24"/>
          <w:szCs w:val="24"/>
        </w:rPr>
        <w:t xml:space="preserve">下表将 2.2 至 2.5 节调研的 29 组工具与项目按统一维度汇总，是第三章问题定义（P1—P6）与方案对标的唯一落脚点。出处列对应参考文献编号；嵌入式适配一列综合考量 MISRA/中断/RTOS/交叉编译四项；可证明性指该工具能否给出健全（sound）证明或界内完备结论。</w:t>
      </w:r>
    </w:p>
    <w:p>
      <w:pPr>
        <w:keepNext/>
        <w:spacing w:after="80" w:before="200" w:line="300" w:lineRule="atLeast"/>
        <w:jc w:val="left"/>
      </w:pPr>
      <w:r>
        <w:rPr>
          <w:rFonts w:ascii="Times New Roman" w:eastAsia="宋体"/>
          <w:color w:val="000000"/>
          <w:sz w:val="21"/>
          <w:szCs w:val="21"/>
        </w:rPr>
        <w:t xml:space="preserve">表 2-1  嵌入式代码检测相关工具与项目横向对比总表（星标类动态数据截至 2026 年 10 月）</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44"/>
        <w:gridCol w:w="806"/>
        <w:gridCol w:w="672"/>
        <w:gridCol w:w="2016"/>
        <w:gridCol w:w="1075"/>
        <w:gridCol w:w="1344"/>
        <w:gridCol w:w="672"/>
        <w:gridCol w:w="1882"/>
        <w:gridCol w:w="941"/>
        <w:gridCol w:w="806"/>
        <w:gridCol w:w="672"/>
        <w:gridCol w:w="1210"/>
      </w:tblGrid>
      <w:tr>
        <w:trPr>
          <w:cantSplit/>
          <w:tblHeader/>
        </w:trPr>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工具/项目</w:t>
            </w:r>
          </w:p>
        </w:tc>
        <w:tc>
          <w:tcPr>
            <w:tcW w:type="pct" w:w="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年份</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出处</w:t>
            </w:r>
          </w:p>
        </w:tc>
        <w:tc>
          <w:tcPr>
            <w:tcW w:type="pct" w:w="7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核心技术</w:t>
            </w:r>
          </w:p>
        </w:tc>
        <w:tc>
          <w:tcPr>
            <w:tcW w:type="pct" w:w="4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语言覆盖</w:t>
            </w:r>
          </w:p>
        </w:tc>
        <w:tc>
          <w:tcPr>
            <w:tcW w:type="pct" w:w="5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缺陷类型</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需源码</w:t>
            </w:r>
          </w:p>
        </w:tc>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嵌入式适配</w:t>
            </w:r>
          </w:p>
        </w:tc>
        <w:tc>
          <w:tcPr>
            <w:tcW w:type="pct" w:w="3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可证明性</w:t>
            </w:r>
          </w:p>
        </w:tc>
        <w:tc>
          <w:tcPr>
            <w:tcW w:type="pct" w:w="3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误报水平</w:t>
            </w:r>
          </w:p>
        </w:tc>
        <w:tc>
          <w:tcPr>
            <w:tcW w:type="pct" w:w="2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属性</w:t>
            </w:r>
          </w:p>
        </w:tc>
        <w:tc>
          <w:tcPr>
            <w:tcW w:type="pct" w:w="45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17"/>
                <w:szCs w:val="17"/>
              </w:rPr>
              <w:t xml:space="preserve">主要局限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Coverity</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2002</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全程序数据流/控制流分析</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C/C++/Java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内存/泄漏/逻辑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需构建捕获，交叉工程常失败</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检查器级</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构建捕获依赖；定制灵活性低</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CodeQL</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2019 开放</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代码数据库+QL 查询（Datalog 系）</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安全漏洞/污点</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需构建数据库，适配成本高</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查询可表达</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视查询</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查询库开源/引擎专有</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大库耗时；商用许可限制</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Semgrep</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2020</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AST 模式匹配+轻量污点</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规则/污点</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可自定义 MISRA 子集规则</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LGPL-2.1</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深度过程间分析弱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Infer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分离逻辑+abduction 函数摘要</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Java/C/C++/ObjC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空指针/泄漏/并发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 ISR/硬件建模</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摘要级</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跨组件逻辑覆盖弱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SonarQube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规则+度量+质量门禁</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坏味道/缺陷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弱</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LGPL-3.0+商业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深度不足</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Clang SA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随 LLVM</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路径敏感符号执行+checker</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C/C++/ObjC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空解引用/UAF 等</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CTU 实验性、默认关闭</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路径反例</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Apache-2.0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跨单元漏报；大库慢</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PVS-Studio</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[31]</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1,000+ 诊断规则+误报抑制</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C/C++/C#/Java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广谱缺陷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有 ArduPilot 等案例</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闭源；深度弱于 Coverity</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Cppcheck</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2009</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[32]</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自研前端+值流跟踪</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UB 类缺陷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--platform 参数；MISRA 插件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低（保守）</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GPL-3.0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CTU 深度受限；无路径敏感</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TscanCode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2015/16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[33]</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Cppcheck 衍生+自研引擎</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C++/C#/Lua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空指针/越界</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未核实到 MISRA 支持</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自定义声明</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已停更（2023 年底）</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AFL++ / OSS-Fuzz</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2019/2016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[34][35]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覆盖率引导模糊测试</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触发型漏洞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是（插桩）</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MMIO 激励难构造</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低（真触发）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AGPL/混合</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harness 成本高；外设输入难覆盖</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CodeBERT→UniXcoder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2020-22</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[36-38]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预训练代码表示</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下游微调任务</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高（严格基准下）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窗口小；PrimeVul 下大幅下滑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GPTScan / LLM4Vuln</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2024</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[39][40]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LLM+程序分析 / 受控评测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Solidity/多语言</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逻辑漏洞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非嵌入式</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GPTScan P&gt;90%（合约）</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领域特定；外部 API 依赖</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Astrée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2009 商用</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抽象解释（域工程）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A340/A380 飞控验证</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零误报（证明类）</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需逐项目域调参；闭源昂贵</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Polyspace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2007 并入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抽象解释（Bug Finder/Code Prover）</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DO/IEC 工具鉴定套件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灰色结果需人工</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规模受限；依赖建模假设</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Frama-C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[53]</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EVA 抽象解释+WP 演绎验证</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RTE+契约证明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Airbus/Dassault 实验</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健全/WP 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可调</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LGPL-2.1</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ACSL 人工标注成本高</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CodeSonar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2003</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全程序过程间（源码+二进制）</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C/C++/Java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内存/并发</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航空起源；NASA 案例</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部分</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中高（告警多）</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资源开销大；分诊负担</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Klocwork</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SAST 数据流+IDE 集成</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 等</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CWE/缺陷</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汽车/医疗合规</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深度居中；闭源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Helix QAC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1986</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[49]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编码标准合规引擎</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MISRA/CERT 合规</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 合规事实标准</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逻辑缺陷检出有限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LDRA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1975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[50]</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静态+动态+覆盖率一体</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标准+覆盖率</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DO-178 工具鉴定</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部分</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CI 体验一般；第三方数据少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Parasoft C/C++test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1999</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[51]</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静态分析+自动单测</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规则+测试</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MISRA/AUTOSAR</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断言深度有限</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VectorCAST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1990</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[52]</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单元/集成测试自动化</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C/C++/Ada</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覆盖率（MC/DC）</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DO-178 鉴定包</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—（动态）</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商业</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不替代静态证明</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CBMC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2004</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[55]</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位精确有界模型检查</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断言/溢出/UB</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AWS 应用；需 harness</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界内完备</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低（带反例）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展开界限制完备性</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ESBMC</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[54]</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SMT BMC+k-归纳+并发</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C/C++/SystemC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并发/浮点/内存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SV-COMP 多赛道</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k-归纳证明</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深循环求解开销大</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KLEE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2008</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LLVM 符号执行</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深路径+测试生成</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需重编译至 LLVM IR</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反例</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低</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BSD 系</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路径爆炸；环境建模不完整</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CPAchecker</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[57]</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可配置 CPA（谓词/显式值）</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可达性/内存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SV-COMP 多届冠军</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可调</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Apache-2.0</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配置复杂；并发支持弱</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Goblint</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2007</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[59]</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抽象解释+线程模块化</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数据竞争</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基于 pthread 假设，ISR 需适配</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MIT</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检查类别窄</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IKOS</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[58]</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抽象解释框架（LLVM 前端）</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运行时错误</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NASA 飞行软件</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健全（默认域）</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中高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NASA OSA</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默认精度低；不支持并发</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VulDeePecker/Devign/SySeVR/D2A</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2018-21</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[61-64]</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程序切片/图神经网络/差分标注</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函数级漏洞</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无嵌入式感知</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否</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基准泄漏致虚高</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学术开源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标注噪声；跨数据集泛化差</w:t>
            </w:r>
          </w:p>
        </w:tc>
      </w:tr>
      <w:tr>
        <w:trPr>
          <w:cantSplit/>
        </w:trPr>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PrimeVul / VulBench</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2024-25</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[65][66]</w:t>
            </w:r>
          </w:p>
        </w:tc>
        <w:tc>
          <w:tcPr>
            <w:tcW w:type="pct" w:w="7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严格去重基准</w:t>
            </w:r>
          </w:p>
        </w:tc>
        <w:tc>
          <w:tcPr>
            <w:tcW w:type="pct" w:w="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C/C++</w:t>
            </w:r>
          </w:p>
        </w:tc>
        <w:tc>
          <w:tcPr>
            <w:tcW w:type="pct" w:w="5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评测</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是</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无硬件上下文</w:t>
            </w:r>
          </w:p>
        </w:tc>
        <w:tc>
          <w:tcPr>
            <w:tcW w:type="pct" w:w="3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3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w:t>
            </w:r>
          </w:p>
        </w:tc>
        <w:tc>
          <w:tcPr>
            <w:tcW w:type="pct" w:w="2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开源</w:t>
            </w:r>
          </w:p>
        </w:tc>
        <w:tc>
          <w:tcPr>
            <w:tcW w:type="pct" w:w="45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17"/>
                <w:szCs w:val="17"/>
              </w:rPr>
              <w:t xml:space="preserve">揭示既有模型接近随机猜测</w:t>
            </w:r>
          </w:p>
        </w:tc>
      </w:tr>
    </w:tbl>
    <w:p>
      <w:pPr>
        <w:spacing w:after="0" w:before="0" w:line="360" w:lineRule="auto"/>
        <w:ind w:firstLine="480"/>
        <w:jc w:val="both"/>
      </w:pPr>
      <w:r>
        <w:rPr>
          <w:rFonts w:ascii="Times New Roman" w:eastAsia="宋体"/>
          <w:b/>
          <w:bCs/>
          <w:color w:val="000000"/>
          <w:sz w:val="24"/>
          <w:szCs w:val="24"/>
        </w:rPr>
        <w:t xml:space="preserve">总表解读：</w:t>
      </w:r>
      <w:r>
        <w:rPr>
          <w:rFonts w:ascii="Times New Roman" w:eastAsia="宋体"/>
          <w:b w:val="false"/>
          <w:bCs w:val="false"/>
          <w:color w:val="000000"/>
          <w:sz w:val="24"/>
          <w:szCs w:val="24"/>
        </w:rPr>
        <w:t xml:space="preserve">横向对比揭示三个空白与一个趋势。空白一：嵌入式适配维度上，商业工具（Astrée、Polyspace、QAC、LDRA）以合规见长但闭源昂贵且逐项目定制，开源工具（Cppcheck、CSA、CBMC/ESBMC）可获取但普遍缺失 ISR 并发、寄存器语义与 RTOS 建模——两列能力在开源侧几乎空白。空白二：可证明性维度上，能给出健全证明的工具（Astrée/Polyspace/Frama-C/CPAchecker）与能高效接入工程实践的工具（Cppcheck/Semgrep）分居谱系两端，缺少“按结论强度分级输出”的中间层。空白三：数据维度上，所有开源可获取的数据集均不带嵌入式硬件上下文标注（最后一行），自建数据集具备明确增量。趋势上，2024 年以来 LLM 方案（第 12 行）与严格基准（第 29 行）的对照表明：LLM 的语义能力真实存在但必须以程序分析验证为约束——这正是第三章混合式路线的立论。</w:t>
      </w:r>
    </w:p>
    <w:p>
      <w:pPr>
        <w:sectPr>
          <w:footerReference w:type="default" r:id="rId8"/>
          <w:type w:val="nextPage"/>
          <w:pgSz w:w="15840" w:h="12240" w:orient="landscape"/>
          <w:pgMar w:top="1200" w:right="1200" w:bottom="1134" w:left="1200" w:header="720" w:footer="720" w:gutter="0"/>
          <w:docGrid w:linePitch="360"/>
        </w:sectPr>
      </w:pPr>
    </w:p>
    <w:p>
      <w:pPr>
        <w:pStyle w:val="Heading1"/>
        <w:pageBreakBefore/>
        <w:spacing w:after="120" w:before="120" w:line="400" w:lineRule="exact"/>
        <w:jc w:val="center"/>
      </w:pPr>
      <w:bookmarkStart w:id="100049" w:name="_Toc100049"/>
      <w:r>
        <w:rPr>
          <w:rFonts w:ascii="Times New Roman" w:eastAsia="黑体"/>
          <w:color w:val="000000"/>
          <w:sz w:val="32"/>
          <w:szCs w:val="32"/>
        </w:rPr>
        <w:t xml:space="preserve">第三章  问题定义与技术方案</w:t>
      </w:r>
      <w:bookmarkEnd w:id="100049"/>
    </w:p>
    <w:p>
      <w:pPr>
        <w:pStyle w:val="Heading2"/>
        <w:spacing w:after="120" w:before="120" w:line="360" w:lineRule="auto"/>
      </w:pPr>
      <w:bookmarkStart w:id="100050" w:name="_Toc100050"/>
      <w:r>
        <w:rPr>
          <w:rFonts w:ascii="Times New Roman" w:eastAsia="黑体"/>
          <w:color w:val="000000"/>
          <w:sz w:val="28"/>
          <w:szCs w:val="28"/>
        </w:rPr>
        <w:t xml:space="preserve">3.1  急需解决的问题</w:t>
      </w:r>
      <w:bookmarkEnd w:id="100050"/>
    </w:p>
    <w:p>
      <w:pPr>
        <w:spacing w:after="0" w:before="0" w:line="360" w:lineRule="auto"/>
        <w:ind w:firstLine="480"/>
        <w:jc w:val="both"/>
      </w:pPr>
      <w:r>
        <w:rPr>
          <w:rFonts w:ascii="Times New Roman" w:eastAsia="宋体"/>
          <w:b w:val="false"/>
          <w:bCs w:val="false"/>
          <w:color w:val="000000"/>
          <w:sz w:val="24"/>
          <w:szCs w:val="24"/>
        </w:rPr>
        <w:t xml:space="preserve">基于第二章逐项核实的局限性证据，本节凝练六个亟需解决的问题（P1—P6）。每条问题均明确追溯到第二章的具体工具缺陷，形成“别人不行、所以我要做”的论证闭环；3.3 节的每个模块将对应回这些问题编号。</w:t>
      </w:r>
    </w:p>
    <w:p>
      <w:pPr>
        <w:spacing w:after="0" w:before="0" w:line="360" w:lineRule="auto"/>
        <w:ind w:firstLine="480"/>
        <w:jc w:val="both"/>
      </w:pPr>
      <w:r>
        <w:rPr>
          <w:rFonts w:ascii="Times New Roman" w:eastAsia="宋体"/>
          <w:b/>
          <w:bCs/>
          <w:color w:val="000000"/>
          <w:sz w:val="24"/>
          <w:szCs w:val="24"/>
        </w:rPr>
        <w:t xml:space="preserve">P1  构建环境缺失导致静态分析跑不起来。</w:t>
      </w:r>
      <w:r>
        <w:rPr>
          <w:rFonts w:ascii="Times New Roman" w:eastAsia="宋体"/>
          <w:color w:val="000000"/>
          <w:sz w:val="24"/>
          <w:szCs w:val="24"/>
        </w:rPr>
        <w:t xml:space="preserve">嵌入式工程的编译由交叉工具链与分散配置（make/CMake/IAR/Keil 工程、板级宏定义、SDK 头文件）构成，分析环境往往无法复现。直接后果是主流引擎的接入门槛：Coverity 依赖完整构建捕获[25]、CodeQL 需要先构建数据库[26]、Clang Static Analyzer 依赖编译数据库且跨单元分析默认关闭[30]、Cppcheck 自研前端对复杂宏的解析与真实编译器存在偏差[32]。若不解决，后续一切分析无从谈起。</w:t>
      </w:r>
    </w:p>
    <w:p>
      <w:pPr>
        <w:spacing w:after="0" w:before="0" w:line="360" w:lineRule="auto"/>
        <w:ind w:firstLine="480"/>
        <w:jc w:val="both"/>
      </w:pPr>
      <w:r>
        <w:rPr>
          <w:rFonts w:ascii="Times New Roman" w:eastAsia="宋体"/>
          <w:b/>
          <w:bCs/>
          <w:color w:val="000000"/>
          <w:sz w:val="24"/>
          <w:szCs w:val="24"/>
        </w:rPr>
        <w:t xml:space="preserve">P2  中断/并发/硬件语义建模缺失，是通用引擎的最大盲区。</w:t>
      </w:r>
      <w:r>
        <w:rPr>
          <w:rFonts w:ascii="Times New Roman" w:eastAsia="宋体"/>
          <w:color w:val="000000"/>
          <w:sz w:val="24"/>
          <w:szCs w:val="24"/>
        </w:rPr>
        <w:t xml:space="preserve">嵌入式并发单位是 ISR 与 RTOS 任务，竞争关系由中断优先级与 RTOS API 语义决定；而通用竞争检测建立在 pthread 线程模型之上（如 Goblint[59]），Infer 等 SAST 引擎对 ISR 无建模[28]，IKOS 明确不支持并发[58]。MMIO 寄存器访问与 volatile 语义同样缺乏显式模型，导致寄存器相关缺陷不可检、volatile 类告警成为高频误报（2.6 节原因（2）（3）（7））。</w:t>
      </w:r>
    </w:p>
    <w:p>
      <w:pPr>
        <w:spacing w:after="0" w:before="0" w:line="360" w:lineRule="auto"/>
        <w:ind w:firstLine="480"/>
        <w:jc w:val="both"/>
      </w:pPr>
      <w:r>
        <w:rPr>
          <w:rFonts w:ascii="Times New Roman" w:eastAsia="宋体"/>
          <w:b/>
          <w:bCs/>
          <w:color w:val="000000"/>
          <w:sz w:val="24"/>
          <w:szCs w:val="24"/>
        </w:rPr>
        <w:t xml:space="preserve">P3  规范符合性（MISRA/GJB）与漏洞检测两套工具割裂。</w:t>
      </w:r>
      <w:r>
        <w:rPr>
          <w:rFonts w:ascii="Times New Roman" w:eastAsia="宋体"/>
          <w:color w:val="000000"/>
          <w:sz w:val="24"/>
          <w:szCs w:val="24"/>
        </w:rPr>
        <w:t xml:space="preserve">编码标准合规由 QAC、LDRA 等合规引擎承担[49][50]，漏洞检测由 Coverity、CodeQL 等承担[25][26]，两者在规则集、输出格式、证据链与工作流上互不相通；开源侧 TscanCode 未核实到 MISRA 支持[33]，Frama-C 无厂商背书的鉴定文档[53]。企业须同时采购维护两套工具并人工汇编合规报告，成本高且口径不一致。</w:t>
      </w:r>
    </w:p>
    <w:p>
      <w:pPr>
        <w:spacing w:after="0" w:before="0" w:line="360" w:lineRule="auto"/>
        <w:ind w:firstLine="480"/>
        <w:jc w:val="both"/>
      </w:pPr>
      <w:r>
        <w:rPr>
          <w:rFonts w:ascii="Times New Roman" w:eastAsia="宋体"/>
          <w:b/>
          <w:bCs/>
          <w:color w:val="000000"/>
          <w:sz w:val="24"/>
          <w:szCs w:val="24"/>
        </w:rPr>
        <w:t xml:space="preserve">P4  漏报与误报不可调和，且结果缺乏可证明性分级。</w:t>
      </w:r>
      <w:r>
        <w:rPr>
          <w:rFonts w:ascii="Times New Roman" w:eastAsia="宋体"/>
          <w:color w:val="000000"/>
          <w:sz w:val="24"/>
          <w:szCs w:val="24"/>
        </w:rPr>
        <w:t xml:space="preserve">健全的抽象解释需要逐项目域工程且灰色结果需人工评审（Astrée[45]、Polyspace[46]）；BMC 完备性受展开界限制（CBMC[55]）；保守的规则类工具低误报但系统性漏报深层缺陷（Cppcheck[32]）。现有工具输出单一告警流，不区分“数学证明的结论”与“疑似告警”，安全关键场景无法按合规要求使用。</w:t>
      </w:r>
    </w:p>
    <w:p>
      <w:pPr>
        <w:spacing w:after="0" w:before="0" w:line="360" w:lineRule="auto"/>
        <w:ind w:firstLine="480"/>
        <w:jc w:val="both"/>
      </w:pPr>
      <w:r>
        <w:rPr>
          <w:rFonts w:ascii="Times New Roman" w:eastAsia="宋体"/>
          <w:b/>
          <w:bCs/>
          <w:color w:val="000000"/>
          <w:sz w:val="24"/>
          <w:szCs w:val="24"/>
        </w:rPr>
        <w:t xml:space="preserve">P5  LLM 方案幻觉严重、可解释性差、仓库级上下文受限。</w:t>
      </w:r>
      <w:r>
        <w:rPr>
          <w:rFonts w:ascii="Times New Roman" w:eastAsia="宋体"/>
          <w:color w:val="000000"/>
          <w:sz w:val="24"/>
          <w:szCs w:val="24"/>
        </w:rPr>
        <w:t xml:space="preserve">严格基准表明 LLM 直接判漏洞接近随机：SOTA 7B 模型 F1 在 PrimeVul 上仅 3.09%[65]；预训练代码模型上下文窗口小、函数级粒度[36][37][38]；现有 LLM 检测方案或局限于非 C/C++ 领域（GPTScan 面向智能合约[39]），或依赖外部 API 且无嵌入式知识注入（LLM4Vuln[40]）。结论无证据链、无工具验证，无法进入安全关键流程。</w:t>
      </w:r>
    </w:p>
    <w:p>
      <w:pPr>
        <w:spacing w:after="0" w:before="0" w:line="360" w:lineRule="auto"/>
        <w:ind w:firstLine="480"/>
        <w:jc w:val="both"/>
      </w:pPr>
      <w:r>
        <w:rPr>
          <w:rFonts w:ascii="Times New Roman" w:eastAsia="宋体"/>
          <w:b/>
          <w:bCs/>
          <w:color w:val="000000"/>
          <w:sz w:val="24"/>
          <w:szCs w:val="24"/>
        </w:rPr>
        <w:t xml:space="preserve">P6  嵌入式专属数据集与评测基准缺失。</w:t>
      </w:r>
      <w:r>
        <w:rPr>
          <w:rFonts w:ascii="Times New Roman" w:eastAsia="宋体"/>
          <w:color w:val="000000"/>
          <w:sz w:val="24"/>
          <w:szCs w:val="24"/>
        </w:rPr>
        <w:t xml:space="preserve">Juliet 为人工合成用例，good/bad 配对使模型学到结构捷径[67]；Big-Vul、CVEfixes 等真实数据集来自通用软件，无硬件上下文标注，且存在重复与泄漏导致的高估[65][70][71]；SV-COMP 任务为小规模单性质程序[60]。嵌入式特有缺陷类型（ISR 竞争、寄存器误访问）在任何现有公开基准中均无系统覆盖，导致本领域方法评测失真。</w:t>
      </w:r>
    </w:p>
    <w:p>
      <w:pPr>
        <w:pStyle w:val="Heading2"/>
        <w:spacing w:after="120" w:before="120" w:line="360" w:lineRule="auto"/>
      </w:pPr>
      <w:bookmarkStart w:id="100051" w:name="_Toc100051"/>
      <w:r>
        <w:rPr>
          <w:rFonts w:ascii="Times New Roman" w:eastAsia="黑体"/>
          <w:color w:val="000000"/>
          <w:sz w:val="28"/>
          <w:szCs w:val="28"/>
        </w:rPr>
        <w:t xml:space="preserve">3.2  总体技术路线</w:t>
      </w:r>
      <w:bookmarkEnd w:id="100051"/>
    </w:p>
    <w:p>
      <w:pPr>
        <w:spacing w:after="0" w:before="0" w:line="360" w:lineRule="auto"/>
        <w:ind w:firstLine="480"/>
        <w:jc w:val="both"/>
      </w:pPr>
      <w:r>
        <w:rPr>
          <w:rFonts w:ascii="Times New Roman" w:eastAsia="宋体"/>
          <w:b w:val="false"/>
          <w:bCs w:val="false"/>
          <w:color w:val="000000"/>
          <w:sz w:val="24"/>
          <w:szCs w:val="24"/>
        </w:rPr>
        <w:t xml:space="preserve">本系统采用</w:t>
      </w:r>
      <w:r>
        <w:rPr>
          <w:rFonts w:ascii="Times New Roman" w:eastAsia="宋体"/>
          <w:b/>
          <w:bCs/>
          <w:color w:val="000000"/>
          <w:sz w:val="24"/>
          <w:szCs w:val="24"/>
        </w:rPr>
        <w:t xml:space="preserve">规则与静态分析为骨架、LLM 增强的混合式（hybrid）路线</w:t>
      </w:r>
      <w:r>
        <w:rPr>
          <w:rFonts w:ascii="Times New Roman" w:eastAsia="宋体"/>
          <w:b w:val="false"/>
          <w:bCs w:val="false"/>
          <w:color w:val="000000"/>
          <w:sz w:val="24"/>
          <w:szCs w:val="24"/>
        </w:rPr>
        <w:t xml:space="preserve">：以精确分析技术（规则引擎、抽象解释、符号执行、数据流/污点）承担可判定、需穷尽的检测任务，以 LLM 承担语义理解类任务（告警研判、误报过滤、修复建议），并以工具反馈约束 LLM 输出。该路线的直接依据是 2.5.3 的实证：LLM 语义能力真实但单独使用不可信[65]，而 GPTScan 的“生成-验证”耦合与固件迭代修补工作（报告 92.4% 漏洞修复率[77]）证明工具验证回路有效。</w:t>
      </w:r>
    </w:p>
    <w:p>
      <w:pPr>
        <w:spacing w:after="0" w:before="0" w:line="360" w:lineRule="auto"/>
        <w:ind w:firstLine="480"/>
        <w:jc w:val="both"/>
      </w:pPr>
      <w:r>
        <w:rPr>
          <w:rFonts w:ascii="Times New Roman" w:eastAsia="宋体"/>
          <w:b w:val="false"/>
          <w:bCs w:val="false"/>
          <w:color w:val="000000"/>
          <w:sz w:val="24"/>
          <w:szCs w:val="24"/>
        </w:rPr>
        <w:t xml:space="preserve">系统按五层组织，总体架构见图 3-1。L1 编译环境复现层解决 P1：从任意嵌入式工程产出编译数据库与工具链容器；L2 统一 IR/程序表示层将 Clang AST/IR、调用图与 SARIF 告警统一为单一数据模型，解决 P3 的表示割裂；L3 多引擎分析层并行运行规则引擎、抽象解释、符号执行与数据流/污点分析，硬件语义与并发模型（P2）在此层注入各引擎；L4 LLM 增强层执行告警排序、误报过滤与修复建议（P5），其结论以证据回链与验证闭环约束；L5 结果聚合与可证明性输出层聚合去重、映射 CWE/MISRA、生成证据链与合规报告（P3、P4），并按可证明性分级输出。自建数据集（P6）作为评测支撑贯穿各层。</w:t>
      </w:r>
    </w:p>
    <w:p>
      <w:pPr>
        <w:keepNext/>
        <w:spacing w:before="200"/>
        <w:jc w:val="center"/>
      </w:pPr>
      <w:r>
        <w:drawing>
          <wp:inline distT="0" distB="0" distL="0" distR="0">
            <wp:extent cx="5143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52825"/>
                    </a:xfrm>
                    <a:prstGeom prst="rect">
                      <a:avLst/>
                    </a:prstGeom>
                  </pic:spPr>
                </pic:pic>
              </a:graphicData>
            </a:graphic>
          </wp:inline>
        </w:drawing>
      </w:r>
    </w:p>
    <w:p>
      <w:pPr>
        <w:spacing w:after="200" w:before="80" w:line="300" w:lineRule="atLeast"/>
        <w:jc w:val="left"/>
      </w:pPr>
      <w:r>
        <w:rPr>
          <w:rFonts w:ascii="Times New Roman" w:eastAsia="宋体"/>
          <w:color w:val="000000"/>
          <w:sz w:val="21"/>
          <w:szCs w:val="21"/>
        </w:rPr>
        <w:t xml:space="preserve">图 3-1  系统总体技术架构（五层，右侧标注对应解决的问题编号）</w:t>
      </w:r>
    </w:p>
    <w:p>
      <w:pPr>
        <w:pStyle w:val="Heading2"/>
        <w:spacing w:after="120" w:before="120" w:line="360" w:lineRule="auto"/>
      </w:pPr>
      <w:bookmarkStart w:id="100052" w:name="_Toc100052"/>
      <w:r>
        <w:rPr>
          <w:rFonts w:ascii="Times New Roman" w:eastAsia="黑体"/>
          <w:color w:val="000000"/>
          <w:sz w:val="28"/>
          <w:szCs w:val="28"/>
        </w:rPr>
        <w:t xml:space="preserve">3.3  关键模块的具体实现</w:t>
      </w:r>
      <w:bookmarkEnd w:id="100052"/>
    </w:p>
    <w:p>
      <w:pPr>
        <w:spacing w:after="0" w:before="0" w:line="360" w:lineRule="auto"/>
        <w:ind w:firstLine="480"/>
        <w:jc w:val="both"/>
      </w:pPr>
      <w:r>
        <w:rPr>
          <w:rFonts w:ascii="Times New Roman" w:eastAsia="宋体"/>
          <w:b w:val="false"/>
          <w:bCs w:val="false"/>
          <w:color w:val="000000"/>
          <w:sz w:val="24"/>
          <w:szCs w:val="24"/>
        </w:rPr>
        <w:t xml:space="preserve">本节按 P1—P6 逐条给出模块设计。每个模块写清输入输出、技术选型（区分复用与自研）、关键流程伪代码及其解决问题的机理。表 3-1 给出问题与模块的总映射。</w:t>
      </w:r>
    </w:p>
    <w:p>
      <w:pPr>
        <w:keepNext/>
        <w:spacing w:after="80" w:before="200" w:line="300" w:lineRule="atLeast"/>
        <w:jc w:val="left"/>
      </w:pPr>
      <w:r>
        <w:rPr>
          <w:rFonts w:ascii="Times New Roman" w:eastAsia="宋体"/>
          <w:color w:val="000000"/>
          <w:sz w:val="21"/>
          <w:szCs w:val="21"/>
        </w:rPr>
        <w:t xml:space="preserve">表 3-1  问题（P1—P6）与模块及可复用技术的对应关系</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69"/>
        <w:gridCol w:w="3197"/>
        <w:gridCol w:w="4138"/>
      </w:tblGrid>
      <w:tr>
        <w:trPr>
          <w:cantSplit/>
          <w:tblHeader/>
        </w:trPr>
        <w:tc>
          <w:tcPr>
            <w:tcW w:type="pct" w:w="1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问题</w:t>
            </w:r>
          </w:p>
        </w:tc>
        <w:tc>
          <w:tcPr>
            <w:tcW w:type="pct" w:w="1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对应模块（3.3 节）</w:t>
            </w:r>
          </w:p>
        </w:tc>
        <w:tc>
          <w:tcPr>
            <w:tcW w:type="pct" w:w="2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可复用的现有技术</w:t>
            </w:r>
          </w:p>
        </w:tc>
      </w:tr>
      <w:tr>
        <w:trPr>
          <w:cantSplit/>
        </w:trPr>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P1 构建环境缺失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3.3.1 编译命令与构建环境自动复现</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Bear/compdb[73]、CMake 导出、Clang 交叉驱动</w:t>
            </w:r>
          </w:p>
        </w:tc>
      </w:tr>
      <w:tr>
        <w:trPr>
          <w:cantSplit/>
        </w:trPr>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P2 并发/硬件语义缺失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3.3.2 硬件语义与并发建模</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CMSIS-SVD[74]、Goblint 线程模型[59]、ESBMC 并发编码[54]</w:t>
            </w:r>
          </w:p>
        </w:tc>
      </w:tr>
      <w:tr>
        <w:trPr>
          <w:cantSplit/>
        </w:trPr>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P3 规范与漏洞检测割裂</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3.3.3 规则引擎 + 3.3.7 聚合输出</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cppcheck MISRA 插件[32]、clang-tidy/Semgrep 框架、SARIF</w:t>
            </w:r>
          </w:p>
        </w:tc>
      </w:tr>
      <w:tr>
        <w:trPr>
          <w:cantSplit/>
        </w:trPr>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P4 误报漏报与可证明性</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3.3.4 抽象解释与符号执行适配</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Infer 摘要式分析[28]、ESBMC k-归纳[54]、CPAchecker 域组合[57]</w:t>
            </w:r>
          </w:p>
        </w:tc>
      </w:tr>
      <w:tr>
        <w:trPr>
          <w:cantSplit/>
        </w:trPr>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P5 LLM 幻觉与上下文</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3.3.5 LLM 增强环节</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GPTScan 生成-验证范式[39]、RAG、vLLM 本地部署</w:t>
            </w:r>
          </w:p>
        </w:tc>
      </w:tr>
      <w:tr>
        <w:trPr>
          <w:cantSplit/>
        </w:trPr>
        <w:tc>
          <w:tcPr>
            <w:tcW w:type="pct" w:w="1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P6 数据集缺失</w:t>
            </w:r>
          </w:p>
        </w:tc>
        <w:tc>
          <w:tcPr>
            <w:tcW w:type="pct" w:w="1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3.4.3 自建嵌入式数据集</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CVEfixes 采集框架[70]、PrimeVul 清洗与划分方法[65]</w:t>
            </w:r>
          </w:p>
        </w:tc>
      </w:tr>
    </w:tbl>
    <w:p>
      <w:pPr>
        <w:pStyle w:val="Heading3"/>
        <w:spacing w:after="80" w:before="80" w:line="360" w:lineRule="auto"/>
      </w:pPr>
      <w:bookmarkStart w:id="100053" w:name="_Toc100053"/>
      <w:r>
        <w:rPr>
          <w:rFonts w:ascii="Times New Roman" w:eastAsia="宋体"/>
          <w:b/>
          <w:bCs/>
          <w:color w:val="000000"/>
          <w:sz w:val="24"/>
          <w:szCs w:val="24"/>
        </w:rPr>
        <w:t xml:space="preserve">3.3.1  编译命令与构建环境自动复现（对应 P1）</w:t>
      </w:r>
      <w:bookmarkEnd w:id="100053"/>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输入为目标工程仓库与目标平台标识（如 STM32F4、arm-none-eabi）；输出为与真实构建语义一致的 compile_commands.json、交叉工具链容器镜像与宏/头文件补全清单。</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对 CMake/Make/qmake 工程，优先使用其原生导出或 Bear（Build EAR）构建拦截生成编译数据库[73]；对 IAR/Keil 等闭源 IDE 工程（.ewp/.uvprojx 为 XML），自研工程文件解析器，将包含路径、宏定义、目标核与字节序翻译为等价 Clang 交叉驱动命令行；工具链镜像以 Docker 固化（gcc-arm-none-eabi、IAR 编译器按许可挂载），保证可复现；宏与头文件补全通过依赖扫描（预处理探测缺失头文件）加 SDK 包索引实现。</w:t>
      </w:r>
    </w:p>
    <w:p>
      <w:pPr>
        <w:spacing w:after="0" w:before="80" w:line="250" w:lineRule="atLeast"/>
        <w:ind w:left="720"/>
        <w:jc w:val="left"/>
      </w:pPr>
      <w:r>
        <w:rPr>
          <w:rFonts w:ascii="Courier New" w:eastAsia="宋体"/>
          <w:color w:val="000000"/>
          <w:sz w:val="18"/>
          <w:szCs w:val="18"/>
        </w:rPr>
        <w:t xml:space="preserve">procedure BuildReconstruct(repo, target):</w:t>
      </w:r>
    </w:p>
    <w:p>
      <w:pPr>
        <w:spacing w:after="0" w:before="0" w:line="250" w:lineRule="atLeast"/>
        <w:ind w:left="720"/>
        <w:jc w:val="left"/>
      </w:pPr>
      <w:r>
        <w:rPr>
          <w:rFonts w:ascii="Courier New" w:eastAsia="宋体"/>
          <w:color w:val="000000"/>
          <w:sz w:val="18"/>
          <w:szCs w:val="18"/>
        </w:rPr>
        <w:t xml:space="preserve">  if has(repo, 'CMakeLists.txt') : cmd = cmake -DCMAKE_EXPORT_COMPILE_COMMANDS=ON</w:t>
      </w:r>
    </w:p>
    <w:p>
      <w:pPr>
        <w:spacing w:after="0" w:before="0" w:line="250" w:lineRule="atLeast"/>
        <w:ind w:left="720"/>
        <w:jc w:val="left"/>
      </w:pPr>
      <w:r>
        <w:rPr>
          <w:rFonts w:ascii="Courier New" w:eastAsia="宋体"/>
          <w:color w:val="000000"/>
          <w:sz w:val="18"/>
          <w:szCs w:val="18"/>
        </w:rPr>
        <w:t xml:space="preserve">  elif has(repo, 'Makefile')       : cmd = bear -- make            # 构建拦截[73]</w:t>
      </w:r>
    </w:p>
    <w:p>
      <w:pPr>
        <w:spacing w:after="0" w:before="0" w:line="250" w:lineRule="atLeast"/>
        <w:ind w:left="720"/>
        <w:jc w:val="left"/>
      </w:pPr>
      <w:r>
        <w:rPr>
          <w:rFonts w:ascii="Courier New" w:eastAsia="宋体"/>
          <w:color w:val="000000"/>
          <w:sz w:val="18"/>
          <w:szCs w:val="18"/>
        </w:rPr>
        <w:t xml:space="preserve">  elif has(repo, '*.ewp|*.uvprojx'): cmd = IdeProjectParser(xml)   # 自研：翻译为 clang 命令行</w:t>
      </w:r>
    </w:p>
    <w:p>
      <w:pPr>
        <w:spacing w:after="0" w:before="0" w:line="250" w:lineRule="atLeast"/>
        <w:ind w:left="720"/>
        <w:jc w:val="left"/>
      </w:pPr>
      <w:r>
        <w:rPr>
          <w:rFonts w:ascii="Courier New" w:eastAsia="宋体"/>
          <w:color w:val="000000"/>
          <w:sz w:val="18"/>
          <w:szCs w:val="18"/>
        </w:rPr>
        <w:t xml:space="preserve">  ccdb = run(cmd)                                   # compile_commands.json</w:t>
      </w:r>
    </w:p>
    <w:p>
      <w:pPr>
        <w:spacing w:after="0" w:before="0" w:line="250" w:lineRule="atLeast"/>
        <w:ind w:left="720"/>
        <w:jc w:val="left"/>
      </w:pPr>
      <w:r>
        <w:rPr>
          <w:rFonts w:ascii="Courier New" w:eastAsia="宋体"/>
          <w:color w:val="000000"/>
          <w:sz w:val="18"/>
          <w:szCs w:val="18"/>
        </w:rPr>
        <w:t xml:space="preserve">  for entry in ccdb:                                # 宏/头文件补全</w:t>
      </w:r>
    </w:p>
    <w:p>
      <w:pPr>
        <w:spacing w:after="0" w:before="0" w:line="250" w:lineRule="atLeast"/>
        <w:ind w:left="720"/>
        <w:jc w:val="left"/>
      </w:pPr>
      <w:r>
        <w:rPr>
          <w:rFonts w:ascii="Courier New" w:eastAsia="宋体"/>
          <w:color w:val="000000"/>
          <w:sz w:val="18"/>
          <w:szCs w:val="18"/>
        </w:rPr>
        <w:t xml:space="preserve">      missing = probe_missing_headers(entry)        # 预处理探测</w:t>
      </w:r>
    </w:p>
    <w:p>
      <w:pPr>
        <w:spacing w:after="0" w:before="0" w:line="250" w:lineRule="atLeast"/>
        <w:ind w:left="720"/>
        <w:jc w:val="left"/>
      </w:pPr>
      <w:r>
        <w:rPr>
          <w:rFonts w:ascii="Courier New" w:eastAsia="宋体"/>
          <w:color w:val="000000"/>
          <w:sz w:val="18"/>
          <w:szCs w:val="18"/>
        </w:rPr>
        <w:t xml:space="preserve">      entry += resolve(missing, sdk_index[target])  # SDK 包索引补全</w:t>
      </w:r>
    </w:p>
    <w:p>
      <w:pPr>
        <w:spacing w:after="0" w:before="0" w:line="250" w:lineRule="atLeast"/>
        <w:ind w:left="720"/>
        <w:jc w:val="left"/>
      </w:pPr>
      <w:r>
        <w:rPr>
          <w:rFonts w:ascii="Courier New" w:eastAsia="宋体"/>
          <w:color w:val="000000"/>
          <w:sz w:val="18"/>
          <w:szCs w:val="18"/>
        </w:rPr>
        <w:t xml:space="preserve">  image = dockerize(toolchain[target], ccdb)        # 工具链容器固化</w:t>
      </w:r>
    </w:p>
    <w:p>
      <w:pPr>
        <w:spacing w:after="120" w:before="0" w:line="250" w:lineRule="atLeast"/>
        <w:ind w:left="720"/>
        <w:jc w:val="left"/>
      </w:pPr>
      <w:r>
        <w:rPr>
          <w:rFonts w:ascii="Courier New" w:eastAsia="宋体"/>
          <w:color w:val="000000"/>
          <w:sz w:val="18"/>
          <w:szCs w:val="18"/>
        </w:rPr>
        <w:t xml:space="preserve">  return ccdb, image</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P1 的本质是分析器看到的编译语义与真实构建不一致。本模块以“拦截真实构建优先、解析工程文件兜底”双通道产出编译数据库，并以容器固化，使 L2 层 Clang IR 与各引擎获得与目标构建一致的宏、类型宽度与头文件语义，直接消除 2.2.1/2.2.2/2.2.6 所列的接入失败与解析偏差。</w:t>
      </w:r>
    </w:p>
    <w:p>
      <w:pPr>
        <w:pStyle w:val="Heading3"/>
        <w:spacing w:after="80" w:before="80" w:line="360" w:lineRule="auto"/>
      </w:pPr>
      <w:bookmarkStart w:id="100054" w:name="_Toc100054"/>
      <w:r>
        <w:rPr>
          <w:rFonts w:ascii="Times New Roman" w:eastAsia="宋体"/>
          <w:b/>
          <w:bCs/>
          <w:color w:val="000000"/>
          <w:sz w:val="24"/>
          <w:szCs w:val="24"/>
        </w:rPr>
        <w:t xml:space="preserve">3.3.2  硬件语义与并发建模（对应 P2）</w:t>
      </w:r>
      <w:bookmarkEnd w:id="100054"/>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CMSIS-SVD 芯片描述[74]、链接脚本、启动文件与 RTOS API 调用；输出为寄存器语义库（地址/访问权限/位域）、ISR 并发图（入口、优先级、抢占关系）与 RTOS API 语义标注表。</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寄存器语义：解析 CMSIS-SVD（XML，覆盖主流 Cortex-M 厂商）生成“地址→外设/寄存器/访问权限”映射，注入分析器作为 MMIO 对象模型[74]；ISR 入口识别：解析启动文件向量表与链接脚本、匹配中断属性注解三路合一；抢占关系：由 NVIC 优先级与 RTOS 调度配置推导偏序；RTOS 语义：为 FreeRTOS/RT-Thread 关键 API（任务创建、队列/信号量、延时、临界区）建立标注表（阻塞点、锁语义、ISR 变体），转换为分析器可消费的模型——静态检查侧扩展 Goblint 式线程模块为“ISR/任务”模块[59]，模型检查侧映射为 ESBMC 并发编码[54]。</w:t>
      </w:r>
    </w:p>
    <w:p>
      <w:pPr>
        <w:spacing w:after="0" w:before="80" w:line="250" w:lineRule="atLeast"/>
        <w:ind w:left="720"/>
        <w:jc w:val="left"/>
      </w:pPr>
      <w:r>
        <w:rPr>
          <w:rFonts w:ascii="Courier New" w:eastAsia="宋体"/>
          <w:color w:val="000000"/>
          <w:sz w:val="18"/>
          <w:szCs w:val="18"/>
        </w:rPr>
        <w:t xml:space="preserve">procedure HwModelExtract(repo, svd):</w:t>
      </w:r>
    </w:p>
    <w:p>
      <w:pPr>
        <w:spacing w:after="0" w:before="0" w:line="250" w:lineRule="atLeast"/>
        <w:ind w:left="720"/>
        <w:jc w:val="left"/>
      </w:pPr>
      <w:r>
        <w:rPr>
          <w:rFonts w:ascii="Courier New" w:eastAsia="宋体"/>
          <w:color w:val="000000"/>
          <w:sz w:val="18"/>
          <w:szCs w:val="18"/>
        </w:rPr>
        <w:t xml:space="preserve">  regmap = ParseSVD(svd)          # 地址 -&gt; (外设, 寄存器, 访问权限, 位域)[74]</w:t>
      </w:r>
    </w:p>
    <w:p>
      <w:pPr>
        <w:spacing w:after="0" w:before="0" w:line="250" w:lineRule="atLeast"/>
        <w:ind w:left="720"/>
        <w:jc w:val="left"/>
      </w:pPr>
      <w:r>
        <w:rPr>
          <w:rFonts w:ascii="Courier New" w:eastAsia="宋体"/>
          <w:color w:val="000000"/>
          <w:sz w:val="18"/>
          <w:szCs w:val="18"/>
        </w:rPr>
        <w:t xml:space="preserve">  isrs   = VectorTable(startup) + AttrScan('__attribute__((interrupt))')</w:t>
      </w:r>
    </w:p>
    <w:p>
      <w:pPr>
        <w:spacing w:after="0" w:before="0" w:line="250" w:lineRule="atLeast"/>
        <w:ind w:left="720"/>
        <w:jc w:val="left"/>
      </w:pPr>
      <w:r>
        <w:rPr>
          <w:rFonts w:ascii="Courier New" w:eastAsia="宋体"/>
          <w:color w:val="000000"/>
          <w:sz w:val="18"/>
          <w:szCs w:val="18"/>
        </w:rPr>
        <w:t xml:space="preserve">  prio   = NVIC_Levels(linker, config)             # 中断优先级偏序</w:t>
      </w:r>
    </w:p>
    <w:p>
      <w:pPr>
        <w:spacing w:after="0" w:before="0" w:line="250" w:lineRule="atLeast"/>
        <w:ind w:left="720"/>
        <w:jc w:val="left"/>
      </w:pPr>
      <w:r>
        <w:rPr>
          <w:rFonts w:ascii="Courier New" w:eastAsia="宋体"/>
          <w:color w:val="000000"/>
          <w:sz w:val="18"/>
          <w:szCs w:val="18"/>
        </w:rPr>
        <w:t xml:space="preserve">  rtos   = { api: Sem(api) for api in RTOS_APIS }   # 阻塞点/锁/队列语义标注</w:t>
      </w:r>
    </w:p>
    <w:p>
      <w:pPr>
        <w:spacing w:after="0" w:before="0" w:line="250" w:lineRule="atLeast"/>
        <w:ind w:left="720"/>
        <w:jc w:val="left"/>
      </w:pPr>
      <w:r>
        <w:rPr>
          <w:rFonts w:ascii="Courier New" w:eastAsia="宋体"/>
          <w:color w:val="000000"/>
          <w:sz w:val="18"/>
          <w:szCs w:val="18"/>
        </w:rPr>
        <w:t xml:space="preserve">  annotate(IR, regmap, isrs, prio, rtos)           # 注入统一 IR（L2）</w:t>
      </w:r>
    </w:p>
    <w:p>
      <w:pPr>
        <w:spacing w:after="120" w:before="0" w:line="250" w:lineRule="atLeast"/>
        <w:ind w:left="720"/>
        <w:jc w:val="left"/>
      </w:pPr>
      <w:r>
        <w:rPr>
          <w:rFonts w:ascii="Courier New" w:eastAsia="宋体"/>
          <w:color w:val="000000"/>
          <w:sz w:val="18"/>
          <w:szCs w:val="18"/>
        </w:rPr>
        <w:t xml:space="preserve">  return regmap, isr_graph, rtos_table</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P2 的根源是语义不可见。将寄存器访问、ISR 抢占与 RTOS 阻塞语义显式注入 IR 后：只读寄存器被写、位域越界、ISR 与任务共享变量无临界区、任务内调用阻塞 API 等缺陷从“不可判定”变为“可规则化检查”；volatile 相关误报因访问对象语义明确而大幅减少。</w:t>
      </w:r>
    </w:p>
    <w:p>
      <w:pPr>
        <w:pStyle w:val="Heading3"/>
        <w:spacing w:after="80" w:before="80" w:line="360" w:lineRule="auto"/>
      </w:pPr>
      <w:bookmarkStart w:id="100055" w:name="_Toc100055"/>
      <w:r>
        <w:rPr>
          <w:rFonts w:ascii="Times New Roman" w:eastAsia="宋体"/>
          <w:b/>
          <w:bCs/>
          <w:color w:val="000000"/>
          <w:sz w:val="24"/>
          <w:szCs w:val="24"/>
        </w:rPr>
        <w:t xml:space="preserve">3.3.3  MISRA/GJB/CERT 规则引擎实现（对应 P3）</w:t>
      </w:r>
      <w:bookmarkEnd w:id="100055"/>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L2 统一 IR 与规则集配置；输出为 SARIF 格式的规范告警（含规则编号、等级、证据位置）。</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规则形式化流水线：规则文本→可判定性分类（句法可判/需类型计算/需数据流/需人工评审）→实现载体。句法类以 Semgrep 模式或 clang-tidy 自定义 check 实现；类型计算类（如 MISRA 10.x 整型转换族）需实现 C 标准整型提升模型后在 AST 上计算；数据流类复用 L3 引擎。规则库分三集管理：MISRA C:2012（以 cppcheck misra.py 为基、补齐其未覆盖项[32]）、GJB 8114-2013（124 条自研映射，军事标准文本按授权使用）、CERT C（与 CWE 官方映射[18]）。裁剪策略：按 Mandatory/Required/Advisory 与行业配置文件（汽车/工控）分层启停。</w:t>
      </w:r>
    </w:p>
    <w:p>
      <w:pPr>
        <w:spacing w:after="0" w:before="80" w:line="250" w:lineRule="atLeast"/>
        <w:ind w:left="720"/>
        <w:jc w:val="left"/>
      </w:pPr>
      <w:r>
        <w:rPr>
          <w:rFonts w:ascii="Courier New" w:eastAsia="宋体"/>
          <w:color w:val="000000"/>
          <w:sz w:val="18"/>
          <w:szCs w:val="18"/>
        </w:rPr>
        <w:t xml:space="preserve"># 例：MISRA C:2012 Rule 10.x 族（整型转换）的可判定实现</w:t>
      </w:r>
    </w:p>
    <w:p>
      <w:pPr>
        <w:spacing w:after="0" w:before="0" w:line="250" w:lineRule="atLeast"/>
        <w:ind w:left="720"/>
        <w:jc w:val="left"/>
      </w:pPr>
      <w:r>
        <w:rPr>
          <w:rFonts w:ascii="Courier New" w:eastAsia="宋体"/>
          <w:color w:val="000000"/>
          <w:sz w:val="18"/>
          <w:szCs w:val="18"/>
        </w:rPr>
        <w:t xml:space="preserve">procedure CheckRule10_3(ast):</w:t>
      </w:r>
    </w:p>
    <w:p>
      <w:pPr>
        <w:spacing w:after="0" w:before="0" w:line="250" w:lineRule="atLeast"/>
        <w:ind w:left="720"/>
        <w:jc w:val="left"/>
      </w:pPr>
      <w:r>
        <w:rPr>
          <w:rFonts w:ascii="Courier New" w:eastAsia="宋体"/>
          <w:color w:val="000000"/>
          <w:sz w:val="18"/>
          <w:szCs w:val="18"/>
        </w:rPr>
        <w:t xml:space="preserve">  for assign in ast.matches('a = b'):</w:t>
      </w:r>
    </w:p>
    <w:p>
      <w:pPr>
        <w:spacing w:after="0" w:before="0" w:line="250" w:lineRule="atLeast"/>
        <w:ind w:left="720"/>
        <w:jc w:val="left"/>
      </w:pPr>
      <w:r>
        <w:rPr>
          <w:rFonts w:ascii="Courier New" w:eastAsia="宋体"/>
          <w:color w:val="000000"/>
          <w:sz w:val="18"/>
          <w:szCs w:val="18"/>
        </w:rPr>
        <w:t xml:space="preserve">    tl, tr = UsualArithType(assign.lhs), UsualArithType(assign.rhs)  # C 整型提升模型</w:t>
      </w:r>
    </w:p>
    <w:p>
      <w:pPr>
        <w:spacing w:after="0" w:before="0" w:line="250" w:lineRule="atLeast"/>
        <w:ind w:left="720"/>
        <w:jc w:val="left"/>
      </w:pPr>
      <w:r>
        <w:rPr>
          <w:rFonts w:ascii="Courier New" w:eastAsia="宋体"/>
          <w:color w:val="000000"/>
          <w:sz w:val="18"/>
          <w:szCs w:val="18"/>
        </w:rPr>
        <w:t xml:space="preserve">    if Rank(tr) &gt; Rank(tl) or Signedness(tr) != Signedness(tl):</w:t>
      </w:r>
    </w:p>
    <w:p>
      <w:pPr>
        <w:spacing w:after="0" w:before="0" w:line="250" w:lineRule="atLeast"/>
        <w:ind w:left="720"/>
        <w:jc w:val="left"/>
      </w:pPr>
      <w:r>
        <w:rPr>
          <w:rFonts w:ascii="Courier New" w:eastAsia="宋体"/>
          <w:color w:val="000000"/>
          <w:sz w:val="18"/>
          <w:szCs w:val="18"/>
        </w:rPr>
        <w:t xml:space="preserve">      emit_sarif(rule='MISRA C:2012 10.3', level='Required',</w:t>
      </w:r>
    </w:p>
    <w:p>
      <w:pPr>
        <w:spacing w:after="120" w:before="0" w:line="250" w:lineRule="atLeast"/>
        <w:ind w:left="720"/>
        <w:jc w:val="left"/>
      </w:pPr>
      <w:r>
        <w:rPr>
          <w:rFonts w:ascii="Courier New" w:eastAsia="宋体"/>
          <w:color w:val="000000"/>
          <w:sz w:val="18"/>
          <w:szCs w:val="18"/>
        </w:rPr>
        <w:t xml:space="preserve">                 loc=assign.loc, evidence=[type_of(assign.lhs), type_of(assign.rhs)])</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P3 的割裂源于规则集与输出体系分离。本模块将规范检查与缺陷检查统一在 L2 IR 与 SARIF 模型上，同一函数的 MISRA 违规与 CWE 告警由 L5 聚合为单一证据链；GJB 规则的自建映射填补 2.2.9 所述开源工具无 GJB/MISRA 支持的空白。</w:t>
      </w:r>
    </w:p>
    <w:p>
      <w:pPr>
        <w:pStyle w:val="Heading3"/>
        <w:spacing w:after="80" w:before="80" w:line="360" w:lineRule="auto"/>
      </w:pPr>
      <w:bookmarkStart w:id="100056" w:name="_Toc100056"/>
      <w:r>
        <w:rPr>
          <w:rFonts w:ascii="Times New Roman" w:eastAsia="宋体"/>
          <w:b/>
          <w:bCs/>
          <w:color w:val="000000"/>
          <w:sz w:val="24"/>
          <w:szCs w:val="24"/>
        </w:rPr>
        <w:t xml:space="preserve">3.3.4  抽象解释与符号执行的嵌入式适配（对应 P4）</w:t>
      </w:r>
      <w:bookmarkEnd w:id="100056"/>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输入为带硬件语义标注的 IR 与验证目标（性质/范围）；输出为分级的证明结论或带反例的告警。</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值域分析以区间域为基底、关键变量升级符号域（参照 Cppcheck value flow 与 IKOS 域设计[32][58]）；循环上界三来源：SVD 中 DMA 长度等硬件约束[74]、工程配置常量、人工标注上限；指针别名采用 Steensgaard/Andersen 分析供给各引擎；状态爆炸控制采用函数摘要式组合（Infer 路线[28]）加大程序分片（CodeSonar 经验[47]），完备性要求高的性质转 ESBMC k-归纳[54]。</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P4 要求在漏报、误报与成本间给出工程折衷且结论可分级。本模块不追求单一引擎全覆盖，而是按性质类别路由：运行时错误类走健全的抽象解释（可证明）、关键断言走 BMC（界内完备）、广谱缺陷走规则与数据流（低误报）——L5 依此输出“证明/检出/疑似”三级结论，替代单一告警流。</w:t>
      </w:r>
    </w:p>
    <w:p>
      <w:pPr>
        <w:pStyle w:val="Heading3"/>
        <w:spacing w:after="80" w:before="80" w:line="360" w:lineRule="auto"/>
      </w:pPr>
      <w:bookmarkStart w:id="100057" w:name="_Toc100057"/>
      <w:r>
        <w:rPr>
          <w:rFonts w:ascii="Times New Roman" w:eastAsia="宋体"/>
          <w:b/>
          <w:bCs/>
          <w:color w:val="000000"/>
          <w:sz w:val="24"/>
          <w:szCs w:val="24"/>
        </w:rPr>
        <w:t xml:space="preserve">3.3.5  LLM 增强环节（对应 P5）</w:t>
      </w:r>
      <w:bookmarkEnd w:id="100057"/>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L3 产出的 SARIF 告警及其上下文切片；输出为告警排序、误报判定、修复建议，每条结论附证据链并经工具验证。</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（1）上下文裁剪：以告警函数为核心，纳入深度不超过 2 的调用者/被调用者闭包、相关类型与宏定义，按 token 预算截取（回应仓库级上下文受限[65][66]）。（2）检索增强：知识库含 MISRA/CERT 条款解释、CWE 描述[19]、芯片手册片段与历史缺陷案例；采用置信度触发检索（A-RAG 模式）——高置信直接输出、低置信检索后重判；该模式据报道在 Toyota ITC 与 Big-Vul 统一数据集上取得 6.7% 至 18% 的 F1 提升[待核实]，其代码与评估套件的开源地址亦待进一步核实。（3）幻觉抑制与证据回链：强制结构化输出（JSON：判定/置信度/证据行号/理由），判定所引用的行号经程序化核对，未通过核对的结论降级为“疑似”；修复建议进入 3.3.7 验证闭环——已有固件工作以 CWE 分类驱动 LLM 迭代修补并经 QEMU 验证，报告 92.4% 修复率[77]，GPTScan 以静态分析确认削减约三分之二误报[39]，两者共同构成本模块的验证回路依据。（4）告警排序：以规则严重度、路径可达性与 LLM 判定融合评分。（5）本地化部署：以 vLLM 部署开源权重模型，满足行业数据不出域要求；分级调用（海量分诊用轻量模型、疑难研判用强模型）控制成本。</w:t>
      </w:r>
    </w:p>
    <w:p>
      <w:pPr>
        <w:spacing w:after="0" w:before="80" w:line="250" w:lineRule="atLeast"/>
        <w:ind w:left="720"/>
        <w:jc w:val="left"/>
      </w:pPr>
      <w:r>
        <w:rPr>
          <w:rFonts w:ascii="Courier New" w:eastAsia="宋体"/>
          <w:color w:val="000000"/>
          <w:sz w:val="18"/>
          <w:szCs w:val="18"/>
        </w:rPr>
        <w:t xml:space="preserve">procedure LlmTriage(alert):</w:t>
      </w:r>
    </w:p>
    <w:p>
      <w:pPr>
        <w:spacing w:after="0" w:before="0" w:line="250" w:lineRule="atLeast"/>
        <w:ind w:left="720"/>
        <w:jc w:val="left"/>
      </w:pPr>
      <w:r>
        <w:rPr>
          <w:rFonts w:ascii="Courier New" w:eastAsia="宋体"/>
          <w:color w:val="000000"/>
          <w:sz w:val="18"/>
          <w:szCs w:val="18"/>
        </w:rPr>
        <w:t xml:space="preserve">  ctx  = SliceContext(alert, depth=2, budget=4k)      # 函数+调用闭包+类型/宏</w:t>
      </w:r>
    </w:p>
    <w:p>
      <w:pPr>
        <w:spacing w:after="0" w:before="0" w:line="250" w:lineRule="atLeast"/>
        <w:ind w:left="720"/>
        <w:jc w:val="left"/>
      </w:pPr>
      <w:r>
        <w:rPr>
          <w:rFonts w:ascii="Courier New" w:eastAsia="宋体"/>
          <w:color w:val="000000"/>
          <w:sz w:val="18"/>
          <w:szCs w:val="18"/>
        </w:rPr>
        <w:t xml:space="preserve">  p1   = LlmJudge(alert, ctx)                          # 首判：结构化 JSON</w:t>
      </w:r>
    </w:p>
    <w:p>
      <w:pPr>
        <w:spacing w:after="0" w:before="0" w:line="250" w:lineRule="atLeast"/>
        <w:ind w:left="720"/>
        <w:jc w:val="left"/>
      </w:pPr>
      <w:r>
        <w:rPr>
          <w:rFonts w:ascii="Courier New" w:eastAsia="宋体"/>
          <w:color w:val="000000"/>
          <w:sz w:val="18"/>
          <w:szCs w:val="18"/>
        </w:rPr>
        <w:t xml:space="preserve">  if p1.confidence &lt; THRESH:                           # 置信度触发检索（A-RAG 模式）</w:t>
      </w:r>
    </w:p>
    <w:p>
      <w:pPr>
        <w:spacing w:after="0" w:before="0" w:line="250" w:lineRule="atLeast"/>
        <w:ind w:left="720"/>
        <w:jc w:val="left"/>
      </w:pPr>
      <w:r>
        <w:rPr>
          <w:rFonts w:ascii="Courier New" w:eastAsia="宋体"/>
          <w:color w:val="000000"/>
          <w:sz w:val="18"/>
          <w:szCs w:val="18"/>
        </w:rPr>
        <w:t xml:space="preserve">      kb   = Retrieve('MISRA|CWE|手册', alert.rule)    # RAG：条款/手册/案例</w:t>
      </w:r>
    </w:p>
    <w:p>
      <w:pPr>
        <w:spacing w:after="0" w:before="0" w:line="250" w:lineRule="atLeast"/>
        <w:ind w:left="720"/>
        <w:jc w:val="left"/>
      </w:pPr>
      <w:r>
        <w:rPr>
          <w:rFonts w:ascii="Courier New" w:eastAsia="宋体"/>
          <w:color w:val="000000"/>
          <w:sz w:val="18"/>
          <w:szCs w:val="18"/>
        </w:rPr>
        <w:t xml:space="preserve">      p1   = LlmJudge(alert, ctx + kb)                 # 携带知识重判</w:t>
      </w:r>
    </w:p>
    <w:p>
      <w:pPr>
        <w:spacing w:after="0" w:before="0" w:line="250" w:lineRule="atLeast"/>
        <w:ind w:left="720"/>
        <w:jc w:val="left"/>
      </w:pPr>
      <w:r>
        <w:rPr>
          <w:rFonts w:ascii="Courier New" w:eastAsia="宋体"/>
          <w:color w:val="000000"/>
          <w:sz w:val="18"/>
          <w:szCs w:val="18"/>
        </w:rPr>
        <w:t xml:space="preserve">  if not VerifyLines(p1.evidence, ctx):                # 证据回链：行号核对</w:t>
      </w:r>
    </w:p>
    <w:p>
      <w:pPr>
        <w:spacing w:after="0" w:before="0" w:line="250" w:lineRule="atLeast"/>
        <w:ind w:left="720"/>
        <w:jc w:val="left"/>
      </w:pPr>
      <w:r>
        <w:rPr>
          <w:rFonts w:ascii="Courier New" w:eastAsia="宋体"/>
          <w:color w:val="000000"/>
          <w:sz w:val="18"/>
          <w:szCs w:val="18"/>
        </w:rPr>
        <w:t xml:space="preserve">      p1.verdict = 'SUSPECTED'                         # 未通过核对即降级</w:t>
      </w:r>
    </w:p>
    <w:p>
      <w:pPr>
        <w:spacing w:after="0" w:before="0" w:line="250" w:lineRule="atLeast"/>
        <w:ind w:left="720"/>
        <w:jc w:val="left"/>
      </w:pPr>
      <w:r>
        <w:rPr>
          <w:rFonts w:ascii="Courier New" w:eastAsia="宋体"/>
          <w:color w:val="000000"/>
          <w:sz w:val="18"/>
          <w:szCs w:val="18"/>
        </w:rPr>
        <w:t xml:space="preserve">  if p1.verdict == 'FIX_SUGGESTED':</w:t>
      </w:r>
    </w:p>
    <w:p>
      <w:pPr>
        <w:spacing w:after="0" w:before="0" w:line="250" w:lineRule="atLeast"/>
        <w:ind w:left="720"/>
        <w:jc w:val="left"/>
      </w:pPr>
      <w:r>
        <w:rPr>
          <w:rFonts w:ascii="Courier New" w:eastAsia="宋体"/>
          <w:color w:val="000000"/>
          <w:sz w:val="18"/>
          <w:szCs w:val="18"/>
        </w:rPr>
        <w:t xml:space="preserve">      p1.patch_v = ToolLoopVerify(p1.patch)            # 编译+静态+CBMC 验证闭环[39][77]</w:t>
      </w:r>
    </w:p>
    <w:p>
      <w:pPr>
        <w:spacing w:after="120" w:before="0" w:line="250" w:lineRule="atLeast"/>
        <w:ind w:left="720"/>
        <w:jc w:val="left"/>
      </w:pPr>
      <w:r>
        <w:rPr>
          <w:rFonts w:ascii="Courier New" w:eastAsia="宋体"/>
          <w:color w:val="000000"/>
          <w:sz w:val="18"/>
          <w:szCs w:val="18"/>
        </w:rPr>
        <w:t xml:space="preserve">  return p1</w:t>
      </w:r>
    </w:p>
    <w:p>
      <w:pPr>
        <w:pStyle w:val="Heading3"/>
        <w:spacing w:after="80" w:before="80" w:line="360" w:lineRule="auto"/>
      </w:pPr>
      <w:bookmarkStart w:id="100058" w:name="_Toc100058"/>
      <w:r>
        <w:rPr>
          <w:rFonts w:ascii="Times New Roman" w:eastAsia="宋体"/>
          <w:b/>
          <w:bCs/>
          <w:color w:val="000000"/>
          <w:sz w:val="24"/>
          <w:szCs w:val="24"/>
        </w:rPr>
        <w:t xml:space="preserve">3.3.6  增量分析与大规模工程性能优化</w:t>
      </w:r>
      <w:bookmarkEnd w:id="100058"/>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输入为版本差异（diff）与分析基线；输出为受影响分析集与增量告警流。</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影响集计算：修改文件→头文件包含闭包→调用图反向闭包→受影响编译单元与函数集合；告警基线管理参照 CodeChecker 的存储/去重/抑制机制[30][53]：新旧告警差分，仅新增告警进入 L4 研判；执行层以任务队列并行调度各引擎，深度引擎（BMC/抽象解释）仅对影响集内函数运行。</w:t>
      </w:r>
    </w:p>
    <w:p>
      <w:pPr>
        <w:spacing w:after="0" w:before="0" w:line="360" w:lineRule="auto"/>
        <w:ind w:firstLine="480"/>
        <w:jc w:val="both"/>
      </w:pPr>
      <w:r>
        <w:rPr>
          <w:rFonts w:ascii="Times New Roman" w:eastAsia="宋体"/>
          <w:b/>
          <w:bCs/>
          <w:color w:val="000000"/>
          <w:sz w:val="24"/>
          <w:szCs w:val="24"/>
        </w:rPr>
        <w:t xml:space="preserve">解决机理：</w:t>
      </w:r>
      <w:r>
        <w:rPr>
          <w:rFonts w:ascii="Times New Roman" w:eastAsia="宋体"/>
          <w:b w:val="false"/>
          <w:bCs w:val="false"/>
          <w:color w:val="000000"/>
          <w:sz w:val="24"/>
          <w:szCs w:val="24"/>
        </w:rPr>
        <w:t xml:space="preserve">直接回应 2.6 节原因（8）：以影响集将深度分析的触发范围从全库收缩到变更闭包，使全程序级深度能力可以嵌入每日集成，而非一次性离线行为。</w:t>
      </w:r>
    </w:p>
    <w:p>
      <w:pPr>
        <w:pStyle w:val="Heading3"/>
        <w:spacing w:after="80" w:before="80" w:line="360" w:lineRule="auto"/>
      </w:pPr>
      <w:bookmarkStart w:id="100059" w:name="_Toc100059"/>
      <w:r>
        <w:rPr>
          <w:rFonts w:ascii="Times New Roman" w:eastAsia="宋体"/>
          <w:b/>
          <w:bCs/>
          <w:color w:val="000000"/>
          <w:sz w:val="24"/>
          <w:szCs w:val="24"/>
        </w:rPr>
        <w:t xml:space="preserve">3.3.7  结果聚合、可证明性输出与报告生成（呼应 P3、P4）</w:t>
      </w:r>
      <w:bookmarkEnd w:id="100059"/>
    </w:p>
    <w:p>
      <w:pPr>
        <w:spacing w:after="0" w:before="0" w:line="360" w:lineRule="auto"/>
        <w:ind w:firstLine="480"/>
        <w:jc w:val="both"/>
      </w:pPr>
      <w:r>
        <w:rPr>
          <w:rFonts w:ascii="Times New Roman" w:eastAsia="宋体"/>
          <w:b/>
          <w:bCs/>
          <w:color w:val="000000"/>
          <w:sz w:val="24"/>
          <w:szCs w:val="24"/>
        </w:rPr>
        <w:t xml:space="preserve">输入/输出：</w:t>
      </w:r>
      <w:r>
        <w:rPr>
          <w:rFonts w:ascii="Times New Roman" w:eastAsia="宋体"/>
          <w:color w:val="000000"/>
          <w:sz w:val="24"/>
          <w:szCs w:val="24"/>
        </w:rPr>
        <w:t xml:space="preserve">输入为 L3/L4 全部结论；输出为聚合后的统一报告：检测报告、MISRA/GJB 合规记录与证据链存档。</w:t>
      </w:r>
    </w:p>
    <w:p>
      <w:pPr>
        <w:spacing w:after="0" w:before="0" w:line="360" w:lineRule="auto"/>
        <w:ind w:firstLine="480"/>
        <w:jc w:val="both"/>
      </w:pPr>
      <w:r>
        <w:rPr>
          <w:rFonts w:ascii="Times New Roman" w:eastAsia="宋体"/>
          <w:b/>
          <w:bCs/>
          <w:color w:val="000000"/>
          <w:sz w:val="24"/>
          <w:szCs w:val="24"/>
        </w:rPr>
        <w:t xml:space="preserve">技术选型：</w:t>
      </w:r>
      <w:r>
        <w:rPr>
          <w:rFonts w:ascii="Times New Roman" w:eastAsia="宋体"/>
          <w:color w:val="000000"/>
          <w:sz w:val="24"/>
          <w:szCs w:val="24"/>
        </w:rPr>
        <w:t xml:space="preserve">聚合：以 SARIF 为唯一交换格式做跨引擎去重与合并（同位置同类别合并、保留各引擎独立结论）；映射：维护 CWE↔MISRA↔GJB 双向映射表（CERT C 与 CWE 有官方映射[18]），使每条告警同时携带规范与漏洞双重口径；可证明性分级：Proven（抽象解释/模型检查给出健全证明）、Detected（引擎检出且 LLM/人工确认）、Suspected（LLM 研判或未确证告警）；报告：按 MISRA Compliance 框架输出合规记录（每规则：合规/偏离/豁免与证据），满足 1.1 节标准对证据链的可追溯要求。</w:t>
      </w:r>
    </w:p>
    <w:p>
      <w:pPr>
        <w:pStyle w:val="Heading2"/>
        <w:spacing w:after="120" w:before="120" w:line="360" w:lineRule="auto"/>
      </w:pPr>
      <w:bookmarkStart w:id="100060" w:name="_Toc100060"/>
      <w:r>
        <w:rPr>
          <w:rFonts w:ascii="Times New Roman" w:eastAsia="黑体"/>
          <w:color w:val="000000"/>
          <w:sz w:val="28"/>
          <w:szCs w:val="28"/>
        </w:rPr>
        <w:t xml:space="preserve">3.4  数据集</w:t>
      </w:r>
      <w:bookmarkEnd w:id="100060"/>
    </w:p>
    <w:p>
      <w:pPr>
        <w:pStyle w:val="Heading3"/>
        <w:spacing w:after="80" w:before="80" w:line="360" w:lineRule="auto"/>
      </w:pPr>
      <w:bookmarkStart w:id="100061" w:name="_Toc100061"/>
      <w:r>
        <w:rPr>
          <w:rFonts w:ascii="Times New Roman" w:eastAsia="宋体"/>
          <w:b/>
          <w:bCs/>
          <w:color w:val="000000"/>
          <w:sz w:val="24"/>
          <w:szCs w:val="24"/>
        </w:rPr>
        <w:t xml:space="preserve">3.4.1  合成/标准数据集</w:t>
      </w:r>
      <w:bookmarkEnd w:id="100061"/>
    </w:p>
    <w:p>
      <w:pPr>
        <w:spacing w:after="0" w:before="0" w:line="360" w:lineRule="auto"/>
        <w:ind w:firstLine="480"/>
        <w:jc w:val="both"/>
      </w:pPr>
      <w:r>
        <w:rPr>
          <w:rFonts w:ascii="Times New Roman" w:eastAsia="宋体"/>
          <w:b w:val="false"/>
          <w:bCs w:val="false"/>
          <w:color w:val="000000"/>
          <w:sz w:val="24"/>
          <w:szCs w:val="24"/>
        </w:rPr>
        <w:t xml:space="preserve">Juliet C/C++ 测试集（NIST SARD）：1.2 版含 61,387 个 C/C++ 用例、覆盖 118 种 CWE，每个用例含 good/bad 配对，现行 1.3 版[67]。用途：规则引擎与工具检出率的覆盖广度评测。局限：人工合成的教科书式缺陷，good/bad 配对使模型可学到结构捷径，与真实 CVE 分布严重不符[65]。RERS Challenge：自动生成的反应式系统正确性基准（2011 年起）[68]；SV-COMP Benchmark Archive：2025 届 34,700 个验证任务，含 witness 校验闭环[69]。用途：形式化引擎的可达性/内存安全回归评测。</w:t>
      </w:r>
    </w:p>
    <w:p>
      <w:pPr>
        <w:pStyle w:val="Heading3"/>
        <w:spacing w:after="80" w:before="80" w:line="360" w:lineRule="auto"/>
      </w:pPr>
      <w:bookmarkStart w:id="100062" w:name="_Toc100062"/>
      <w:r>
        <w:rPr>
          <w:rFonts w:ascii="Times New Roman" w:eastAsia="宋体"/>
          <w:b/>
          <w:bCs/>
          <w:color w:val="000000"/>
          <w:sz w:val="24"/>
          <w:szCs w:val="24"/>
        </w:rPr>
        <w:t xml:space="preserve">3.4.2  真实世界数据集</w:t>
      </w:r>
      <w:bookmarkEnd w:id="100062"/>
    </w:p>
    <w:p>
      <w:pPr>
        <w:spacing w:after="0" w:before="0" w:line="360" w:lineRule="auto"/>
        <w:ind w:firstLine="480"/>
        <w:jc w:val="both"/>
      </w:pPr>
      <w:r>
        <w:rPr>
          <w:rFonts w:ascii="Times New Roman" w:eastAsia="宋体"/>
          <w:b w:val="false"/>
          <w:bCs w:val="false"/>
          <w:color w:val="000000"/>
          <w:sz w:val="24"/>
          <w:szCs w:val="24"/>
        </w:rPr>
        <w:t xml:space="preserve">CVEfixes（PROMISE 2021）：从 NVD 自动抓取 CVE 并关联开源仓库修复提交，构建关系数据库；其依赖 NVD 映射质量，混杂提交（tangled commits）引入标签噪声[70]。Big-Vul（MSR 2020）：3,754 个漏洞函数、91 种漏洞类型、348 个项目[71]。ReposVul（ICSE 2024 Industry）：首个仓库级数据集，6,134 个 CVE、236 种 CWE、1,491 个项目，保留仓库上下文并过滤混杂补丁[72]。PrimeVul（ICSE 2025）：严格去重、按时间划分的函数级基准（约 23 万函数、6,968 个漏洞函数），揭示既有基准高估[65]。本系统采用上述数据集时遵循 PrimeVul 的教训：严格去重、按时间划分、报告配对评估结果。</w:t>
      </w:r>
    </w:p>
    <w:p>
      <w:pPr>
        <w:pStyle w:val="Heading3"/>
        <w:spacing w:after="80" w:before="80" w:line="360" w:lineRule="auto"/>
      </w:pPr>
      <w:bookmarkStart w:id="100063" w:name="_Toc100063"/>
      <w:r>
        <w:rPr>
          <w:rFonts w:ascii="Times New Roman" w:eastAsia="宋体"/>
          <w:b/>
          <w:bCs/>
          <w:color w:val="000000"/>
          <w:sz w:val="24"/>
          <w:szCs w:val="24"/>
        </w:rPr>
        <w:t xml:space="preserve">3.4.3  自建嵌入式数据集（创新点，单独详写）</w:t>
      </w:r>
      <w:bookmarkEnd w:id="100063"/>
    </w:p>
    <w:p>
      <w:pPr>
        <w:spacing w:after="0" w:before="0" w:line="360" w:lineRule="auto"/>
        <w:ind w:firstLine="480"/>
        <w:jc w:val="both"/>
      </w:pPr>
      <w:r>
        <w:rPr>
          <w:rFonts w:ascii="Times New Roman" w:eastAsia="宋体"/>
          <w:b w:val="false"/>
          <w:bCs w:val="false"/>
          <w:color w:val="000000"/>
          <w:sz w:val="24"/>
          <w:szCs w:val="24"/>
        </w:rPr>
        <w:t xml:space="preserve">现有任何公开数据集均不携带嵌入式硬件上下文（ISR/MMIO/RTOS）标注，这既是 P6 的直接表现，也是本系统数据侧的增量空间。设计如下。</w:t>
      </w:r>
    </w:p>
    <w:p>
      <w:pPr>
        <w:spacing w:after="0" w:before="0" w:line="360" w:lineRule="auto"/>
        <w:ind w:firstLine="480"/>
        <w:jc w:val="both"/>
      </w:pPr>
      <w:r>
        <w:rPr>
          <w:rFonts w:ascii="Times New Roman" w:eastAsia="宋体"/>
          <w:b/>
          <w:bCs/>
          <w:color w:val="000000"/>
          <w:sz w:val="24"/>
          <w:szCs w:val="24"/>
        </w:rPr>
        <w:t xml:space="preserve">（1）来源仓库。</w:t>
      </w:r>
      <w:r>
        <w:rPr>
          <w:rFonts w:ascii="Times New Roman" w:eastAsia="宋体"/>
          <w:color w:val="000000"/>
          <w:sz w:val="24"/>
          <w:szCs w:val="24"/>
        </w:rPr>
        <w:t xml:space="preserve">按行业相关性与缺陷密度选取十个开源仓库：RT-Thread、Zephyr、FreeRTOS-Kernel、lwIP、U-Boot、OpenWrt、PX4、ArduPilot、ARM mbed OS 及 Linux 内核驱动子系统。选择理由：覆盖 RTOS 内核、网络协议栈、引导程序、无人机与工控固件等典型嵌入式形态，且全部开源可追溯。</w:t>
      </w:r>
    </w:p>
    <w:p>
      <w:pPr>
        <w:spacing w:after="0" w:before="0" w:line="360" w:lineRule="auto"/>
        <w:ind w:firstLine="480"/>
        <w:jc w:val="both"/>
      </w:pPr>
      <w:r>
        <w:rPr>
          <w:rFonts w:ascii="Times New Roman" w:eastAsia="宋体"/>
          <w:b/>
          <w:bCs/>
          <w:color w:val="000000"/>
          <w:sz w:val="24"/>
          <w:szCs w:val="24"/>
        </w:rPr>
        <w:t xml:space="preserve">（2）采集流程（六步）。</w:t>
      </w:r>
      <w:r>
        <w:rPr>
          <w:rFonts w:ascii="Times New Roman" w:eastAsia="宋体"/>
          <w:color w:val="000000"/>
          <w:sz w:val="24"/>
          <w:szCs w:val="24"/>
        </w:rPr>
        <w:t xml:space="preserve">第一步，从 NVD/GitHub Security Advisory 与各仓库官方安全通告抓取 CVE/GHSA 条目；第二步，以 CVE 编号与安全关键词检索 git log，人工确认修复提交（fix commit）；第三步，提取漏洞函数及修复后版本切片（含 diff 与调用上下文）；第四步，双标注加仲裁：每样本由两名标注者独立标注，分歧仲裁，标注字段见下；第五步，清洗与去重（见（4））；第六步，按时间划分入库。</w:t>
      </w:r>
    </w:p>
    <w:p>
      <w:pPr>
        <w:spacing w:after="0" w:before="0" w:line="360" w:lineRule="auto"/>
        <w:ind w:firstLine="480"/>
        <w:jc w:val="both"/>
      </w:pPr>
      <w:r>
        <w:rPr>
          <w:rFonts w:ascii="Times New Roman" w:eastAsia="宋体"/>
          <w:b/>
          <w:bCs/>
          <w:color w:val="000000"/>
          <w:sz w:val="24"/>
          <w:szCs w:val="24"/>
        </w:rPr>
        <w:t xml:space="preserve">（3）标注规范。</w:t>
      </w:r>
      <w:r>
        <w:rPr>
          <w:rFonts w:ascii="Times New Roman" w:eastAsia="宋体"/>
          <w:color w:val="000000"/>
          <w:sz w:val="24"/>
          <w:szCs w:val="24"/>
        </w:rPr>
        <w:t xml:space="preserve">每样本标注：CWE 编号（主）、缺陷类型（内存/并发/数值/资源/其他，对齐 Toyota ITC 九类口径）、严重等级（对齐 GB/T 30279-2020 分级[6]）、嵌入式上下文标记（是否涉及 ISR、MMIO、RTOS API、交叉编译相关代码，二值或多值）、修复摘要。</w:t>
      </w:r>
    </w:p>
    <w:p>
      <w:pPr>
        <w:spacing w:after="0" w:before="0" w:line="360" w:lineRule="auto"/>
        <w:ind w:firstLine="480"/>
        <w:jc w:val="both"/>
      </w:pPr>
      <w:r>
        <w:rPr>
          <w:rFonts w:ascii="Times New Roman" w:eastAsia="宋体"/>
          <w:b/>
          <w:bCs/>
          <w:color w:val="000000"/>
          <w:sz w:val="24"/>
          <w:szCs w:val="24"/>
        </w:rPr>
        <w:t xml:space="preserve">（4）清洗与去重。</w:t>
      </w:r>
      <w:r>
        <w:rPr>
          <w:rFonts w:ascii="Times New Roman" w:eastAsia="宋体"/>
          <w:color w:val="000000"/>
          <w:sz w:val="24"/>
          <w:szCs w:val="24"/>
        </w:rPr>
        <w:t xml:space="preserve">近重复删除：以函数规范化文本（去注释/空白）做指纹聚类，仅保留代表样本（参照 PrimeVul 方法[65]）；编译过滤：无法在目标平台配置下解析的样本剔除；混杂提交：修复 diff 中与安全无关的改动（重构/文档）通过提交切片对齐剔除。</w:t>
      </w:r>
    </w:p>
    <w:p>
      <w:pPr>
        <w:spacing w:after="0" w:before="0" w:line="360" w:lineRule="auto"/>
        <w:ind w:firstLine="480"/>
        <w:jc w:val="both"/>
      </w:pPr>
      <w:r>
        <w:rPr>
          <w:rFonts w:ascii="Times New Roman" w:eastAsia="宋体"/>
          <w:b/>
          <w:bCs/>
          <w:color w:val="000000"/>
          <w:sz w:val="24"/>
          <w:szCs w:val="24"/>
        </w:rPr>
        <w:t xml:space="preserve">（5）规模预估与划分。</w:t>
      </w:r>
      <w:r>
        <w:rPr>
          <w:rFonts w:ascii="Times New Roman" w:eastAsia="宋体"/>
          <w:color w:val="000000"/>
          <w:sz w:val="24"/>
          <w:szCs w:val="24"/>
        </w:rPr>
        <w:t xml:space="preserve">一期目标：800 至 1,200 个漏洞函数，配对正常函数 8,000 至 12,000 个（约 1:10）；按修复时间划分训练/验证/测试集（约 6:2:2），杜绝时间泄漏。</w:t>
      </w:r>
    </w:p>
    <w:p>
      <w:pPr>
        <w:spacing w:after="0" w:before="0" w:line="360" w:lineRule="auto"/>
        <w:ind w:firstLine="480"/>
        <w:jc w:val="both"/>
      </w:pPr>
      <w:r>
        <w:rPr>
          <w:rFonts w:ascii="Times New Roman" w:eastAsia="宋体"/>
          <w:b/>
          <w:bCs/>
          <w:color w:val="000000"/>
          <w:sz w:val="24"/>
          <w:szCs w:val="24"/>
        </w:rPr>
        <w:t xml:space="preserve">（6）类别不平衡处理。</w:t>
      </w:r>
      <w:r>
        <w:rPr>
          <w:rFonts w:ascii="Times New Roman" w:eastAsia="宋体"/>
          <w:color w:val="000000"/>
          <w:sz w:val="24"/>
          <w:szCs w:val="24"/>
        </w:rPr>
        <w:t xml:space="preserve">配对采样（每漏洞样本配对同类正常样本）、损失加权与按 CWE 分层抽样三管齐下，评测时同时报告宏平均与按类 F1。</w:t>
      </w:r>
    </w:p>
    <w:p>
      <w:pPr>
        <w:spacing w:after="0" w:before="0" w:line="360" w:lineRule="auto"/>
        <w:ind w:firstLine="480"/>
        <w:jc w:val="both"/>
      </w:pPr>
      <w:r>
        <w:rPr>
          <w:rFonts w:ascii="Times New Roman" w:eastAsia="宋体"/>
          <w:b/>
          <w:bCs/>
          <w:color w:val="000000"/>
          <w:sz w:val="24"/>
          <w:szCs w:val="24"/>
        </w:rPr>
        <w:t xml:space="preserve">（7）许可证合规。</w:t>
      </w:r>
      <w:r>
        <w:rPr>
          <w:rFonts w:ascii="Times New Roman" w:eastAsia="宋体"/>
          <w:color w:val="000000"/>
          <w:sz w:val="24"/>
          <w:szCs w:val="24"/>
        </w:rPr>
        <w:t xml:space="preserve">逐仓库登记许可（GPL 系、Apache-2.0、BSD 系）；数据集仅发布函数级切片特征与标注（不整仓再分发），研究用途声明与源仓库引用随数据集发布，规避许可证传染。</w:t>
      </w:r>
    </w:p>
    <w:p>
      <w:pPr>
        <w:keepNext/>
        <w:spacing w:after="80" w:before="200" w:line="300" w:lineRule="atLeast"/>
        <w:jc w:val="left"/>
      </w:pPr>
      <w:r>
        <w:rPr>
          <w:rFonts w:ascii="Times New Roman" w:eastAsia="宋体"/>
          <w:color w:val="000000"/>
          <w:sz w:val="21"/>
          <w:szCs w:val="21"/>
        </w:rPr>
        <w:t xml:space="preserve">表 3-2  自建嵌入式漏洞数据集设计</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7711"/>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设计维度</w:t>
            </w:r>
          </w:p>
        </w:tc>
        <w:tc>
          <w:tcPr>
            <w:tcW w:type="pct" w:w="41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方案</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来源仓库</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RT-Thread、Zephyr、FreeRTOS-Kernel、lwIP、U-Boot、OpenWrt、PX4、ArduPilot、ARM mbed OS、Linux 驱动子系统</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采集流程</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CVE/GHSA 抓取 → git log 定位修复提交 → 漏洞/修复函数切片 → 双标注+仲裁 → 清洗去重 → 时间划分</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标注规范</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CWE（主）、缺陷类型（对齐 Toyota ITC 九类）、严重等级（对齐 GB/T 30279-2020）、嵌入式上下文标记（ISR/MMIO/RTOS/交叉编译）</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规模预估</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一期 800—1,200 个漏洞函数，配对正常函数 8,000—12,000（约 1:10）</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清洗与去重</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函数指纹近重复删除（PrimeVul 方法）、编译过滤、混杂提交切片对齐</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划分方式</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按修复时间划分训练/验证/测试（约 6:2:2），杜绝时间泄漏</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类别不平衡</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配对采样、损失加权、按 CWE 分层抽样；报告宏平均与按类 F1</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许可证合规</w:t>
            </w:r>
          </w:p>
        </w:tc>
        <w:tc>
          <w:tcPr>
            <w:tcW w:type="pct" w:w="41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逐仓库登记许可；仅发布切片特征与标注，不整仓再分发；研究用途声明</w:t>
            </w:r>
          </w:p>
        </w:tc>
      </w:tr>
    </w:tbl>
    <w:p>
      <w:pPr>
        <w:pStyle w:val="Heading3"/>
        <w:spacing w:after="80" w:before="80" w:line="360" w:lineRule="auto"/>
      </w:pPr>
      <w:bookmarkStart w:id="100064" w:name="_Toc100064"/>
      <w:r>
        <w:rPr>
          <w:rFonts w:ascii="Times New Roman" w:eastAsia="宋体"/>
          <w:b/>
          <w:bCs/>
          <w:color w:val="000000"/>
          <w:sz w:val="24"/>
          <w:szCs w:val="24"/>
        </w:rPr>
        <w:t xml:space="preserve">3.4.4  数据集使用策略</w:t>
      </w:r>
      <w:bookmarkEnd w:id="100064"/>
    </w:p>
    <w:p>
      <w:pPr>
        <w:spacing w:after="0" w:before="0" w:line="360" w:lineRule="auto"/>
        <w:ind w:firstLine="480"/>
        <w:jc w:val="both"/>
      </w:pPr>
      <w:r>
        <w:rPr>
          <w:rFonts w:ascii="Times New Roman" w:eastAsia="宋体"/>
          <w:b w:val="false"/>
          <w:bCs w:val="false"/>
          <w:color w:val="000000"/>
          <w:sz w:val="24"/>
          <w:szCs w:val="24"/>
        </w:rPr>
        <w:t xml:space="preserve">评测组合：Toyota ITC 与 Juliet 用于与既有文献可比的基准评测；自建数据集用于嵌入式特有能力的评测与消融；SV-COMP/RERS 用于形式化引擎回归。训练（若涉及微调，见 3.6 扩展项）仅使用训练划分，测试划分在系统冻结前不解封。</w:t>
      </w:r>
    </w:p>
    <w:p>
      <w:pPr>
        <w:pStyle w:val="Heading2"/>
        <w:spacing w:after="120" w:before="120" w:line="360" w:lineRule="auto"/>
      </w:pPr>
      <w:bookmarkStart w:id="100065" w:name="_Toc100065"/>
      <w:r>
        <w:rPr>
          <w:rFonts w:ascii="Times New Roman" w:eastAsia="黑体"/>
          <w:color w:val="000000"/>
          <w:sz w:val="28"/>
          <w:szCs w:val="28"/>
        </w:rPr>
        <w:t xml:space="preserve">3.5  评测方案与指标</w:t>
      </w:r>
      <w:bookmarkEnd w:id="100065"/>
    </w:p>
    <w:p>
      <w:pPr>
        <w:pStyle w:val="Heading3"/>
        <w:spacing w:after="80" w:before="80" w:line="360" w:lineRule="auto"/>
      </w:pPr>
      <w:bookmarkStart w:id="100066" w:name="_Toc100066"/>
      <w:r>
        <w:rPr>
          <w:rFonts w:ascii="Times New Roman" w:eastAsia="宋体"/>
          <w:b/>
          <w:bCs/>
          <w:color w:val="000000"/>
          <w:sz w:val="24"/>
          <w:szCs w:val="24"/>
        </w:rPr>
        <w:t xml:space="preserve">3.5.1  对比基线</w:t>
      </w:r>
      <w:bookmarkEnd w:id="100066"/>
    </w:p>
    <w:p>
      <w:pPr>
        <w:spacing w:after="0" w:before="0" w:line="360" w:lineRule="auto"/>
        <w:ind w:firstLine="480"/>
        <w:jc w:val="both"/>
      </w:pPr>
      <w:r>
        <w:rPr>
          <w:rFonts w:ascii="Times New Roman" w:eastAsia="宋体"/>
          <w:b w:val="false"/>
          <w:bCs w:val="false"/>
          <w:color w:val="000000"/>
          <w:sz w:val="24"/>
          <w:szCs w:val="24"/>
        </w:rPr>
        <w:t xml:space="preserve">从第二章选区四个可获取工具作为基线：Cppcheck（开源预筛选代表，含 MISRA 插件）[32]；Clang Static Analyzer（经 CodeChecker 封装，路径敏感代表）[30]；CodeQL（查询式 SAST 代表）[26]；ESBMC（形式化代表）[54]。可选项：TscanCode[33]（注意其已停更）。基线与本系统在同一构建复现产物（3.3.1）上运行，保证输入等价。</w:t>
      </w:r>
    </w:p>
    <w:p>
      <w:pPr>
        <w:pStyle w:val="Heading3"/>
        <w:spacing w:after="80" w:before="80" w:line="360" w:lineRule="auto"/>
      </w:pPr>
      <w:bookmarkStart w:id="100067" w:name="_Toc100067"/>
      <w:r>
        <w:rPr>
          <w:rFonts w:ascii="Times New Roman" w:eastAsia="宋体"/>
          <w:b/>
          <w:bCs/>
          <w:color w:val="000000"/>
          <w:sz w:val="24"/>
          <w:szCs w:val="24"/>
        </w:rPr>
        <w:t xml:space="preserve">3.5.2  指标定义</w:t>
      </w:r>
      <w:bookmarkEnd w:id="100067"/>
    </w:p>
    <w:p>
      <w:pPr>
        <w:spacing w:after="0" w:before="0" w:line="360" w:lineRule="auto"/>
        <w:ind w:firstLine="480"/>
        <w:jc w:val="both"/>
      </w:pPr>
      <w:r>
        <w:rPr>
          <w:rFonts w:ascii="Times New Roman" w:eastAsia="宋体"/>
          <w:b w:val="false"/>
          <w:bCs w:val="false"/>
          <w:color w:val="000000"/>
          <w:sz w:val="24"/>
          <w:szCs w:val="24"/>
        </w:rPr>
        <w:t xml:space="preserve">（1）精确率（Precision）、召回率（Recall）、F1：函数级与告警级双口径分别报告；（2）误报审查成本：误报数乘以平均单条审查时间，参照微软对开发者告警处置行为的实证设定观测口径[75]；（3）每千行分析耗时（全量与增量两种模式）；（4）CWE/MISRA 覆盖率：可检出规则数占规则集总数的比例；（5）可证明性比例：Proven 级结论占全部结论的比例。</w:t>
      </w:r>
    </w:p>
    <w:p>
      <w:pPr>
        <w:pStyle w:val="Heading3"/>
        <w:spacing w:after="80" w:before="80" w:line="360" w:lineRule="auto"/>
      </w:pPr>
      <w:bookmarkStart w:id="100068" w:name="_Toc100068"/>
      <w:r>
        <w:rPr>
          <w:rFonts w:ascii="Times New Roman" w:eastAsia="宋体"/>
          <w:b/>
          <w:bCs/>
          <w:color w:val="000000"/>
          <w:sz w:val="24"/>
          <w:szCs w:val="24"/>
        </w:rPr>
        <w:t xml:space="preserve">3.5.3  消融实验设计</w:t>
      </w:r>
      <w:bookmarkEnd w:id="100068"/>
    </w:p>
    <w:p>
      <w:pPr>
        <w:spacing w:after="0" w:before="0" w:line="360" w:lineRule="auto"/>
        <w:ind w:firstLine="480"/>
        <w:jc w:val="both"/>
      </w:pPr>
      <w:r>
        <w:rPr>
          <w:rFonts w:ascii="Times New Roman" w:eastAsia="宋体"/>
          <w:b w:val="false"/>
          <w:bCs w:val="false"/>
          <w:color w:val="000000"/>
          <w:sz w:val="24"/>
          <w:szCs w:val="24"/>
        </w:rPr>
        <w:t xml:space="preserve">为验证 LLM 增强、硬件语义建模等各模块的独立贡献，设计五配置消融（表 3-3），在自建数据集与 Toyota ITC 上运行；每配置重复三次取均值（LLM 采样温度固定并记录种子）。</w:t>
      </w:r>
    </w:p>
    <w:p>
      <w:pPr>
        <w:keepNext/>
        <w:spacing w:after="80" w:before="200" w:line="300" w:lineRule="atLeast"/>
        <w:jc w:val="left"/>
      </w:pPr>
      <w:r>
        <w:rPr>
          <w:rFonts w:ascii="Times New Roman" w:eastAsia="宋体"/>
          <w:color w:val="000000"/>
          <w:sz w:val="21"/>
          <w:szCs w:val="21"/>
        </w:rPr>
        <w:t xml:space="preserve">表 3-3  消融实验设计</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3"/>
        <w:gridCol w:w="4138"/>
        <w:gridCol w:w="3574"/>
      </w:tblGrid>
      <w:tr>
        <w:trPr>
          <w:cantSplit/>
          <w:tblHeader/>
        </w:trPr>
        <w:tc>
          <w:tcPr>
            <w:tcW w:type="pct" w:w="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配置</w:t>
            </w:r>
          </w:p>
        </w:tc>
        <w:tc>
          <w:tcPr>
            <w:tcW w:type="pct" w:w="22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说明</w:t>
            </w:r>
          </w:p>
        </w:tc>
        <w:tc>
          <w:tcPr>
            <w:tcW w:type="pct" w:w="19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验证的问题</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A0（完整系统）</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五层全开：骨架+硬件语义+LLM+验证闭环</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整体效果（对照基线）</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A1（去 LLM）</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移除 L4，仅保留静态骨架</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LLM 增强的净贡献（对应 P5）</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A2（去硬件语义）</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移除 3.3.2 的 ISR/MMIO/RTOS 模型</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硬件语义建模的净贡献（对应 P2）</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A3（去 RAG）</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LLM 判定不接知识检索</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领域知识注入的净贡献</w:t>
            </w:r>
          </w:p>
        </w:tc>
      </w:tr>
      <w:tr>
        <w:trPr>
          <w:cantSplit/>
        </w:trPr>
        <w:tc>
          <w:tcPr>
            <w:tcW w:type="pct" w:w="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A4（去验证闭环）</w:t>
            </w:r>
          </w:p>
        </w:tc>
        <w:tc>
          <w:tcPr>
            <w:tcW w:type="pct" w:w="22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LLM 修复建议不经验证直接采纳</w:t>
            </w:r>
          </w:p>
        </w:tc>
        <w:tc>
          <w:tcPr>
            <w:tcW w:type="pct" w:w="19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工具验证回路的净贡献（对应 P5 幻觉抑制）</w:t>
            </w:r>
          </w:p>
        </w:tc>
      </w:tr>
    </w:tbl>
    <w:p>
      <w:pPr>
        <w:pStyle w:val="Heading3"/>
        <w:spacing w:after="80" w:before="80" w:line="360" w:lineRule="auto"/>
      </w:pPr>
      <w:bookmarkStart w:id="100069" w:name="_Toc100069"/>
      <w:r>
        <w:rPr>
          <w:rFonts w:ascii="Times New Roman" w:eastAsia="宋体"/>
          <w:b/>
          <w:bCs/>
          <w:color w:val="000000"/>
          <w:sz w:val="24"/>
          <w:szCs w:val="24"/>
        </w:rPr>
        <w:t xml:space="preserve">3.5.4  预期结果表（留空待填）</w:t>
      </w:r>
      <w:bookmarkEnd w:id="100069"/>
    </w:p>
    <w:p>
      <w:pPr>
        <w:spacing w:after="0" w:before="0" w:line="360" w:lineRule="auto"/>
        <w:ind w:firstLine="480"/>
        <w:jc w:val="both"/>
      </w:pPr>
      <w:r>
        <w:rPr>
          <w:rFonts w:ascii="Times New Roman" w:eastAsia="宋体"/>
          <w:b w:val="false"/>
          <w:bCs w:val="false"/>
          <w:color w:val="000000"/>
          <w:sz w:val="24"/>
          <w:szCs w:val="24"/>
        </w:rPr>
        <w:t xml:space="preserve">表 3-4 为预期结果记录模板，实验完成后以实测数据填入；除表列指标外，同步记录各配置的失败案例归因（构建失败/引擎超时/LLM 幻觉等），作为迭代依据。</w:t>
      </w:r>
    </w:p>
    <w:p>
      <w:pPr>
        <w:keepNext/>
        <w:spacing w:after="80" w:before="200" w:line="300" w:lineRule="atLeast"/>
        <w:jc w:val="left"/>
      </w:pPr>
      <w:r>
        <w:rPr>
          <w:rFonts w:ascii="Times New Roman" w:eastAsia="宋体"/>
          <w:color w:val="000000"/>
          <w:sz w:val="21"/>
          <w:szCs w:val="21"/>
        </w:rPr>
        <w:t xml:space="preserve">表 3-4  评测结果记录模板（待填）</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81"/>
        <w:gridCol w:w="1128"/>
        <w:gridCol w:w="1128"/>
        <w:gridCol w:w="1128"/>
        <w:gridCol w:w="1505"/>
        <w:gridCol w:w="1317"/>
        <w:gridCol w:w="1317"/>
      </w:tblGrid>
      <w:tr>
        <w:trPr>
          <w:cantSplit/>
          <w:tblHeader/>
        </w:trPr>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系统配置</w:t>
            </w:r>
          </w:p>
        </w:tc>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精确率</w:t>
            </w:r>
          </w:p>
        </w:tc>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召回率</w:t>
            </w:r>
          </w:p>
        </w:tc>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F1</w:t>
            </w:r>
          </w:p>
        </w:tc>
        <w:tc>
          <w:tcPr>
            <w:tcW w:type="pct" w:w="8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误报审查成本</w:t>
            </w:r>
          </w:p>
        </w:tc>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千行耗时</w:t>
            </w:r>
          </w:p>
        </w:tc>
        <w:tc>
          <w:tcPr>
            <w:tcW w:type="pct" w:w="7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可证明性比例</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Cppcheck（基线）</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Clang SA（基线）</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CodeQL（基线）</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ESBMC（基线）</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A0 完整系统</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A1 去 LLM</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A2 去硬件语义</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A3 去 RAG</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r>
        <w:trPr>
          <w:cantSplit/>
        </w:trPr>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A4 去验证闭环</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8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c>
          <w:tcPr>
            <w:tcW w:type="pct" w:w="7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待填</w:t>
            </w:r>
          </w:p>
        </w:tc>
      </w:tr>
    </w:tbl>
    <w:p>
      <w:pPr>
        <w:pStyle w:val="Heading2"/>
        <w:spacing w:after="120" w:before="120" w:line="360" w:lineRule="auto"/>
      </w:pPr>
      <w:bookmarkStart w:id="100070" w:name="_Toc100070"/>
      <w:r>
        <w:rPr>
          <w:rFonts w:ascii="Times New Roman" w:eastAsia="黑体"/>
          <w:color w:val="000000"/>
          <w:sz w:val="28"/>
          <w:szCs w:val="28"/>
        </w:rPr>
        <w:t xml:space="preserve">3.6  实施路线与阶段计划</w:t>
      </w:r>
      <w:bookmarkEnd w:id="100070"/>
    </w:p>
    <w:p>
      <w:pPr>
        <w:spacing w:after="0" w:before="0" w:line="360" w:lineRule="auto"/>
        <w:ind w:firstLine="480"/>
        <w:jc w:val="both"/>
      </w:pPr>
      <w:r>
        <w:rPr>
          <w:rFonts w:ascii="Times New Roman" w:eastAsia="宋体"/>
          <w:b w:val="false"/>
          <w:bCs w:val="false"/>
          <w:color w:val="000000"/>
          <w:sz w:val="24"/>
          <w:szCs w:val="24"/>
        </w:rPr>
        <w:t xml:space="preserve">计划以季度为粒度，共五个阶段（2026 年第四季度至 2027 年第四季度），每阶段设可验收里程碑；阶段一与阶段二部分并行，深度引擎按需引入以控制风险。</w:t>
      </w:r>
    </w:p>
    <w:p>
      <w:pPr>
        <w:keepNext/>
        <w:spacing w:after="80" w:before="200" w:line="300" w:lineRule="atLeast"/>
        <w:jc w:val="left"/>
      </w:pPr>
      <w:r>
        <w:rPr>
          <w:rFonts w:ascii="Times New Roman" w:eastAsia="宋体"/>
          <w:color w:val="000000"/>
          <w:sz w:val="21"/>
          <w:szCs w:val="21"/>
        </w:rPr>
        <w:t xml:space="preserve">表 3-5  分季度实施里程碑</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28"/>
        <w:gridCol w:w="1881"/>
        <w:gridCol w:w="3762"/>
        <w:gridCol w:w="2633"/>
      </w:tblGrid>
      <w:tr>
        <w:trPr>
          <w:cantSplit/>
          <w:tblHeader/>
        </w:trPr>
        <w:tc>
          <w:tcPr>
            <w:tcW w:type="pct" w:w="6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时间</w:t>
            </w:r>
          </w:p>
        </w:tc>
        <w:tc>
          <w:tcPr>
            <w:tcW w:type="pct" w:w="1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阶段</w:t>
            </w:r>
          </w:p>
        </w:tc>
        <w:tc>
          <w:tcPr>
            <w:tcW w:type="pct" w:w="20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关键内容</w:t>
            </w:r>
          </w:p>
        </w:tc>
        <w:tc>
          <w:tcPr>
            <w:tcW w:type="pct" w:w="1400"/>
            <w:tcBorders>
              <w:top w:val="none" w:color="FFFFFF" w:sz="0"/>
              <w:left w:val="none" w:color="FFFFFF" w:sz="0"/>
              <w:bottom w:val="single" w:color="000000" w:sz="4"/>
              <w:right w:val="none" w:color="FFFFFF" w:sz="0"/>
            </w:tcBorders>
            <w:shd w:fill="EDEDED" w:val="clear"/>
            <w:tcMar>
              <w:top w:type="dxa" w:w="40"/>
              <w:left w:type="dxa" w:w="100"/>
              <w:bottom w:type="dxa" w:w="40"/>
              <w:right w:type="dxa" w:w="100"/>
            </w:tcMar>
          </w:tcPr>
          <w:p>
            <w:pPr>
              <w:spacing w:line="260" w:lineRule="atLeast"/>
              <w:jc w:val="center"/>
            </w:pPr>
            <w:r>
              <w:rPr>
                <w:rFonts w:ascii="Times New Roman" w:eastAsia="宋体"/>
                <w:b/>
                <w:bCs/>
                <w:color w:val="000000"/>
                <w:sz w:val="21"/>
                <w:szCs w:val="21"/>
              </w:rPr>
              <w:t xml:space="preserve">里程碑与验收标准</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2026 Q4</w:t>
            </w:r>
          </w:p>
        </w:tc>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一、构建复现与规则引擎 MVP</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3.3.1 构建复现工具链；MISRA C:2012 子集规则引擎；Juliet 接入</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选定目标仓库零人工干预完成接入与全量扫描（P1 闭环）</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Q1</w:t>
            </w:r>
          </w:p>
        </w:tc>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二、硬件语义与多引擎层</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3.3.2 SVD/ISR/RTOS 建模；抽象解释与符号执行适配；SARIF 聚合</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P2/P4 机制落地；Toyota ITC 首轮评测完成</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Q2</w:t>
            </w:r>
          </w:p>
        </w:tc>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三、LLM 增强层与自建数据集</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3.3.5 分诊/过滤/修复；自建数据集 v1（不低于 800 个漏洞函数）</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消融实验 A0—A4 完成（P5 闭环）</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Q3</w:t>
            </w:r>
          </w:p>
        </w:tc>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四、全量评测与合规输出</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四基线对比评测；3.3.7 合规报告；二进制扩展预研</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评测报告与论文/技术报告成稿（P3/P6 闭环）</w:t>
            </w:r>
          </w:p>
        </w:tc>
      </w:tr>
      <w:tr>
        <w:trPr>
          <w:cantSplit/>
        </w:trPr>
        <w:tc>
          <w:tcPr>
            <w:tcW w:type="pct" w:w="6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2027 Q4</w:t>
            </w:r>
          </w:p>
        </w:tc>
        <w:tc>
          <w:tcPr>
            <w:tcW w:type="pct" w:w="1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五、试点部署与迭代</w:t>
            </w:r>
          </w:p>
        </w:tc>
        <w:tc>
          <w:tcPr>
            <w:tcW w:type="pct" w:w="20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汽车电子或工控合作项目试点；反馈驱动迭代</w:t>
            </w:r>
          </w:p>
        </w:tc>
        <w:tc>
          <w:tcPr>
            <w:tcW w:type="pct" w:w="1400"/>
            <w:tcBorders>
              <w:top w:val="none" w:color="FFFFFF" w:sz="0"/>
              <w:left w:val="none" w:color="FFFFFF" w:sz="0"/>
              <w:bottom w:val="single" w:color="000000" w:sz="4"/>
              <w:right w:val="none" w:color="FFFFFF" w:sz="0"/>
            </w:tcBorders>
            <w:tcMar>
              <w:top w:type="dxa" w:w="36"/>
              <w:left w:type="dxa" w:w="100"/>
              <w:bottom w:type="dxa" w:w="36"/>
              <w:right w:type="dxa" w:w="100"/>
            </w:tcMar>
          </w:tcPr>
          <w:p>
            <w:pPr>
              <w:spacing w:line="250" w:lineRule="atLeast"/>
              <w:jc w:val="left"/>
            </w:pPr>
            <w:r>
              <w:rPr>
                <w:rFonts w:ascii="Times New Roman" w:eastAsia="宋体"/>
                <w:color w:val="000000"/>
                <w:sz w:val="21"/>
                <w:szCs w:val="21"/>
              </w:rPr>
              <w:t xml:space="preserve">试点反馈报告与二期计划</w:t>
            </w:r>
          </w:p>
        </w:tc>
      </w:tr>
    </w:tbl>
    <w:p>
      <w:pPr>
        <w:spacing w:after="0" w:before="0" w:line="360" w:lineRule="auto"/>
        <w:ind w:firstLine="480"/>
        <w:jc w:val="both"/>
      </w:pPr>
      <w:r>
        <w:rPr>
          <w:rFonts w:ascii="Times New Roman" w:eastAsia="宋体"/>
          <w:b/>
          <w:bCs/>
          <w:color w:val="000000"/>
          <w:sz w:val="24"/>
          <w:szCs w:val="24"/>
        </w:rPr>
        <w:t xml:space="preserve">风险与回退：</w:t>
      </w:r>
      <w:r>
        <w:rPr>
          <w:rFonts w:ascii="Times New Roman" w:eastAsia="宋体"/>
          <w:b w:val="false"/>
          <w:bCs w:val="false"/>
          <w:color w:val="000000"/>
          <w:sz w:val="24"/>
          <w:szCs w:val="24"/>
        </w:rPr>
        <w:t xml:space="preserve">若阶段三评测显示 LLM 增益不显著，回退方案为强化规则库与人工复核工作流，五层架构骨架不变；若自建数据集规模不达预期，评测主基准回退至 Toyota ITC 加 Juliet 组合并明确声明局限；闭源 IDE 工程解析（.ewp/.uvprojx）若受阻，以导入 CMake 化的等价工程兜底。所有阶段产出（工具、数据集标注规范、评测脚本）随阶段验收同步归档，保证可复现。</w:t>
      </w:r>
    </w:p>
    <w:p>
      <w:pPr>
        <w:pStyle w:val="Heading1"/>
        <w:pageBreakBefore/>
        <w:spacing w:after="120" w:before="120" w:line="400" w:lineRule="exact"/>
        <w:jc w:val="center"/>
      </w:pPr>
      <w:bookmarkStart w:id="100071" w:name="_Toc100071"/>
      <w:r>
        <w:rPr>
          <w:rFonts w:ascii="Times New Roman" w:eastAsia="黑体"/>
          <w:color w:val="000000"/>
          <w:sz w:val="32"/>
          <w:szCs w:val="32"/>
        </w:rPr>
        <w:t xml:space="preserve">参考文献</w:t>
      </w:r>
      <w:bookmarkEnd w:id="100071"/>
    </w:p>
    <w:p>
      <w:pPr>
        <w:spacing w:after="0" w:before="0" w:line="360" w:lineRule="auto"/>
        <w:ind w:firstLine="480"/>
        <w:jc w:val="both"/>
      </w:pPr>
      <w:r>
        <w:rPr>
          <w:rFonts w:ascii="Times New Roman" w:eastAsia="宋体"/>
          <w:b w:val="false"/>
          <w:bCs w:val="false"/>
          <w:color w:val="000000"/>
          <w:sz w:val="24"/>
          <w:szCs w:val="24"/>
        </w:rPr>
        <w:t xml:space="preserve">以下文献与官方链接均于 2026 年 10 月经联网核实；未附链接者为未核实到稳定官方链接的条目（正文中已相应标注），正式引用前建议二次确认。正文引用处标注为 [N]。</w:t>
      </w:r>
    </w:p>
    <w:p>
      <w:pPr>
        <w:spacing w:after="40" w:before="0" w:line="300" w:lineRule="atLeast"/>
        <w:ind w:left="480" w:hanging="480"/>
        <w:jc w:val="both"/>
      </w:pPr>
      <w:r>
        <w:rPr>
          <w:rFonts w:ascii="Times New Roman" w:eastAsia="宋体"/>
          <w:color w:val="000000"/>
          <w:sz w:val="21"/>
          <w:szCs w:val="21"/>
        </w:rPr>
        <w:t xml:space="preserve">[1] 全国人民代表大会常务委员会. 中华人民共和国网络安全法（2016 年通过，2017 年 6 月 1 日施行；2025 年 10 月修正，2026 年 1 月 1 日施行）. </w:t>
      </w:r>
      <w:hyperlink w:history="1" r:id="rIdtbwazz_tvatugy2v7btwi">
        <w:r>
          <w:rPr>
            <w:rFonts w:ascii="Courier New" w:eastAsia="宋体"/>
            <w:color w:val="000000"/>
            <w:sz w:val="21"/>
            <w:szCs w:val="21"/>
            <w:u w:val="single"/>
          </w:rPr>
          <w:t xml:space="preserve">https://www.cac.gov.cn</w:t>
        </w:r>
      </w:hyperlink>
    </w:p>
    <w:p>
      <w:pPr>
        <w:spacing w:after="40" w:before="0" w:line="300" w:lineRule="atLeast"/>
        <w:ind w:left="480" w:hanging="480"/>
        <w:jc w:val="both"/>
      </w:pPr>
      <w:r>
        <w:rPr>
          <w:rFonts w:ascii="Times New Roman" w:eastAsia="宋体"/>
          <w:color w:val="000000"/>
          <w:sz w:val="21"/>
          <w:szCs w:val="21"/>
        </w:rPr>
        <w:t xml:space="preserve">[2] 国务院. 关键信息基础设施安全保护条例（国务院令第 745 号，2021 年 9 月 1 日施行）. </w:t>
      </w:r>
      <w:hyperlink w:history="1" r:id="rIdowrk1qft-xy35kimzuzwv">
        <w:r>
          <w:rPr>
            <w:rFonts w:ascii="Courier New" w:eastAsia="宋体"/>
            <w:color w:val="000000"/>
            <w:sz w:val="21"/>
            <w:szCs w:val="21"/>
            <w:u w:val="single"/>
          </w:rPr>
          <w:t xml:space="preserve">https://www.gov.cn</w:t>
        </w:r>
      </w:hyperlink>
    </w:p>
    <w:p>
      <w:pPr>
        <w:spacing w:after="40" w:before="0" w:line="300" w:lineRule="atLeast"/>
        <w:ind w:left="480" w:hanging="480"/>
        <w:jc w:val="both"/>
      </w:pPr>
      <w:r>
        <w:rPr>
          <w:rFonts w:ascii="Times New Roman" w:eastAsia="宋体"/>
          <w:color w:val="000000"/>
          <w:sz w:val="21"/>
          <w:szCs w:val="21"/>
        </w:rPr>
        <w:t xml:space="preserve">[3] 全国人民代表大会常务委员会. 中华人民共和国数据安全法（2021 年 9 月 1 日施行）. </w:t>
      </w:r>
      <w:hyperlink w:history="1" r:id="rIdl8z9jbvhsc5olfptpsa65">
        <w:r>
          <w:rPr>
            <w:rFonts w:ascii="Courier New" w:eastAsia="宋体"/>
            <w:color w:val="000000"/>
            <w:sz w:val="21"/>
            <w:szCs w:val="21"/>
            <w:u w:val="single"/>
          </w:rPr>
          <w:t xml:space="preserve">https://www.cac.gov.cn/2021-06/11/c_1624994566919140.htm</w:t>
        </w:r>
      </w:hyperlink>
    </w:p>
    <w:p>
      <w:pPr>
        <w:spacing w:after="40" w:before="0" w:line="300" w:lineRule="atLeast"/>
        <w:ind w:left="480" w:hanging="480"/>
        <w:jc w:val="both"/>
      </w:pPr>
      <w:r>
        <w:rPr>
          <w:rFonts w:ascii="Times New Roman" w:eastAsia="宋体"/>
          <w:color w:val="000000"/>
          <w:sz w:val="21"/>
          <w:szCs w:val="21"/>
        </w:rPr>
        <w:t xml:space="preserve">[4] GB/T 22239-2019 信息安全技术 网络安全等级保护基本要求（2019-05-10 发布，2019-12-01 实施）. </w:t>
      </w:r>
      <w:hyperlink w:history="1" r:id="rIdawrk0ztkgzzldtqa9dtv7">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[5] GB/T 38674-2020 信息安全技术 应用软件安全编程指南（2020-04-28 发布，2020-11-01 实施）. </w:t>
      </w:r>
      <w:hyperlink w:history="1" r:id="rIddcrza2q-ektgl0omwdtfo">
        <w:r>
          <w:rPr>
            <w:rFonts w:ascii="Courier New" w:eastAsia="宋体"/>
            <w:color w:val="000000"/>
            <w:sz w:val="21"/>
            <w:szCs w:val="21"/>
            <w:u w:val="single"/>
          </w:rPr>
          <w:t xml:space="preserve">https://openstd.samr.gov.cn/bzgk/std/newGbInfo?hcno=910B7DBAEB214FE027F163E361960208</w:t>
        </w:r>
      </w:hyperlink>
    </w:p>
    <w:p>
      <w:pPr>
        <w:spacing w:after="40" w:before="0" w:line="300" w:lineRule="atLeast"/>
        <w:ind w:left="480" w:hanging="480"/>
        <w:jc w:val="both"/>
      </w:pPr>
      <w:r>
        <w:rPr>
          <w:rFonts w:ascii="Times New Roman" w:eastAsia="宋体"/>
          <w:color w:val="000000"/>
          <w:sz w:val="21"/>
          <w:szCs w:val="21"/>
        </w:rPr>
        <w:t xml:space="preserve">[6] GB/T 30279-2020 信息安全技术 网络安全漏洞分类分级指南（2021-06-01 实施）. </w:t>
      </w:r>
      <w:hyperlink w:history="1" r:id="rIdli2rvk8c5-2nf6rugdtu5">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[7] GB/T 34590（所有部分）-2022 道路车辆 功能安全（对应 ISO 26262:2018，2023-07-01 实施）. </w:t>
      </w:r>
      <w:hyperlink w:history="1" r:id="rIdz6rwi5tgkpc9gxxaeyvdg">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[8] GB/T 20438（所有部分）-2017 电气/电子/可编程电子安全相关系统的功能安全（对应 IEC 61508:2010）. </w:t>
      </w:r>
      <w:hyperlink w:history="1" r:id="rIdrcqpetvusm6tiazfj8lum">
        <w:r>
          <w:rPr>
            <w:rFonts w:ascii="Courier New" w:eastAsia="宋体"/>
            <w:color w:val="000000"/>
            <w:sz w:val="21"/>
            <w:szCs w:val="21"/>
            <w:u w:val="single"/>
          </w:rPr>
          <w:t xml:space="preserve">https://openstd.samr.gov.cn</w:t>
        </w:r>
      </w:hyperlink>
    </w:p>
    <w:p>
      <w:pPr>
        <w:spacing w:after="40" w:before="0" w:line="300" w:lineRule="atLeast"/>
        <w:ind w:left="480" w:hanging="480"/>
        <w:jc w:val="both"/>
      </w:pPr>
      <w:r>
        <w:rPr>
          <w:rFonts w:ascii="Times New Roman" w:eastAsia="宋体"/>
          <w:color w:val="000000"/>
          <w:sz w:val="21"/>
          <w:szCs w:val="21"/>
        </w:rPr>
        <w:t xml:space="preserve">[9] 工业和信息化部. “十四五”软件和信息技术服务业发展规划（工信部规〔2021〕180 号，2021-11-15 印发）. </w:t>
      </w:r>
      <w:hyperlink w:history="1" r:id="rIdtl0vrk5ynwzhsuuslr9vr">
        <w:r>
          <w:rPr>
            <w:rFonts w:ascii="Courier New" w:eastAsia="宋体"/>
            <w:color w:val="000000"/>
            <w:sz w:val="21"/>
            <w:szCs w:val="21"/>
            <w:u w:val="single"/>
          </w:rPr>
          <w:t xml:space="preserve">https://www.ncsti.gov.cn/zcfg/zcwj/202111/t20211130_52282.html</w:t>
        </w:r>
      </w:hyperlink>
    </w:p>
    <w:p>
      <w:pPr>
        <w:spacing w:after="40" w:before="0" w:line="300" w:lineRule="atLeast"/>
        <w:ind w:left="480" w:hanging="480"/>
        <w:jc w:val="both"/>
      </w:pPr>
      <w:r>
        <w:rPr>
          <w:rFonts w:ascii="Times New Roman" w:eastAsia="宋体"/>
          <w:color w:val="000000"/>
          <w:sz w:val="21"/>
          <w:szCs w:val="21"/>
        </w:rPr>
        <w:t xml:space="preserve">[10] 国务院办公厅. 新能源汽车产业发展规划（2021—2035 年）（国办发〔2020〕39 号，2020-11-02 发布）. </w:t>
      </w:r>
      <w:hyperlink w:history="1" r:id="rId2zpdchb0auehj9nujqsbc">
        <w:r>
          <w:rPr>
            <w:rFonts w:ascii="Courier New" w:eastAsia="宋体"/>
            <w:color w:val="000000"/>
            <w:sz w:val="21"/>
            <w:szCs w:val="21"/>
            <w:u w:val="single"/>
          </w:rPr>
          <w:t xml:space="preserve">https://www.mee.gov.cn/zcwj/gwywj/202011/t20201103_806156.shtml</w:t>
        </w:r>
      </w:hyperlink>
    </w:p>
    <w:p>
      <w:pPr>
        <w:spacing w:after="40" w:before="0" w:line="300" w:lineRule="atLeast"/>
        <w:ind w:left="480" w:hanging="480"/>
        <w:jc w:val="both"/>
      </w:pPr>
      <w:r>
        <w:rPr>
          <w:rFonts w:ascii="Times New Roman" w:eastAsia="宋体"/>
          <w:color w:val="000000"/>
          <w:sz w:val="21"/>
          <w:szCs w:val="21"/>
        </w:rPr>
        <w:t xml:space="preserve">[11] 工业互联网专项工作组. 工业互联网创新发展行动计划（2021—2023 年）（工信部信管〔2020〕197 号，2020-12 印发）. </w:t>
      </w:r>
      <w:hyperlink w:history="1" r:id="rIduehjarenia_9l6osksvsz">
        <w:r>
          <w:rPr>
            <w:rFonts w:ascii="Courier New" w:eastAsia="宋体"/>
            <w:color w:val="000000"/>
            <w:sz w:val="21"/>
            <w:szCs w:val="21"/>
            <w:u w:val="single"/>
          </w:rPr>
          <w:t xml:space="preserve">http://www.scio.gov.cn/xwfb/gwyxwbgsxwfbh/wqfbh_2284/2021n_2711/2021n03y08r/wjxgzc_2910/202208/t20220808_310230.html</w:t>
        </w:r>
      </w:hyperlink>
    </w:p>
    <w:p>
      <w:pPr>
        <w:spacing w:after="40" w:before="0" w:line="300" w:lineRule="atLeast"/>
        <w:ind w:left="480" w:hanging="480"/>
        <w:jc w:val="both"/>
      </w:pPr>
      <w:r>
        <w:rPr>
          <w:rFonts w:ascii="Times New Roman" w:eastAsia="宋体"/>
          <w:color w:val="000000"/>
          <w:sz w:val="21"/>
          <w:szCs w:val="21"/>
        </w:rPr>
        <w:t xml:space="preserve">[12] 中央网络安全和信息化委员会. “十四五”国家信息化规划（2021-12-27 发布）. </w:t>
      </w:r>
      <w:hyperlink w:history="1" r:id="rIdmeubzms8lsp7dsi4orefv">
        <w:r>
          <w:rPr>
            <w:rFonts w:ascii="Courier New" w:eastAsia="宋体"/>
            <w:color w:val="000000"/>
            <w:sz w:val="21"/>
            <w:szCs w:val="21"/>
            <w:u w:val="single"/>
          </w:rPr>
          <w:t xml:space="preserve">http://www.cac.gov.cn/2021-12/27/c_1642205314518676.htm</w:t>
        </w:r>
      </w:hyperlink>
    </w:p>
    <w:p>
      <w:pPr>
        <w:spacing w:after="40" w:before="0" w:line="300" w:lineRule="atLeast"/>
        <w:ind w:left="480" w:hanging="480"/>
        <w:jc w:val="both"/>
      </w:pPr>
      <w:r>
        <w:rPr>
          <w:rFonts w:ascii="Times New Roman" w:eastAsia="宋体"/>
          <w:color w:val="000000"/>
          <w:sz w:val="21"/>
          <w:szCs w:val="21"/>
        </w:rPr>
        <w:t xml:space="preserve">[13] ISO/SAE 21434:2021 Road vehicles — Cybersecurity engineering（2021-08-31 发布）. </w:t>
      </w:r>
      <w:hyperlink w:history="1" r:id="rIdwimbnk32gcmn9b3hwfudd">
        <w:r>
          <w:rPr>
            <w:rFonts w:ascii="Courier New" w:eastAsia="宋体"/>
            <w:color w:val="000000"/>
            <w:sz w:val="21"/>
            <w:szCs w:val="21"/>
            <w:u w:val="single"/>
          </w:rPr>
          <w:t xml:space="preserve">https://www.iso.org</w:t>
        </w:r>
      </w:hyperlink>
    </w:p>
    <w:p>
      <w:pPr>
        <w:spacing w:after="40" w:before="0" w:line="300" w:lineRule="atLeast"/>
        <w:ind w:left="480" w:hanging="480"/>
        <w:jc w:val="both"/>
      </w:pPr>
      <w:r>
        <w:rPr>
          <w:rFonts w:ascii="Times New Roman" w:eastAsia="宋体"/>
          <w:color w:val="000000"/>
          <w:sz w:val="21"/>
          <w:szCs w:val="21"/>
        </w:rPr>
        <w:t xml:space="preserve">[14] UNECE Regulation No. 155 — Uniform provisions for the approval of vehicles with regards to cyber security（2021-01 生效，2022-07 起新车型强制）. </w:t>
      </w:r>
      <w:hyperlink w:history="1" r:id="rIdza5i-hadcfaavbwd43wgd">
        <w:r>
          <w:rPr>
            <w:rFonts w:ascii="Courier New" w:eastAsia="宋体"/>
            <w:color w:val="000000"/>
            <w:sz w:val="21"/>
            <w:szCs w:val="21"/>
            <w:u w:val="single"/>
          </w:rPr>
          <w:t xml:space="preserve">https://unece.org/sites/default/files/2023-02/R155e%20%282%29.pdf</w:t>
        </w:r>
      </w:hyperlink>
    </w:p>
    <w:p>
      <w:pPr>
        <w:spacing w:after="40" w:before="0" w:line="300" w:lineRule="atLeast"/>
        <w:ind w:left="480" w:hanging="480"/>
        <w:jc w:val="both"/>
      </w:pPr>
      <w:r>
        <w:rPr>
          <w:rFonts w:ascii="Times New Roman" w:eastAsia="宋体"/>
          <w:color w:val="000000"/>
          <w:sz w:val="21"/>
          <w:szCs w:val="21"/>
        </w:rPr>
        <w:t xml:space="preserve">[15] Regulation (EU) 2024/2847（Cyber Resilience Act，2024-12-10 生效；漏洞报告义务自 2026-09-11、主要义务自 2027-12-11 起适用）. </w:t>
      </w:r>
      <w:hyperlink w:history="1" r:id="rIdcavwxpbypkyacnvelj0lo">
        <w:r>
          <w:rPr>
            <w:rFonts w:ascii="Courier New" w:eastAsia="宋体"/>
            <w:color w:val="000000"/>
            <w:sz w:val="21"/>
            <w:szCs w:val="21"/>
            <w:u w:val="single"/>
          </w:rPr>
          <w:t xml:space="preserve">https://digital-strategy.ec.europa.eu/en/policies/cyber-resilience-act</w:t>
        </w:r>
      </w:hyperlink>
    </w:p>
    <w:p>
      <w:pPr>
        <w:spacing w:after="40" w:before="0" w:line="300" w:lineRule="atLeast"/>
        <w:ind w:left="480" w:hanging="480"/>
        <w:jc w:val="both"/>
      </w:pPr>
      <w:r>
        <w:rPr>
          <w:rFonts w:ascii="Times New Roman" w:eastAsia="宋体"/>
          <w:color w:val="000000"/>
          <w:sz w:val="21"/>
          <w:szCs w:val="21"/>
        </w:rPr>
        <w:t xml:space="preserve">[16] EN 50716:2023 Railway applications — Requirements for software development（2023-11 发布，取代 EN 50128:2011+A2:2020）. </w:t>
      </w:r>
      <w:hyperlink w:history="1" r:id="rIdvwxpxjkpg88x8ir3k1_j_">
        <w:r>
          <w:rPr>
            <w:rFonts w:ascii="Courier New" w:eastAsia="宋体"/>
            <w:color w:val="000000"/>
            <w:sz w:val="21"/>
            <w:szCs w:val="21"/>
            <w:u w:val="single"/>
          </w:rPr>
          <w:t xml:space="preserve">https://standards.iteh.ai/catalog/standards/clc/32d1d924-9bfd-477e-adf4-de6e3358be77/en-50716-2023</w:t>
        </w:r>
      </w:hyperlink>
    </w:p>
    <w:p>
      <w:pPr>
        <w:spacing w:after="40" w:before="0" w:line="300" w:lineRule="atLeast"/>
        <w:ind w:left="480" w:hanging="480"/>
        <w:jc w:val="both"/>
      </w:pPr>
      <w:r>
        <w:rPr>
          <w:rFonts w:ascii="Times New Roman" w:eastAsia="宋体"/>
          <w:color w:val="000000"/>
          <w:sz w:val="21"/>
          <w:szCs w:val="21"/>
        </w:rPr>
        <w:t xml:space="preserve">[17] MISRA. MISRA C:2012（2013-03 第三版，AMD1 2016 / AMD2 2020 / AMD3 2022 / AMD4 2023）；MISRA C:2023；MISRA C:2025（2025-03）. </w:t>
      </w:r>
      <w:hyperlink w:history="1" r:id="rIdopgc_b0qv3lrxhma94xh_">
        <w:r>
          <w:rPr>
            <w:rFonts w:ascii="Courier New" w:eastAsia="宋体"/>
            <w:color w:val="000000"/>
            <w:sz w:val="21"/>
            <w:szCs w:val="21"/>
            <w:u w:val="single"/>
          </w:rPr>
          <w:t xml:space="preserve">https://misra.org.uk/publications/</w:t>
        </w:r>
      </w:hyperlink>
    </w:p>
    <w:p>
      <w:pPr>
        <w:spacing w:after="40" w:before="0" w:line="300" w:lineRule="atLeast"/>
        <w:ind w:left="480" w:hanging="480"/>
        <w:jc w:val="both"/>
      </w:pPr>
      <w:r>
        <w:rPr>
          <w:rFonts w:ascii="Times New Roman" w:eastAsia="宋体"/>
          <w:color w:val="000000"/>
          <w:sz w:val="21"/>
          <w:szCs w:val="21"/>
        </w:rPr>
        <w:t xml:space="preserve">[18] SEI CERT C Coding Standard（CMU Software Engineering Institute，2016 发行版，在线版持续更新）. </w:t>
      </w:r>
      <w:hyperlink w:history="1" r:id="rIdlc9xo8txoyw8u94s1zey-">
        <w:r>
          <w:rPr>
            <w:rFonts w:ascii="Courier New" w:eastAsia="宋体"/>
            <w:color w:val="000000"/>
            <w:sz w:val="21"/>
            <w:szCs w:val="21"/>
            <w:u w:val="single"/>
          </w:rPr>
          <w:t xml:space="preserve">https://cmu-sei.github.io/secure-coding-standards/sei-cert-c-coding-standard/</w:t>
        </w:r>
      </w:hyperlink>
    </w:p>
    <w:p>
      <w:pPr>
        <w:spacing w:after="40" w:before="0" w:line="300" w:lineRule="atLeast"/>
        <w:ind w:left="480" w:hanging="480"/>
        <w:jc w:val="both"/>
      </w:pPr>
      <w:r>
        <w:rPr>
          <w:rFonts w:ascii="Times New Roman" w:eastAsia="宋体"/>
          <w:color w:val="000000"/>
          <w:sz w:val="21"/>
          <w:szCs w:val="21"/>
        </w:rPr>
        <w:t xml:space="preserve">[19] MITRE. 2025 CWE Top 25 Most Dangerous Software Weaknesses（基于约 39,080 条 CVE）. </w:t>
      </w:r>
      <w:hyperlink w:history="1" r:id="rIdyz9yjjnuabmpb9dcvj-qi">
        <w:r>
          <w:rPr>
            <w:rFonts w:ascii="Courier New" w:eastAsia="宋体"/>
            <w:color w:val="000000"/>
            <w:sz w:val="21"/>
            <w:szCs w:val="21"/>
            <w:u w:val="single"/>
          </w:rPr>
          <w:t xml:space="preserve">https://cwe.mitre.org/top25/archive/2025/2025_cwe_top25.html</w:t>
        </w:r>
      </w:hyperlink>
    </w:p>
    <w:p>
      <w:pPr>
        <w:spacing w:after="40" w:before="0" w:line="300" w:lineRule="atLeast"/>
        <w:ind w:left="480" w:hanging="480"/>
        <w:jc w:val="both"/>
      </w:pPr>
      <w:r>
        <w:rPr>
          <w:rFonts w:ascii="Times New Roman" w:eastAsia="宋体"/>
          <w:color w:val="000000"/>
          <w:sz w:val="21"/>
          <w:szCs w:val="21"/>
        </w:rPr>
        <w:t xml:space="preserve">[20] Industrial Cyber. SynSaber 对 CISA ICS advisories 的分析：2022 年揭示 1,342 个 ICS CVE，2020—2022 年增长约 144%. </w:t>
      </w:r>
      <w:hyperlink w:history="1" r:id="rIdex3sgi8igmvcksnvb7slg">
        <w:r>
          <w:rPr>
            <w:rFonts w:ascii="Courier New" w:eastAsia="宋体"/>
            <w:color w:val="000000"/>
            <w:sz w:val="21"/>
            <w:szCs w:val="21"/>
            <w:u w:val="single"/>
          </w:rPr>
          <w:t xml:space="preserve">https://industrialcyber.co/news/synsaber-notes-144-rise-in-cves-reported-as-ics-advisories-from-2020-to-2022</w:t>
        </w:r>
      </w:hyperlink>
    </w:p>
    <w:p>
      <w:pPr>
        <w:spacing w:after="40" w:before="0" w:line="300" w:lineRule="atLeast"/>
        <w:ind w:left="480" w:hanging="480"/>
        <w:jc w:val="both"/>
      </w:pPr>
      <w:r>
        <w:rPr>
          <w:rFonts w:ascii="Times New Roman" w:eastAsia="宋体"/>
          <w:color w:val="000000"/>
          <w:sz w:val="21"/>
          <w:szCs w:val="21"/>
        </w:rPr>
        <w:t xml:space="preserve">[21] Microsoft Security Signals（2021-03）：80% 的受访企业过去两年内遭遇过至少一次固件攻击. </w:t>
      </w:r>
      <w:hyperlink w:history="1" r:id="rIdzteut0cc0a93grzk1cah8">
        <w:r>
          <w:rPr>
            <w:rFonts w:ascii="Courier New" w:eastAsia="宋体"/>
            <w:color w:val="000000"/>
            <w:sz w:val="21"/>
            <w:szCs w:val="21"/>
            <w:u w:val="single"/>
          </w:rPr>
          <w:t xml:space="preserve">https://www.microsoft.com/en-us/security/blog/2021/03/30/new-security-signals-study-shows-firmware-attacks-on-the-rise-heres-how-microsoft-is-working-to-help-eliminate-this-entire-class-of-threats</w:t>
        </w:r>
      </w:hyperlink>
    </w:p>
    <w:p>
      <w:pPr>
        <w:spacing w:after="40" w:before="0" w:line="300" w:lineRule="atLeast"/>
        <w:ind w:left="480" w:hanging="480"/>
        <w:jc w:val="both"/>
      </w:pPr>
      <w:r>
        <w:rPr>
          <w:rFonts w:ascii="Times New Roman" w:eastAsia="宋体"/>
          <w:color w:val="000000"/>
          <w:sz w:val="21"/>
          <w:szCs w:val="21"/>
        </w:rPr>
        <w:t xml:space="preserve">[22] Upstream Security. Global Automotive Cybersecurity Report 2025（2024 年公开报道汽车网络安全事件 409 起，2023 年为 295 起）. </w:t>
      </w:r>
      <w:hyperlink w:history="1" r:id="rIdr0dl7msjpllhl9lnv-l56">
        <w:r>
          <w:rPr>
            <w:rFonts w:ascii="Courier New" w:eastAsia="宋体"/>
            <w:color w:val="000000"/>
            <w:sz w:val="21"/>
            <w:szCs w:val="21"/>
            <w:u w:val="single"/>
          </w:rPr>
          <w:t xml:space="preserve">https://upstream.auto</w:t>
        </w:r>
      </w:hyperlink>
    </w:p>
    <w:p>
      <w:pPr>
        <w:spacing w:after="40" w:before="0" w:line="300" w:lineRule="atLeast"/>
        <w:ind w:left="480" w:hanging="480"/>
        <w:jc w:val="both"/>
      </w:pPr>
      <w:r>
        <w:rPr>
          <w:rFonts w:ascii="Times New Roman" w:eastAsia="宋体"/>
          <w:color w:val="000000"/>
          <w:sz w:val="21"/>
          <w:szCs w:val="21"/>
        </w:rPr>
        <w:t xml:space="preserve">[23] SDV Insider（2025-02）：2024 年美国车辆召回约 2,890 万辆，其中约 46% 涉及软件问题（2023 年为 14.2%；口径为涉及软件的召回，与 NHTSA 官方口径存在差异）. </w:t>
      </w:r>
      <w:hyperlink w:history="1" r:id="rIdy6pxc7ljtzfjxal1yiyra">
        <w:r>
          <w:rPr>
            <w:rFonts w:ascii="Courier New" w:eastAsia="宋体"/>
            <w:color w:val="000000"/>
            <w:sz w:val="21"/>
            <w:szCs w:val="21"/>
            <w:u w:val="single"/>
          </w:rPr>
          <w:t xml:space="preserve">https://www.envorso.com</w:t>
        </w:r>
      </w:hyperlink>
    </w:p>
    <w:p>
      <w:pPr>
        <w:spacing w:after="40" w:before="0" w:line="300" w:lineRule="atLeast"/>
        <w:ind w:left="480" w:hanging="480"/>
        <w:jc w:val="both"/>
      </w:pPr>
      <w:r>
        <w:rPr>
          <w:rFonts w:ascii="Times New Roman" w:eastAsia="宋体"/>
          <w:color w:val="000000"/>
          <w:sz w:val="21"/>
          <w:szCs w:val="21"/>
        </w:rPr>
        <w:t xml:space="preserve">[24] Krasner H. The Cost of Poor Software Quality in the US: A 2022 Report. CISQ（美国软件劣质成本约 2.41 万亿美元）. </w:t>
      </w:r>
      <w:hyperlink w:history="1" r:id="rIddionrrci_0ujmziktcbks">
        <w:r>
          <w:rPr>
            <w:rFonts w:ascii="Courier New" w:eastAsia="宋体"/>
            <w:color w:val="000000"/>
            <w:sz w:val="21"/>
            <w:szCs w:val="21"/>
            <w:u w:val="single"/>
          </w:rPr>
          <w:t xml:space="preserve">https://www.it-cisq.org</w:t>
        </w:r>
      </w:hyperlink>
    </w:p>
    <w:p>
      <w:pPr>
        <w:spacing w:after="40" w:before="0" w:line="300" w:lineRule="atLeast"/>
        <w:ind w:left="480" w:hanging="480"/>
        <w:jc w:val="both"/>
      </w:pPr>
      <w:r>
        <w:rPr>
          <w:rFonts w:ascii="Times New Roman" w:eastAsia="宋体"/>
          <w:color w:val="000000"/>
          <w:sz w:val="21"/>
          <w:szCs w:val="21"/>
        </w:rPr>
        <w:t xml:space="preserve">[25] Synopsys（现 Black Duck）. Coverity 与 Coverity Scan（2002 年创立，Scan 云服务 2007 年上线，覆盖 3,900+ 开源项目）. </w:t>
      </w:r>
      <w:hyperlink w:history="1" r:id="rId9yodl5w3t1xfgeighreo9">
        <w:r>
          <w:rPr>
            <w:rFonts w:ascii="Courier New" w:eastAsia="宋体"/>
            <w:color w:val="000000"/>
            <w:sz w:val="21"/>
            <w:szCs w:val="21"/>
            <w:u w:val="single"/>
          </w:rPr>
          <w:t xml:space="preserve">https://scan.coverity.com</w:t>
        </w:r>
      </w:hyperlink>
    </w:p>
    <w:p>
      <w:pPr>
        <w:spacing w:after="40" w:before="0" w:line="300" w:lineRule="atLeast"/>
        <w:ind w:left="480" w:hanging="480"/>
        <w:jc w:val="both"/>
      </w:pPr>
      <w:r>
        <w:rPr>
          <w:rFonts w:ascii="Times New Roman" w:eastAsia="宋体"/>
          <w:color w:val="000000"/>
          <w:sz w:val="21"/>
          <w:szCs w:val="21"/>
        </w:rPr>
        <w:t xml:space="preserve">[26] GitHub. CodeQL 与 QL 查询语言（Semmle 2006 年创立，GitHub 2019 年收购，2019-11 免费开放研究与开源使用）. </w:t>
      </w:r>
      <w:hyperlink w:history="1" r:id="rIdgjzrwyr3cgz0nfndqh_u_">
        <w:r>
          <w:rPr>
            <w:rFonts w:ascii="Courier New" w:eastAsia="宋体"/>
            <w:color w:val="000000"/>
            <w:sz w:val="21"/>
            <w:szCs w:val="21"/>
            <w:u w:val="single"/>
          </w:rPr>
          <w:t xml:space="preserve">https://codeql.github.com</w:t>
        </w:r>
      </w:hyperlink>
    </w:p>
    <w:p>
      <w:pPr>
        <w:spacing w:after="40" w:before="0" w:line="300" w:lineRule="atLeast"/>
        <w:ind w:left="480" w:hanging="480"/>
        <w:jc w:val="both"/>
      </w:pPr>
      <w:r>
        <w:rPr>
          <w:rFonts w:ascii="Times New Roman" w:eastAsia="宋体"/>
          <w:color w:val="000000"/>
          <w:sz w:val="21"/>
          <w:szCs w:val="21"/>
        </w:rPr>
        <w:t xml:space="preserve">[27] r2c. Semgrep（前身 Facebook 内部 sgrep，2020 年改名发布；OSS 引擎 LGPL-2.1）. </w:t>
      </w:r>
      <w:hyperlink w:history="1" r:id="rIdknsxphdqjy4na4bverbz4">
        <w:r>
          <w:rPr>
            <w:rFonts w:ascii="Courier New" w:eastAsia="宋体"/>
            <w:color w:val="000000"/>
            <w:sz w:val="21"/>
            <w:szCs w:val="21"/>
            <w:u w:val="single"/>
          </w:rPr>
          <w:t xml:space="preserve">https://github.com/semgrep/semgrep</w:t>
        </w:r>
      </w:hyperlink>
    </w:p>
    <w:p>
      <w:pPr>
        <w:spacing w:after="40" w:before="0" w:line="300" w:lineRule="atLeast"/>
        <w:ind w:left="480" w:hanging="480"/>
        <w:jc w:val="both"/>
      </w:pPr>
      <w:r>
        <w:rPr>
          <w:rFonts w:ascii="Times New Roman" w:eastAsia="宋体"/>
          <w:color w:val="000000"/>
          <w:sz w:val="21"/>
          <w:szCs w:val="21"/>
        </w:rPr>
        <w:t xml:space="preserve">[28] Calcagno C, Distefano D, et al. Scaling static analyses at Facebook. Communications of the ACM, 58(8), 2015；Meta Infer（2015-06 开源，MIT）. </w:t>
      </w:r>
      <w:hyperlink w:history="1" r:id="rIddljy8r6h9njomxnnl8qwx">
        <w:r>
          <w:rPr>
            <w:rFonts w:ascii="Courier New" w:eastAsia="宋体"/>
            <w:color w:val="000000"/>
            <w:sz w:val="21"/>
            <w:szCs w:val="21"/>
            <w:u w:val="single"/>
          </w:rPr>
          <w:t xml:space="preserve">https://fbinfer.com</w:t>
        </w:r>
      </w:hyperlink>
    </w:p>
    <w:p>
      <w:pPr>
        <w:spacing w:after="40" w:before="0" w:line="300" w:lineRule="atLeast"/>
        <w:ind w:left="480" w:hanging="480"/>
        <w:jc w:val="both"/>
      </w:pPr>
      <w:r>
        <w:rPr>
          <w:rFonts w:ascii="Times New Roman" w:eastAsia="宋体"/>
          <w:color w:val="000000"/>
          <w:sz w:val="21"/>
          <w:szCs w:val="21"/>
        </w:rPr>
        <w:t xml:space="preserve">[29] SonarSource. SonarQube（2008 年，瑞士日内瓦）. </w:t>
      </w:r>
      <w:hyperlink w:history="1" r:id="rIdgqiuipm8kusyimqxhqzup">
        <w:r>
          <w:rPr>
            <w:rFonts w:ascii="Courier New" w:eastAsia="宋体"/>
            <w:color w:val="000000"/>
            <w:sz w:val="21"/>
            <w:szCs w:val="21"/>
            <w:u w:val="single"/>
          </w:rPr>
          <w:t xml:space="preserve">https://www.sonarsource.com</w:t>
        </w:r>
      </w:hyperlink>
    </w:p>
    <w:p>
      <w:pPr>
        <w:spacing w:after="40" w:before="0" w:line="300" w:lineRule="atLeast"/>
        <w:ind w:left="480" w:hanging="480"/>
        <w:jc w:val="both"/>
      </w:pPr>
      <w:r>
        <w:rPr>
          <w:rFonts w:ascii="Times New Roman" w:eastAsia="宋体"/>
          <w:color w:val="000000"/>
          <w:sz w:val="21"/>
          <w:szCs w:val="21"/>
        </w:rPr>
        <w:t xml:space="preserve">[30] LLVM 项目. Clang Static Analyzer（路径敏感符号执行 + 可插拔 checker 架构，Apache-2.0）. </w:t>
      </w:r>
      <w:hyperlink w:history="1" r:id="rIdcvvzouwimtyx-uhrmh1ko">
        <w:r>
          <w:rPr>
            <w:rFonts w:ascii="Courier New" w:eastAsia="宋体"/>
            <w:color w:val="000000"/>
            <w:sz w:val="21"/>
            <w:szCs w:val="21"/>
            <w:u w:val="single"/>
          </w:rPr>
          <w:t xml:space="preserve">https://clang.llvm.org/docs/ClangStaticAnalyzer.html</w:t>
        </w:r>
      </w:hyperlink>
    </w:p>
    <w:p>
      <w:pPr>
        <w:spacing w:after="40" w:before="0" w:line="300" w:lineRule="atLeast"/>
        <w:ind w:left="480" w:hanging="480"/>
        <w:jc w:val="both"/>
      </w:pPr>
      <w:r>
        <w:rPr>
          <w:rFonts w:ascii="Times New Roman" w:eastAsia="宋体"/>
          <w:color w:val="000000"/>
          <w:sz w:val="21"/>
          <w:szCs w:val="21"/>
        </w:rPr>
        <w:t xml:space="preserve">[31] PVS-Studio（2008 年，俄罗斯图拉；1,000+ 诊断规则；曾对 ArduPilot 等开源项目出具分析报告）. </w:t>
      </w:r>
      <w:hyperlink w:history="1" r:id="rIdag-dj0qd0qgltsgrcq-bm">
        <w:r>
          <w:rPr>
            <w:rFonts w:ascii="Courier New" w:eastAsia="宋体"/>
            <w:color w:val="000000"/>
            <w:sz w:val="21"/>
            <w:szCs w:val="21"/>
            <w:u w:val="single"/>
          </w:rPr>
          <w:t xml:space="preserve">https://pvs-studio.com</w:t>
        </w:r>
      </w:hyperlink>
    </w:p>
    <w:p>
      <w:pPr>
        <w:spacing w:after="40" w:before="0" w:line="300" w:lineRule="atLeast"/>
        <w:ind w:left="480" w:hanging="480"/>
        <w:jc w:val="both"/>
      </w:pPr>
      <w:r>
        <w:rPr>
          <w:rFonts w:ascii="Times New Roman" w:eastAsia="宋体"/>
          <w:color w:val="000000"/>
          <w:sz w:val="21"/>
          <w:szCs w:val="21"/>
        </w:rPr>
        <w:t xml:space="preserve">[32] Marjamäki D. Cppcheck（2009-03 仓库创建，GPL-3.0，支持 --platform 嵌入式平台参数）. </w:t>
      </w:r>
      <w:hyperlink w:history="1" r:id="rIdoqhczn2i1o2qnbjbq8otm">
        <w:r>
          <w:rPr>
            <w:rFonts w:ascii="Courier New" w:eastAsia="宋体"/>
            <w:color w:val="000000"/>
            <w:sz w:val="21"/>
            <w:szCs w:val="21"/>
            <w:u w:val="single"/>
          </w:rPr>
          <w:t xml:space="preserve">https://github.com/danmar/cppcheck</w:t>
        </w:r>
      </w:hyperlink>
    </w:p>
    <w:p>
      <w:pPr>
        <w:spacing w:after="40" w:before="0" w:line="300" w:lineRule="atLeast"/>
        <w:ind w:left="480" w:hanging="480"/>
        <w:jc w:val="both"/>
      </w:pPr>
      <w:r>
        <w:rPr>
          <w:rFonts w:ascii="Times New Roman" w:eastAsia="宋体"/>
          <w:color w:val="000000"/>
          <w:sz w:val="21"/>
          <w:szCs w:val="21"/>
        </w:rPr>
        <w:t xml:space="preserve">[33] 腾讯. TscanCode（2015-03 仓库创建，覆盖 C/C++、C#、Lua；2023 年底后停止更新）. </w:t>
      </w:r>
      <w:hyperlink w:history="1" r:id="rIdizqmaxhmipsui4gn0dlsx">
        <w:r>
          <w:rPr>
            <w:rFonts w:ascii="Courier New" w:eastAsia="宋体"/>
            <w:color w:val="000000"/>
            <w:sz w:val="21"/>
            <w:szCs w:val="21"/>
            <w:u w:val="single"/>
          </w:rPr>
          <w:t xml:space="preserve">https://github.com/Tencent/TscanCode</w:t>
        </w:r>
      </w:hyperlink>
    </w:p>
    <w:p>
      <w:pPr>
        <w:spacing w:after="40" w:before="0" w:line="300" w:lineRule="atLeast"/>
        <w:ind w:left="480" w:hanging="480"/>
        <w:jc w:val="both"/>
      </w:pPr>
      <w:r>
        <w:rPr>
          <w:rFonts w:ascii="Times New Roman" w:eastAsia="宋体"/>
          <w:color w:val="000000"/>
          <w:sz w:val="21"/>
          <w:szCs w:val="21"/>
        </w:rPr>
        <w:t xml:space="preserve">[34] Fioraldi A, Maier D, Eißfeldt H, Heuse M. AFL++: Combining Incremental Steps of Fuzzing Research. USENIX WOOT 2020. </w:t>
      </w:r>
      <w:hyperlink w:history="1" r:id="rIdytrglea7q979-siifgikd">
        <w:r>
          <w:rPr>
            <w:rFonts w:ascii="Courier New" w:eastAsia="宋体"/>
            <w:color w:val="000000"/>
            <w:sz w:val="21"/>
            <w:szCs w:val="21"/>
            <w:u w:val="single"/>
          </w:rPr>
          <w:t xml:space="preserve">https://github.com/AFLplusplus/AFLplusplus</w:t>
        </w:r>
      </w:hyperlink>
    </w:p>
    <w:p>
      <w:pPr>
        <w:spacing w:after="40" w:before="0" w:line="300" w:lineRule="atLeast"/>
        <w:ind w:left="480" w:hanging="480"/>
        <w:jc w:val="both"/>
      </w:pPr>
      <w:r>
        <w:rPr>
          <w:rFonts w:ascii="Times New Roman" w:eastAsia="宋体"/>
          <w:color w:val="000000"/>
          <w:sz w:val="21"/>
          <w:szCs w:val="21"/>
        </w:rPr>
        <w:t xml:space="preserve">[35] Google. OSS-Fuzz（2016-12 上线；官方 README 口径累计发现 13,000+ 安全漏洞、50,000+ bugs）. </w:t>
      </w:r>
      <w:hyperlink w:history="1" r:id="rId8cocq1y7aviwliar0ej2d">
        <w:r>
          <w:rPr>
            <w:rFonts w:ascii="Courier New" w:eastAsia="宋体"/>
            <w:color w:val="000000"/>
            <w:sz w:val="21"/>
            <w:szCs w:val="21"/>
            <w:u w:val="single"/>
          </w:rPr>
          <w:t xml:space="preserve">https://google.github.io/oss-fuzz</w:t>
        </w:r>
      </w:hyperlink>
    </w:p>
    <w:p>
      <w:pPr>
        <w:spacing w:after="40" w:before="0" w:line="300" w:lineRule="atLeast"/>
        <w:ind w:left="480" w:hanging="480"/>
        <w:jc w:val="both"/>
      </w:pPr>
      <w:r>
        <w:rPr>
          <w:rFonts w:ascii="Times New Roman" w:eastAsia="宋体"/>
          <w:color w:val="000000"/>
          <w:sz w:val="21"/>
          <w:szCs w:val="21"/>
        </w:rPr>
        <w:t xml:space="preserve">[36] Feng Z, Guo D, et al. CodeBERT: A Pre-Trained Model for Programming and Natural Languages. EMNLP 2020. </w:t>
      </w:r>
      <w:hyperlink w:history="1" r:id="rIdeko_xujbetsboc7l8sfy6">
        <w:r>
          <w:rPr>
            <w:rFonts w:ascii="Courier New" w:eastAsia="宋体"/>
            <w:color w:val="000000"/>
            <w:sz w:val="21"/>
            <w:szCs w:val="21"/>
            <w:u w:val="single"/>
          </w:rPr>
          <w:t xml:space="preserve">https://aclanthology.org/2020.emnlp-main.207/</w:t>
        </w:r>
      </w:hyperlink>
    </w:p>
    <w:p>
      <w:pPr>
        <w:spacing w:after="40" w:before="0" w:line="300" w:lineRule="atLeast"/>
        <w:ind w:left="480" w:hanging="480"/>
        <w:jc w:val="both"/>
      </w:pPr>
      <w:r>
        <w:rPr>
          <w:rFonts w:ascii="Times New Roman" w:eastAsia="宋体"/>
          <w:color w:val="000000"/>
          <w:sz w:val="21"/>
          <w:szCs w:val="21"/>
        </w:rPr>
        <w:t xml:space="preserve">[37] Guo D, Lu S, et al. GraphCodeBERT: Pre-training Code Representations with Data Flow. ICLR 2021. </w:t>
      </w:r>
      <w:hyperlink w:history="1" r:id="rIdbyu8bduffulf-_jaqpnyz">
        <w:r>
          <w:rPr>
            <w:rFonts w:ascii="Courier New" w:eastAsia="宋体"/>
            <w:color w:val="000000"/>
            <w:sz w:val="21"/>
            <w:szCs w:val="21"/>
            <w:u w:val="single"/>
          </w:rPr>
          <w:t xml:space="preserve">https://openreview.net/forum?id=jLoC4ez43PZ</w:t>
        </w:r>
      </w:hyperlink>
    </w:p>
    <w:p>
      <w:pPr>
        <w:spacing w:after="40" w:before="0" w:line="300" w:lineRule="atLeast"/>
        <w:ind w:left="480" w:hanging="480"/>
        <w:jc w:val="both"/>
      </w:pPr>
      <w:r>
        <w:rPr>
          <w:rFonts w:ascii="Times New Roman" w:eastAsia="宋体"/>
          <w:color w:val="000000"/>
          <w:sz w:val="21"/>
          <w:szCs w:val="21"/>
        </w:rPr>
        <w:t xml:space="preserve">[38] Guo D, et al. UniXcoder: Unified Cross-Modal Pre-training for Code Representation. AAAI 2022. </w:t>
      </w:r>
      <w:hyperlink w:history="1" r:id="rIdfvg7ulj3j09xk0cuqkngm">
        <w:r>
          <w:rPr>
            <w:rFonts w:ascii="Courier New" w:eastAsia="宋体"/>
            <w:color w:val="000000"/>
            <w:sz w:val="21"/>
            <w:szCs w:val="21"/>
            <w:u w:val="single"/>
          </w:rPr>
          <w:t xml:space="preserve">https://arxiv.org/abs/2203.03850</w:t>
        </w:r>
      </w:hyperlink>
    </w:p>
    <w:p>
      <w:pPr>
        <w:spacing w:after="40" w:before="0" w:line="300" w:lineRule="atLeast"/>
        <w:ind w:left="480" w:hanging="480"/>
        <w:jc w:val="both"/>
      </w:pPr>
      <w:r>
        <w:rPr>
          <w:rFonts w:ascii="Times New Roman" w:eastAsia="宋体"/>
          <w:color w:val="000000"/>
          <w:sz w:val="21"/>
          <w:szCs w:val="21"/>
        </w:rPr>
        <w:t xml:space="preserve">[39] Sun Y, Wu D, et al. GPTScan: Detecting Logic Vulnerabilities in Smart Contracts by Combining GPT with Program Analysis. ICSE 2024. </w:t>
      </w:r>
      <w:hyperlink w:history="1" r:id="rId1xsqh0krv4prtmt3jfkwk">
        <w:r>
          <w:rPr>
            <w:rFonts w:ascii="Courier New" w:eastAsia="宋体"/>
            <w:color w:val="000000"/>
            <w:sz w:val="21"/>
            <w:szCs w:val="21"/>
            <w:u w:val="single"/>
          </w:rPr>
          <w:t xml:space="preserve">https://arxiv.org/abs/2308.03314</w:t>
        </w:r>
      </w:hyperlink>
    </w:p>
    <w:p>
      <w:pPr>
        <w:spacing w:after="40" w:before="0" w:line="300" w:lineRule="atLeast"/>
        <w:ind w:left="480" w:hanging="480"/>
        <w:jc w:val="both"/>
      </w:pPr>
      <w:r>
        <w:rPr>
          <w:rFonts w:ascii="Times New Roman" w:eastAsia="宋体"/>
          <w:color w:val="000000"/>
          <w:sz w:val="21"/>
          <w:szCs w:val="21"/>
        </w:rPr>
        <w:t xml:space="preserve">[40] Sun Y, Wu D, et al. LLM4Vuln: A Unified Evaluation Framework for Decoupling and Enhancing LLMs' Vulnerability Reasoning（2024，arXiv 技术报告）. </w:t>
      </w:r>
      <w:hyperlink w:history="1" r:id="rIdnvzu42arjpqophheiuigc">
        <w:r>
          <w:rPr>
            <w:rFonts w:ascii="Courier New" w:eastAsia="宋体"/>
            <w:color w:val="000000"/>
            <w:sz w:val="21"/>
            <w:szCs w:val="21"/>
            <w:u w:val="single"/>
          </w:rPr>
          <w:t xml:space="preserve">https://arxiv.org/abs/2401.16185</w:t>
        </w:r>
      </w:hyperlink>
    </w:p>
    <w:p>
      <w:pPr>
        <w:spacing w:after="40" w:before="0" w:line="300" w:lineRule="atLeast"/>
        <w:ind w:left="480" w:hanging="480"/>
        <w:jc w:val="both"/>
      </w:pPr>
      <w:r>
        <w:rPr>
          <w:rFonts w:ascii="Times New Roman" w:eastAsia="宋体"/>
          <w:color w:val="000000"/>
          <w:sz w:val="21"/>
          <w:szCs w:val="21"/>
        </w:rPr>
        <w:t xml:space="preserve">[41] Engler D, Chelf B, Chou A, Hallem S. Checking System Rules Using System-Specific, Programmer-Written Compiler Extensions（Metal）. PLDI 2001；Bugs as Deviant Behavior. SOSP 2001. </w:t>
      </w:r>
      <w:hyperlink w:history="1" r:id="rIdv_ayiy2ydkumpx0dzymmz">
        <w:r>
          <w:rPr>
            <w:rFonts w:ascii="Courier New" w:eastAsia="宋体"/>
            <w:color w:val="000000"/>
            <w:sz w:val="21"/>
            <w:szCs w:val="21"/>
            <w:u w:val="single"/>
          </w:rPr>
          <w:t xml:space="preserve">https://web.stanford.edu/~engler/deviant-sosp-01.pdf</w:t>
        </w:r>
      </w:hyperlink>
    </w:p>
    <w:p>
      <w:pPr>
        <w:spacing w:after="40" w:before="0" w:line="300" w:lineRule="atLeast"/>
        <w:ind w:left="480" w:hanging="480"/>
        <w:jc w:val="both"/>
      </w:pPr>
      <w:r>
        <w:rPr>
          <w:rFonts w:ascii="Times New Roman" w:eastAsia="宋体"/>
          <w:color w:val="000000"/>
          <w:sz w:val="21"/>
          <w:szCs w:val="21"/>
        </w:rPr>
        <w:t xml:space="preserve">[42] Das M, Lerner S, Seigle M. ESP: Path-Sensitive Program Verification in Polynomial Time. PLDI 2002（ACM Digital Library 可检索）. </w:t>
      </w:r>
    </w:p>
    <w:p>
      <w:pPr>
        <w:spacing w:after="40" w:before="0" w:line="300" w:lineRule="atLeast"/>
        <w:ind w:left="480" w:hanging="480"/>
        <w:jc w:val="both"/>
      </w:pPr>
      <w:r>
        <w:rPr>
          <w:rFonts w:ascii="Times New Roman" w:eastAsia="宋体"/>
          <w:color w:val="000000"/>
          <w:sz w:val="21"/>
          <w:szCs w:val="21"/>
        </w:rPr>
        <w:t xml:space="preserve">[43] Chen H, Wagner D, Dean D. MOPS: An Infrastructure for Examining Security Properties of Software. ACM CCS 2002. </w:t>
      </w:r>
      <w:hyperlink w:history="1" r:id="rIdis2zjnyao527ptncvenyi">
        <w:r>
          <w:rPr>
            <w:rFonts w:ascii="Courier New" w:eastAsia="宋体"/>
            <w:color w:val="000000"/>
            <w:sz w:val="21"/>
            <w:szCs w:val="21"/>
            <w:u w:val="single"/>
          </w:rPr>
          <w:t xml:space="preserve">https://dl.acm.org/doi/10.1145/586110.586142</w:t>
        </w:r>
      </w:hyperlink>
    </w:p>
    <w:p>
      <w:pPr>
        <w:spacing w:after="40" w:before="0" w:line="300" w:lineRule="atLeast"/>
        <w:ind w:left="480" w:hanging="480"/>
        <w:jc w:val="both"/>
      </w:pPr>
      <w:r>
        <w:rPr>
          <w:rFonts w:ascii="Times New Roman" w:eastAsia="宋体"/>
          <w:color w:val="000000"/>
          <w:sz w:val="21"/>
          <w:szCs w:val="21"/>
        </w:rPr>
        <w:t xml:space="preserve">[44] Xie Y, Aiken A. Scalable Error Detection Using Boolean Satisfiability（Saturn）. POPL 2005. </w:t>
      </w:r>
      <w:hyperlink w:history="1" r:id="rIdia0iswpn1mecbpldu3nzi">
        <w:r>
          <w:rPr>
            <w:rFonts w:ascii="Courier New" w:eastAsia="宋体"/>
            <w:color w:val="000000"/>
            <w:sz w:val="21"/>
            <w:szCs w:val="21"/>
            <w:u w:val="single"/>
          </w:rPr>
          <w:t xml:space="preserve">http://saturn.stanford.edu</w:t>
        </w:r>
      </w:hyperlink>
    </w:p>
    <w:p>
      <w:pPr>
        <w:spacing w:after="40" w:before="0" w:line="300" w:lineRule="atLeast"/>
        <w:ind w:left="480" w:hanging="480"/>
        <w:jc w:val="both"/>
      </w:pPr>
      <w:r>
        <w:rPr>
          <w:rFonts w:ascii="Times New Roman" w:eastAsia="宋体"/>
          <w:color w:val="000000"/>
          <w:sz w:val="21"/>
          <w:szCs w:val="21"/>
        </w:rPr>
        <w:t xml:space="preserve">[45] AbsInt. Astrée（Cousot 抽象解释谱系，2001—2003 研制，2009 年由 AbsInt 商用；2003 年对 Airbus A340 主飞控软件约 40 万行 C 完成零误报运行时错误验证，后扩展至 A380 电传飞控）. </w:t>
      </w:r>
      <w:hyperlink w:history="1" r:id="rIdrdca5wv0zkzzlj5omlnpt">
        <w:r>
          <w:rPr>
            <w:rFonts w:ascii="Courier New" w:eastAsia="宋体"/>
            <w:color w:val="000000"/>
            <w:sz w:val="21"/>
            <w:szCs w:val="21"/>
            <w:u w:val="single"/>
          </w:rPr>
          <w:t xml:space="preserve">https://www.absint.com/astree/index.htm</w:t>
        </w:r>
      </w:hyperlink>
    </w:p>
    <w:p>
      <w:pPr>
        <w:spacing w:after="40" w:before="0" w:line="300" w:lineRule="atLeast"/>
        <w:ind w:left="480" w:hanging="480"/>
        <w:jc w:val="both"/>
      </w:pPr>
      <w:r>
        <w:rPr>
          <w:rFonts w:ascii="Times New Roman" w:eastAsia="宋体"/>
          <w:color w:val="000000"/>
          <w:sz w:val="21"/>
          <w:szCs w:val="21"/>
        </w:rPr>
        <w:t xml:space="preserve">[46] MathWorks. Polyspace Bug Finder / Code Prover（前身 PolySpace Technologies 1999 年创立，MathWorks 2007-04 收购）. </w:t>
      </w:r>
      <w:hyperlink w:history="1" r:id="rId-gho6vgn2j9ybczfrn712">
        <w:r>
          <w:rPr>
            <w:rFonts w:ascii="Courier New" w:eastAsia="宋体"/>
            <w:color w:val="000000"/>
            <w:sz w:val="21"/>
            <w:szCs w:val="21"/>
            <w:u w:val="single"/>
          </w:rPr>
          <w:t xml:space="preserve">https://www.mathworks.com/products/polyspace.html</w:t>
        </w:r>
      </w:hyperlink>
    </w:p>
    <w:p>
      <w:pPr>
        <w:spacing w:after="40" w:before="0" w:line="300" w:lineRule="atLeast"/>
        <w:ind w:left="480" w:hanging="480"/>
        <w:jc w:val="both"/>
      </w:pPr>
      <w:r>
        <w:rPr>
          <w:rFonts w:ascii="Times New Roman" w:eastAsia="宋体"/>
          <w:color w:val="000000"/>
          <w:sz w:val="21"/>
          <w:szCs w:val="21"/>
        </w:rPr>
        <w:t xml:space="preserve">[47] GrammaTech（现 CodeSecure/AdaCore 体系）. CodeSonar（2003 年首发；NASA 2008 年将其引入 Space Network 地面段分析）. </w:t>
      </w:r>
      <w:hyperlink w:history="1" r:id="rId48uqwqmskldjfqs236qdp">
        <w:r>
          <w:rPr>
            <w:rFonts w:ascii="Courier New" w:eastAsia="宋体"/>
            <w:color w:val="000000"/>
            <w:sz w:val="21"/>
            <w:szCs w:val="21"/>
            <w:u w:val="single"/>
          </w:rPr>
          <w:t xml:space="preserve">https://www.grammatech.com</w:t>
        </w:r>
      </w:hyperlink>
    </w:p>
    <w:p>
      <w:pPr>
        <w:spacing w:after="40" w:before="0" w:line="300" w:lineRule="atLeast"/>
        <w:ind w:left="480" w:hanging="480"/>
        <w:jc w:val="both"/>
      </w:pPr>
      <w:r>
        <w:rPr>
          <w:rFonts w:ascii="Times New Roman" w:eastAsia="宋体"/>
          <w:color w:val="000000"/>
          <w:sz w:val="21"/>
          <w:szCs w:val="21"/>
        </w:rPr>
        <w:t xml:space="preserve">[48] Perforce. Klocwork（2001 年自 Nortel Networks 分立，2019 年随 Rogue Wave 并入 Perforce）. </w:t>
      </w:r>
      <w:hyperlink w:history="1" r:id="rId4pziuqev0zsbvbndz3vbr">
        <w:r>
          <w:rPr>
            <w:rFonts w:ascii="Courier New" w:eastAsia="宋体"/>
            <w:color w:val="000000"/>
            <w:sz w:val="21"/>
            <w:szCs w:val="21"/>
            <w:u w:val="single"/>
          </w:rPr>
          <w:t xml:space="preserve">https://www.perforce.com/products/klocwork</w:t>
        </w:r>
      </w:hyperlink>
    </w:p>
    <w:p>
      <w:pPr>
        <w:spacing w:after="40" w:before="0" w:line="300" w:lineRule="atLeast"/>
        <w:ind w:left="480" w:hanging="480"/>
        <w:jc w:val="both"/>
      </w:pPr>
      <w:r>
        <w:rPr>
          <w:rFonts w:ascii="Times New Roman" w:eastAsia="宋体"/>
          <w:color w:val="000000"/>
          <w:sz w:val="21"/>
          <w:szCs w:val="21"/>
        </w:rPr>
        <w:t xml:space="preserve">[49] Perforce. Helix QAC（原英国 Programming Research 的 QA·C/QA·C++，1986 年起；2018-05 被 Perforce 收购）. </w:t>
      </w:r>
      <w:hyperlink w:history="1" r:id="rIdbb8u0panq0oormlrtjo1e">
        <w:r>
          <w:rPr>
            <w:rFonts w:ascii="Courier New" w:eastAsia="宋体"/>
            <w:color w:val="000000"/>
            <w:sz w:val="21"/>
            <w:szCs w:val="21"/>
            <w:u w:val="single"/>
          </w:rPr>
          <w:t xml:space="preserve">https://www.perforce.com/products/helix-qac</w:t>
        </w:r>
      </w:hyperlink>
    </w:p>
    <w:p>
      <w:pPr>
        <w:spacing w:after="40" w:before="0" w:line="300" w:lineRule="atLeast"/>
        <w:ind w:left="480" w:hanging="480"/>
        <w:jc w:val="both"/>
      </w:pPr>
      <w:r>
        <w:rPr>
          <w:rFonts w:ascii="Times New Roman" w:eastAsia="宋体"/>
          <w:color w:val="000000"/>
          <w:sz w:val="21"/>
          <w:szCs w:val="21"/>
        </w:rPr>
        <w:t xml:space="preserve">[50] LDRA（Liverpool Data Research Associates，1975 年成立，英国利物浦；TBrun/TBsafe/LDRAcover）. </w:t>
      </w:r>
      <w:hyperlink w:history="1" r:id="rIdugx8app66032hqxqt6uop">
        <w:r>
          <w:rPr>
            <w:rFonts w:ascii="Courier New" w:eastAsia="宋体"/>
            <w:color w:val="000000"/>
            <w:sz w:val="21"/>
            <w:szCs w:val="21"/>
            <w:u w:val="single"/>
          </w:rPr>
          <w:t xml:space="preserve">https://ldra.com</w:t>
        </w:r>
      </w:hyperlink>
    </w:p>
    <w:p>
      <w:pPr>
        <w:spacing w:after="40" w:before="0" w:line="300" w:lineRule="atLeast"/>
        <w:ind w:left="480" w:hanging="480"/>
        <w:jc w:val="both"/>
      </w:pPr>
      <w:r>
        <w:rPr>
          <w:rFonts w:ascii="Times New Roman" w:eastAsia="宋体"/>
          <w:color w:val="000000"/>
          <w:sz w:val="21"/>
          <w:szCs w:val="21"/>
        </w:rPr>
        <w:t xml:space="preserve">[51] Parasoft. C/C++test（公司 1987 年创立，产品 1999 年推出）. </w:t>
      </w:r>
      <w:hyperlink w:history="1" r:id="rIdultmvx26vpqs_vcwh4bs2">
        <w:r>
          <w:rPr>
            <w:rFonts w:ascii="Courier New" w:eastAsia="宋体"/>
            <w:color w:val="000000"/>
            <w:sz w:val="21"/>
            <w:szCs w:val="21"/>
            <w:u w:val="single"/>
          </w:rPr>
          <w:t xml:space="preserve">https://www.parasoft.com</w:t>
        </w:r>
      </w:hyperlink>
    </w:p>
    <w:p>
      <w:pPr>
        <w:spacing w:after="40" w:before="0" w:line="300" w:lineRule="atLeast"/>
        <w:ind w:left="480" w:hanging="480"/>
        <w:jc w:val="both"/>
      </w:pPr>
      <w:r>
        <w:rPr>
          <w:rFonts w:ascii="Times New Roman" w:eastAsia="宋体"/>
          <w:color w:val="000000"/>
          <w:sz w:val="21"/>
          <w:szCs w:val="21"/>
        </w:rPr>
        <w:t xml:space="preserve">[52] Vector. VectorCAST（Vector Software 1990 年创立，2017-01 并入 Vector Informatik；提供 DO-178B/C/DO-330 工具鉴定包）. </w:t>
      </w:r>
      <w:hyperlink w:history="1" r:id="rIdumtopysqoznpccdvz9_14">
        <w:r>
          <w:rPr>
            <w:rFonts w:ascii="Courier New" w:eastAsia="宋体"/>
            <w:color w:val="000000"/>
            <w:sz w:val="21"/>
            <w:szCs w:val="21"/>
            <w:u w:val="single"/>
          </w:rPr>
          <w:t xml:space="preserve">https://www.vector.com/int/en/products/vectorcast/</w:t>
        </w:r>
      </w:hyperlink>
    </w:p>
    <w:p>
      <w:pPr>
        <w:spacing w:after="40" w:before="0" w:line="300" w:lineRule="atLeast"/>
        <w:ind w:left="480" w:hanging="480"/>
        <w:jc w:val="both"/>
      </w:pPr>
      <w:r>
        <w:rPr>
          <w:rFonts w:ascii="Times New Roman" w:eastAsia="宋体"/>
          <w:color w:val="000000"/>
          <w:sz w:val="21"/>
          <w:szCs w:val="21"/>
        </w:rPr>
        <w:t xml:space="preserve">[53] Baudin P, et al. The Frama-C Software Analysis Platform. 2021；CEA List + Inria，2008 年首次公开发布；Airbus/Dassault 曾以 ACSL+Frama-C 开展 DO-178C 低层需求验证实验（Dordowsky et al., 2015）. </w:t>
      </w:r>
      <w:hyperlink w:history="1" r:id="rIdtaeuw1q2rzemjpbxmvda-">
        <w:r>
          <w:rPr>
            <w:rFonts w:ascii="Courier New" w:eastAsia="宋体"/>
            <w:color w:val="000000"/>
            <w:sz w:val="21"/>
            <w:szCs w:val="21"/>
            <w:u w:val="single"/>
          </w:rPr>
          <w:t xml:space="preserve">https://frama-c.com</w:t>
        </w:r>
      </w:hyperlink>
    </w:p>
    <w:p>
      <w:pPr>
        <w:spacing w:after="40" w:before="0" w:line="300" w:lineRule="atLeast"/>
        <w:ind w:left="480" w:hanging="480"/>
        <w:jc w:val="both"/>
      </w:pPr>
      <w:r>
        <w:rPr>
          <w:rFonts w:ascii="Times New Roman" w:eastAsia="宋体"/>
          <w:color w:val="000000"/>
          <w:sz w:val="21"/>
          <w:szCs w:val="21"/>
        </w:rPr>
        <w:t xml:space="preserve">[54] Cordeiro L, Fischer B, et al. ESBMC: A Bounded Model Checker for ANSI-C and SystemC. CAV 2011（v5.0 起改用 Clang 前端）. </w:t>
      </w:r>
      <w:hyperlink w:history="1" r:id="rIdesyios9efspfloxy5pnyn">
        <w:r>
          <w:rPr>
            <w:rFonts w:ascii="Courier New" w:eastAsia="宋体"/>
            <w:color w:val="000000"/>
            <w:sz w:val="21"/>
            <w:szCs w:val="21"/>
            <w:u w:val="single"/>
          </w:rPr>
          <w:t xml:space="preserve">https://github.com/esbmc/esbmc</w:t>
        </w:r>
      </w:hyperlink>
    </w:p>
    <w:p>
      <w:pPr>
        <w:spacing w:after="40" w:before="0" w:line="300" w:lineRule="atLeast"/>
        <w:ind w:left="480" w:hanging="480"/>
        <w:jc w:val="both"/>
      </w:pPr>
      <w:r>
        <w:rPr>
          <w:rFonts w:ascii="Times New Roman" w:eastAsia="宋体"/>
          <w:color w:val="000000"/>
          <w:sz w:val="21"/>
          <w:szCs w:val="21"/>
        </w:rPr>
        <w:t xml:space="preserve">[55] Clarke E, Kroening D, Lerda F. A Tool for Checking ANSI-C Programs（CBMC）. TACAS 2004；现由 AWS 自动推理团队主导维护. </w:t>
      </w:r>
      <w:hyperlink w:history="1" r:id="rId2i7iizwbp_zkrgiaktrm3">
        <w:r>
          <w:rPr>
            <w:rFonts w:ascii="Courier New" w:eastAsia="宋体"/>
            <w:color w:val="000000"/>
            <w:sz w:val="21"/>
            <w:szCs w:val="21"/>
            <w:u w:val="single"/>
          </w:rPr>
          <w:t xml:space="preserve">https://www.cprover.org/cbmc/</w:t>
        </w:r>
      </w:hyperlink>
    </w:p>
    <w:p>
      <w:pPr>
        <w:spacing w:after="40" w:before="0" w:line="300" w:lineRule="atLeast"/>
        <w:ind w:left="480" w:hanging="480"/>
        <w:jc w:val="both"/>
      </w:pPr>
      <w:r>
        <w:rPr>
          <w:rFonts w:ascii="Times New Roman" w:eastAsia="宋体"/>
          <w:color w:val="000000"/>
          <w:sz w:val="21"/>
          <w:szCs w:val="21"/>
        </w:rPr>
        <w:t xml:space="preserve">[56] Cadar C, Dunbar D, Engler D. KLEE: Unassisted and Automatic Generation of High-Coverage Tests for Complex Systems Programs. OSDI 2008. </w:t>
      </w:r>
      <w:hyperlink w:history="1" r:id="rId1nlnatgxe7llnimf8d9y2">
        <w:r>
          <w:rPr>
            <w:rFonts w:ascii="Courier New" w:eastAsia="宋体"/>
            <w:color w:val="000000"/>
            <w:sz w:val="21"/>
            <w:szCs w:val="21"/>
            <w:u w:val="single"/>
          </w:rPr>
          <w:t xml:space="preserve">https://www.usenix.org/event/osdi08/tech/full_papers/cadar/cadar.pdf</w:t>
        </w:r>
      </w:hyperlink>
    </w:p>
    <w:p>
      <w:pPr>
        <w:spacing w:after="40" w:before="0" w:line="300" w:lineRule="atLeast"/>
        <w:ind w:left="480" w:hanging="480"/>
        <w:jc w:val="both"/>
      </w:pPr>
      <w:r>
        <w:rPr>
          <w:rFonts w:ascii="Times New Roman" w:eastAsia="宋体"/>
          <w:color w:val="000000"/>
          <w:sz w:val="21"/>
          <w:szCs w:val="21"/>
        </w:rPr>
        <w:t xml:space="preserve">[57] Beyer D, Keremoglu M E. CPAchecker: A Tool for Configurable Software Verification. CAV 2011（SV-COMP 2012 首届总冠军，多年多赛道夺冠）. </w:t>
      </w:r>
      <w:hyperlink w:history="1" r:id="rIdykodxvqog5ex7t3l-b6ll">
        <w:r>
          <w:rPr>
            <w:rFonts w:ascii="Courier New" w:eastAsia="宋体"/>
            <w:color w:val="000000"/>
            <w:sz w:val="21"/>
            <w:szCs w:val="21"/>
            <w:u w:val="single"/>
          </w:rPr>
          <w:t xml:space="preserve">https://cpachecker.sosy-lab.org</w:t>
        </w:r>
      </w:hyperlink>
    </w:p>
    <w:p>
      <w:pPr>
        <w:spacing w:after="40" w:before="0" w:line="300" w:lineRule="atLeast"/>
        <w:ind w:left="480" w:hanging="480"/>
        <w:jc w:val="both"/>
      </w:pPr>
      <w:r>
        <w:rPr>
          <w:rFonts w:ascii="Times New Roman" w:eastAsia="宋体"/>
          <w:color w:val="000000"/>
          <w:sz w:val="21"/>
          <w:szCs w:val="21"/>
        </w:rPr>
        <w:t xml:space="preserve">[58] Brat G, Navas J A, Shi N, Venet A. IKOS: A Framework for Static Analysis based on Abstract Interpretation（NASA Ames，2015）. </w:t>
      </w:r>
      <w:hyperlink w:history="1" r:id="rIdlfwfeyj5qxa-mpnup2d-0">
        <w:r>
          <w:rPr>
            <w:rFonts w:ascii="Courier New" w:eastAsia="宋体"/>
            <w:color w:val="000000"/>
            <w:sz w:val="21"/>
            <w:szCs w:val="21"/>
            <w:u w:val="single"/>
          </w:rPr>
          <w:t xml:space="preserve">https://github.com/NASA-SW-VnV/ikos</w:t>
        </w:r>
      </w:hyperlink>
    </w:p>
    <w:p>
      <w:pPr>
        <w:spacing w:after="40" w:before="0" w:line="300" w:lineRule="atLeast"/>
        <w:ind w:left="480" w:hanging="480"/>
        <w:jc w:val="both"/>
      </w:pPr>
      <w:r>
        <w:rPr>
          <w:rFonts w:ascii="Times New Roman" w:eastAsia="宋体"/>
          <w:color w:val="000000"/>
          <w:sz w:val="21"/>
          <w:szCs w:val="21"/>
        </w:rPr>
        <w:t xml:space="preserve">[59] Vojdani V, Vene V. Goblint: Path-sensitive Data Race Analysis. SPLST 2007（现由 TU Munich 主导；SV-COMP 数据竞争赛道 2021/2023/2024 得分最高）. </w:t>
      </w:r>
      <w:hyperlink w:history="1" r:id="rIdww6odpucongmbm7tcckfn">
        <w:r>
          <w:rPr>
            <w:rFonts w:ascii="Courier New" w:eastAsia="宋体"/>
            <w:color w:val="000000"/>
            <w:sz w:val="21"/>
            <w:szCs w:val="21"/>
            <w:u w:val="single"/>
          </w:rPr>
          <w:t xml:space="preserve">https://goblint.in.tum.de</w:t>
        </w:r>
      </w:hyperlink>
    </w:p>
    <w:p>
      <w:pPr>
        <w:spacing w:after="40" w:before="0" w:line="300" w:lineRule="atLeast"/>
        <w:ind w:left="480" w:hanging="480"/>
        <w:jc w:val="both"/>
      </w:pPr>
      <w:r>
        <w:rPr>
          <w:rFonts w:ascii="Times New Roman" w:eastAsia="宋体"/>
          <w:color w:val="000000"/>
          <w:sz w:val="21"/>
          <w:szCs w:val="21"/>
        </w:rPr>
        <w:t xml:space="preserve">[60] Beyer D. SV-COMP: International Competition on Software Verification（TACAS 工具竞赛，2012 年首届；2026 年为第 15 届，74 个验证工具 + 20 个校验器）. </w:t>
      </w:r>
      <w:hyperlink w:history="1" r:id="rIdeefxk3nodf0etecerw-eg">
        <w:r>
          <w:rPr>
            <w:rFonts w:ascii="Courier New" w:eastAsia="宋体"/>
            <w:color w:val="000000"/>
            <w:sz w:val="21"/>
            <w:szCs w:val="21"/>
            <w:u w:val="single"/>
          </w:rPr>
          <w:t xml:space="preserve">https://sv-comp.sosy-lab.org</w:t>
        </w:r>
      </w:hyperlink>
    </w:p>
    <w:p>
      <w:pPr>
        <w:spacing w:after="40" w:before="0" w:line="300" w:lineRule="atLeast"/>
        <w:ind w:left="480" w:hanging="480"/>
        <w:jc w:val="both"/>
      </w:pPr>
      <w:r>
        <w:rPr>
          <w:rFonts w:ascii="Times New Roman" w:eastAsia="宋体"/>
          <w:color w:val="000000"/>
          <w:sz w:val="21"/>
          <w:szCs w:val="21"/>
        </w:rPr>
        <w:t xml:space="preserve">[61] Li Z, Zou D, Xu S, et al. VulDeePecker: A Deep Learning-Based System for Vulnerability Detection. NDSS 2018. </w:t>
      </w:r>
      <w:hyperlink w:history="1" r:id="rId7i4kj-m0uc52prnueubmx">
        <w:r>
          <w:rPr>
            <w:rFonts w:ascii="Courier New" w:eastAsia="宋体"/>
            <w:color w:val="000000"/>
            <w:sz w:val="21"/>
            <w:szCs w:val="21"/>
            <w:u w:val="single"/>
          </w:rPr>
          <w:t xml:space="preserve">https://www.ndss-symposium.org/wp-content/uploads/2018/02/ndss2018_03A-2_Li_paper.pdf</w:t>
        </w:r>
      </w:hyperlink>
    </w:p>
    <w:p>
      <w:pPr>
        <w:spacing w:after="40" w:before="0" w:line="300" w:lineRule="atLeast"/>
        <w:ind w:left="480" w:hanging="480"/>
        <w:jc w:val="both"/>
      </w:pPr>
      <w:r>
        <w:rPr>
          <w:rFonts w:ascii="Times New Roman" w:eastAsia="宋体"/>
          <w:color w:val="000000"/>
          <w:sz w:val="21"/>
          <w:szCs w:val="21"/>
        </w:rPr>
        <w:t xml:space="preserve">[62] Zhou Y, Liu S, Siow J, Du X, Liu Y. Devign: Effective Vulnerability Identification by Learning Comprehensive Program Semantics via Graph Neural Networks. NeurIPS 2019. </w:t>
      </w:r>
      <w:hyperlink w:history="1" r:id="rIdaqig5_ztqg5ek26zoyfte">
        <w:r>
          <w:rPr>
            <w:rFonts w:ascii="Courier New" w:eastAsia="宋体"/>
            <w:color w:val="000000"/>
            <w:sz w:val="21"/>
            <w:szCs w:val="21"/>
            <w:u w:val="single"/>
          </w:rPr>
          <w:t xml:space="preserve">https://arxiv.org/abs/1908.09411</w:t>
        </w:r>
      </w:hyperlink>
    </w:p>
    <w:p>
      <w:pPr>
        <w:spacing w:after="40" w:before="0" w:line="300" w:lineRule="atLeast"/>
        <w:ind w:left="480" w:hanging="480"/>
        <w:jc w:val="both"/>
      </w:pPr>
      <w:r>
        <w:rPr>
          <w:rFonts w:ascii="Times New Roman" w:eastAsia="宋体"/>
          <w:color w:val="000000"/>
          <w:sz w:val="21"/>
          <w:szCs w:val="21"/>
        </w:rPr>
        <w:t xml:space="preserve">[63] Li Z, Zou D, Xu S, et al. SySeVR: A Framework for Using Deep Learning to Detect Software Vulnerabilities. IEEE TDSC（2021 年在线，2022 年正式刊出）. </w:t>
      </w:r>
      <w:hyperlink w:history="1" r:id="rId86qwz9qk3spajolzceu_s">
        <w:r>
          <w:rPr>
            <w:rFonts w:ascii="Courier New" w:eastAsia="宋体"/>
            <w:color w:val="000000"/>
            <w:sz w:val="21"/>
            <w:szCs w:val="21"/>
            <w:u w:val="single"/>
          </w:rPr>
          <w:t xml:space="preserve">https://github.com/SySeVR/SySeVR</w:t>
        </w:r>
      </w:hyperlink>
    </w:p>
    <w:p>
      <w:pPr>
        <w:spacing w:after="40" w:before="0" w:line="300" w:lineRule="atLeast"/>
        <w:ind w:left="480" w:hanging="480"/>
        <w:jc w:val="both"/>
      </w:pPr>
      <w:r>
        <w:rPr>
          <w:rFonts w:ascii="Times New Roman" w:eastAsia="宋体"/>
          <w:color w:val="000000"/>
          <w:sz w:val="21"/>
          <w:szCs w:val="21"/>
        </w:rPr>
        <w:t xml:space="preserve">[64] Zheng Y, Pujar S, Lewis B, et al. D2A: A Dataset Built for AI-Based Vulnerability Detection Methods Using Differential Analysis. ICSE-SEIP 2021. </w:t>
      </w:r>
      <w:hyperlink w:history="1" r:id="rIdee-idsyzmoplelilzivpa">
        <w:r>
          <w:rPr>
            <w:rFonts w:ascii="Courier New" w:eastAsia="宋体"/>
            <w:color w:val="000000"/>
            <w:sz w:val="21"/>
            <w:szCs w:val="21"/>
            <w:u w:val="single"/>
          </w:rPr>
          <w:t xml:space="preserve">https://arxiv.org/abs/2102.07995</w:t>
        </w:r>
      </w:hyperlink>
    </w:p>
    <w:p>
      <w:pPr>
        <w:spacing w:after="40" w:before="0" w:line="300" w:lineRule="atLeast"/>
        <w:ind w:left="480" w:hanging="480"/>
        <w:jc w:val="both"/>
      </w:pPr>
      <w:r>
        <w:rPr>
          <w:rFonts w:ascii="Times New Roman" w:eastAsia="宋体"/>
          <w:color w:val="000000"/>
          <w:sz w:val="21"/>
          <w:szCs w:val="21"/>
        </w:rPr>
        <w:t xml:space="preserve">[65] Ding Y, Fu Y, et al. Vulnerability Detection with Code Language Models: How Far Are We?（PrimeVul）. ICSE 2025（arXiv 2024-03）. </w:t>
      </w:r>
      <w:hyperlink w:history="1" r:id="rIdjlhcv9v3zml84ubavknou">
        <w:r>
          <w:rPr>
            <w:rFonts w:ascii="Courier New" w:eastAsia="宋体"/>
            <w:color w:val="000000"/>
            <w:sz w:val="21"/>
            <w:szCs w:val="21"/>
            <w:u w:val="single"/>
          </w:rPr>
          <w:t xml:space="preserve">https://arxiv.org/abs/2403.18624</w:t>
        </w:r>
      </w:hyperlink>
    </w:p>
    <w:p>
      <w:pPr>
        <w:spacing w:after="40" w:before="0" w:line="300" w:lineRule="atLeast"/>
        <w:ind w:left="480" w:hanging="480"/>
        <w:jc w:val="both"/>
      </w:pPr>
      <w:r>
        <w:rPr>
          <w:rFonts w:ascii="Times New Roman" w:eastAsia="宋体"/>
          <w:color w:val="000000"/>
          <w:sz w:val="21"/>
          <w:szCs w:val="21"/>
        </w:rPr>
        <w:t xml:space="preserve">[66] Gao Z, Wang H, et al. How Far Have We Gone in Vulnerability Detection Using Large Language Models（VulBench）. NAACL 2024. </w:t>
      </w:r>
      <w:hyperlink w:history="1" r:id="rIdnqh0px7xrqwxoqgimjtqf">
        <w:r>
          <w:rPr>
            <w:rFonts w:ascii="Courier New" w:eastAsia="宋体"/>
            <w:color w:val="000000"/>
            <w:sz w:val="21"/>
            <w:szCs w:val="21"/>
            <w:u w:val="single"/>
          </w:rPr>
          <w:t xml:space="preserve">https://arxiv.org/abs/2311.12420</w:t>
        </w:r>
      </w:hyperlink>
    </w:p>
    <w:p>
      <w:pPr>
        <w:spacing w:after="40" w:before="0" w:line="300" w:lineRule="atLeast"/>
        <w:ind w:left="480" w:hanging="480"/>
        <w:jc w:val="both"/>
      </w:pPr>
      <w:r>
        <w:rPr>
          <w:rFonts w:ascii="Times New Roman" w:eastAsia="宋体"/>
          <w:color w:val="000000"/>
          <w:sz w:val="21"/>
          <w:szCs w:val="21"/>
        </w:rPr>
        <w:t xml:space="preserve">[67] NIST. Juliet C/C++ Test Suite（SARD；1.2 版含 61,387 个 C/C++ 用例、覆盖 118 种 CWE；现行 1.3 版）. </w:t>
      </w:r>
      <w:hyperlink w:history="1" r:id="rIdtv04gztaok772salbzd7k">
        <w:r>
          <w:rPr>
            <w:rFonts w:ascii="Courier New" w:eastAsia="宋体"/>
            <w:color w:val="000000"/>
            <w:sz w:val="21"/>
            <w:szCs w:val="21"/>
            <w:u w:val="single"/>
          </w:rPr>
          <w:t xml:space="preserve">https://samate.nist.gov</w:t>
        </w:r>
      </w:hyperlink>
    </w:p>
    <w:p>
      <w:pPr>
        <w:spacing w:after="40" w:before="0" w:line="300" w:lineRule="atLeast"/>
        <w:ind w:left="480" w:hanging="480"/>
        <w:jc w:val="both"/>
      </w:pPr>
      <w:r>
        <w:rPr>
          <w:rFonts w:ascii="Times New Roman" w:eastAsia="宋体"/>
          <w:color w:val="000000"/>
          <w:sz w:val="21"/>
          <w:szCs w:val="21"/>
        </w:rPr>
        <w:t xml:space="preserve">[68] Howar F, et al. The RERS Challenge（2011 年发起，绑定 ISoLA；反应式系统正确性开放基准）. </w:t>
      </w:r>
      <w:hyperlink w:history="1" r:id="rId7gvwfyzcmk9704dwab64p">
        <w:r>
          <w:rPr>
            <w:rFonts w:ascii="Courier New" w:eastAsia="宋体"/>
            <w:color w:val="000000"/>
            <w:sz w:val="21"/>
            <w:szCs w:val="21"/>
            <w:u w:val="single"/>
          </w:rPr>
          <w:t xml:space="preserve">https://rers-challenge.org</w:t>
        </w:r>
      </w:hyperlink>
    </w:p>
    <w:p>
      <w:pPr>
        <w:spacing w:after="40" w:before="0" w:line="300" w:lineRule="atLeast"/>
        <w:ind w:left="480" w:hanging="480"/>
        <w:jc w:val="both"/>
      </w:pPr>
      <w:r>
        <w:rPr>
          <w:rFonts w:ascii="Times New Roman" w:eastAsia="宋体"/>
          <w:color w:val="000000"/>
          <w:sz w:val="21"/>
          <w:szCs w:val="21"/>
        </w:rPr>
        <w:t xml:space="preserve">[69] SOSY Lab. SV-COMP Benchmark Archive（2025 届 34,700 个验证任务；witness 校验闭环评分）. </w:t>
      </w:r>
      <w:hyperlink w:history="1" r:id="rId-adbtrbokvdhcca3jfgj1">
        <w:r>
          <w:rPr>
            <w:rFonts w:ascii="Courier New" w:eastAsia="宋体"/>
            <w:color w:val="000000"/>
            <w:sz w:val="21"/>
            <w:szCs w:val="21"/>
            <w:u w:val="single"/>
          </w:rPr>
          <w:t xml:space="preserve">https://gitlab.com/sosy-lab/benchmarking/sv-benchmarks</w:t>
        </w:r>
      </w:hyperlink>
    </w:p>
    <w:p>
      <w:pPr>
        <w:spacing w:after="40" w:before="0" w:line="300" w:lineRule="atLeast"/>
        <w:ind w:left="480" w:hanging="480"/>
        <w:jc w:val="both"/>
      </w:pPr>
      <w:r>
        <w:rPr>
          <w:rFonts w:ascii="Times New Roman" w:eastAsia="宋体"/>
          <w:color w:val="000000"/>
          <w:sz w:val="21"/>
          <w:szCs w:val="21"/>
        </w:rPr>
        <w:t xml:space="preserve">[70] Bhandari G, Naseer A, Moonen L. CVEfixes: Automated Collection of Vulnerabilities and Their Fixes from Open-Source Software. PROMISE 2021. </w:t>
      </w:r>
      <w:hyperlink w:history="1" r:id="rIdmb35rqgohi7p32r0ahedh">
        <w:r>
          <w:rPr>
            <w:rFonts w:ascii="Courier New" w:eastAsia="宋体"/>
            <w:color w:val="000000"/>
            <w:sz w:val="21"/>
            <w:szCs w:val="21"/>
            <w:u w:val="single"/>
          </w:rPr>
          <w:t xml:space="preserve">https://github.com/secureIT-project/CVEfixes</w:t>
        </w:r>
      </w:hyperlink>
    </w:p>
    <w:p>
      <w:pPr>
        <w:spacing w:after="40" w:before="0" w:line="300" w:lineRule="atLeast"/>
        <w:ind w:left="480" w:hanging="480"/>
        <w:jc w:val="both"/>
      </w:pPr>
      <w:r>
        <w:rPr>
          <w:rFonts w:ascii="Times New Roman" w:eastAsia="宋体"/>
          <w:color w:val="000000"/>
          <w:sz w:val="21"/>
          <w:szCs w:val="21"/>
        </w:rPr>
        <w:t xml:space="preserve">[71] Fan J, Li Y, Wang S, Nguyen T N. A C/C++ Code Vulnerability Dataset with Code Changes and CVE Summaries（Big-Vul）. MSR 2020（3,754 个漏洞函数，91 种漏洞类型，348 个项目）. </w:t>
      </w:r>
    </w:p>
    <w:p>
      <w:pPr>
        <w:spacing w:after="40" w:before="0" w:line="300" w:lineRule="atLeast"/>
        <w:ind w:left="480" w:hanging="480"/>
        <w:jc w:val="both"/>
      </w:pPr>
      <w:r>
        <w:rPr>
          <w:rFonts w:ascii="Times New Roman" w:eastAsia="宋体"/>
          <w:color w:val="000000"/>
          <w:sz w:val="21"/>
          <w:szCs w:val="21"/>
        </w:rPr>
        <w:t xml:space="preserve">[72] Wang X, et al. ReposVul: A Repository-Level High-Quality Vulnerability Dataset. ICSE 2024 Industry Track（6,134 个 CVE，236 种 CWE，1,491 个项目）. </w:t>
      </w:r>
      <w:hyperlink w:history="1" r:id="rIdy8waqpkuqlwfxjdb18zbr">
        <w:r>
          <w:rPr>
            <w:rFonts w:ascii="Courier New" w:eastAsia="宋体"/>
            <w:color w:val="000000"/>
            <w:sz w:val="21"/>
            <w:szCs w:val="21"/>
            <w:u w:val="single"/>
          </w:rPr>
          <w:t xml:space="preserve">https://arxiv.org/abs/2401.13169</w:t>
        </w:r>
      </w:hyperlink>
    </w:p>
    <w:p>
      <w:pPr>
        <w:spacing w:after="40" w:before="0" w:line="300" w:lineRule="atLeast"/>
        <w:ind w:left="480" w:hanging="480"/>
        <w:jc w:val="both"/>
      </w:pPr>
      <w:r>
        <w:rPr>
          <w:rFonts w:ascii="Times New Roman" w:eastAsia="宋体"/>
          <w:color w:val="000000"/>
          <w:sz w:val="21"/>
          <w:szCs w:val="21"/>
        </w:rPr>
        <w:t xml:space="preserve">[73] rizsotto. Bear（Build EAR）：生成 compile_commands.json 的构建拦截工具. </w:t>
      </w:r>
      <w:hyperlink w:history="1" r:id="rIdg0vqyxvvqrzw7dkff5xwz">
        <w:r>
          <w:rPr>
            <w:rFonts w:ascii="Courier New" w:eastAsia="宋体"/>
            <w:color w:val="000000"/>
            <w:sz w:val="21"/>
            <w:szCs w:val="21"/>
            <w:u w:val="single"/>
          </w:rPr>
          <w:t xml:space="preserve">https://github.com/rizsotto/Bear</w:t>
        </w:r>
      </w:hyperlink>
    </w:p>
    <w:p>
      <w:pPr>
        <w:spacing w:after="40" w:before="0" w:line="300" w:lineRule="atLeast"/>
        <w:ind w:left="480" w:hanging="480"/>
        <w:jc w:val="both"/>
      </w:pPr>
      <w:r>
        <w:rPr>
          <w:rFonts w:ascii="Times New Roman" w:eastAsia="宋体"/>
          <w:color w:val="000000"/>
          <w:sz w:val="21"/>
          <w:szCs w:val="21"/>
        </w:rPr>
        <w:t xml:space="preserve">[74] ARM. CMSIS-SVD：Cortex-M 微控制器外设寄存器描述标准（XML）. </w:t>
      </w:r>
      <w:hyperlink w:history="1" r:id="rIdwp9tcgt-khz5uxb44cdxm">
        <w:r>
          <w:rPr>
            <w:rFonts w:ascii="Courier New" w:eastAsia="宋体"/>
            <w:color w:val="000000"/>
            <w:sz w:val="21"/>
            <w:szCs w:val="21"/>
            <w:u w:val="single"/>
          </w:rPr>
          <w:t xml:space="preserve">https://github.com/ARM-software/CMSIS-SVD</w:t>
        </w:r>
      </w:hyperlink>
    </w:p>
    <w:p>
      <w:pPr>
        <w:spacing w:after="40" w:before="0" w:line="300" w:lineRule="atLeast"/>
        <w:ind w:left="480" w:hanging="480"/>
        <w:jc w:val="both"/>
      </w:pPr>
      <w:r>
        <w:rPr>
          <w:rFonts w:ascii="Times New Roman" w:eastAsia="宋体"/>
          <w:color w:val="000000"/>
          <w:sz w:val="21"/>
          <w:szCs w:val="21"/>
        </w:rPr>
        <w:t xml:space="preserve">[75] Habib A, et al. How Do Developers Act on Static Analysis Alerts? An Empirical Study of Microsoft's C, C++ and C# Codebases. FSE 2019. </w:t>
      </w:r>
    </w:p>
    <w:p>
      <w:pPr>
        <w:spacing w:after="40" w:before="0" w:line="300" w:lineRule="atLeast"/>
        <w:ind w:left="480" w:hanging="480"/>
        <w:jc w:val="both"/>
      </w:pPr>
      <w:r>
        <w:rPr>
          <w:rFonts w:ascii="Times New Roman" w:eastAsia="宋体"/>
          <w:color w:val="000000"/>
          <w:sz w:val="21"/>
          <w:szCs w:val="21"/>
        </w:rPr>
        <w:t xml:space="preserve">[76] Risse N, Böhme M. Top Score on the Wrong Exam: 独立重评测研究（揭示漏洞检测基准的重复与泄漏导致性能高估）. 2022. </w:t>
      </w:r>
    </w:p>
    <w:p>
      <w:pPr>
        <w:spacing w:after="40" w:before="0" w:line="300" w:lineRule="atLeast"/>
        <w:ind w:left="480" w:hanging="480"/>
        <w:jc w:val="both"/>
      </w:pPr>
      <w:r>
        <w:rPr>
          <w:rFonts w:ascii="Times New Roman" w:eastAsia="宋体"/>
          <w:color w:val="000000"/>
          <w:sz w:val="21"/>
          <w:szCs w:val="21"/>
        </w:rPr>
        <w:t xml:space="preserve">[77] Abtahi S M, Azim A. Securing LLM-Generated Embedded Firmware through AI Agent-Driven Validation and Patching（GPT-4 + FreeRTOS/QEMU + CWE 分类迭代修补，报告 92.4% 漏洞修复率）. arXiv:2509.09970, 2025-09. </w:t>
      </w:r>
      <w:hyperlink w:history="1" r:id="rIdabhnqlbqtmhhjkgafygfe">
        <w:r>
          <w:rPr>
            <w:rFonts w:ascii="Courier New" w:eastAsia="宋体"/>
            <w:color w:val="000000"/>
            <w:sz w:val="21"/>
            <w:szCs w:val="21"/>
            <w:u w:val="single"/>
          </w:rPr>
          <w:t xml:space="preserve">https://arxiv.org/abs/2509.09970</w:t>
        </w:r>
      </w:hyperlink>
    </w:p>
    <w:sectPr>
      <w:footerReference w:type="default" r:id="rId9"/>
      <w:type w:val="nextPage"/>
      <w:pgSz w:w="12240" w:h="15840" w:orient="portrait"/>
      <w:pgMar w:top="1701" w:right="1418" w:bottom="1134" w:left="1418" w:header="720" w:footer="720" w:gutter="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24"/>
        <w:szCs w:val="24"/>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120" w:line="400" w:lineRule="exact"/>
      <w:outlineLvl w:val="0"/>
    </w:pPr>
    <w:rPr>
      <w:rFonts w:ascii="Times New Roman" w:eastAsia="黑体"/>
      <w:b w:val="false"/>
      <w:bCs w:val="false"/>
      <w:color w:val="000000"/>
      <w:sz w:val="32"/>
      <w:szCs w:val="32"/>
    </w:rPr>
  </w:style>
  <w:style w:type="paragraph" w:styleId="Heading2">
    <w:name w:val="Heading 2"/>
    <w:basedOn w:val="Normal"/>
    <w:next w:val="Normal"/>
    <w:qFormat/>
    <w:pPr>
      <w:spacing w:after="120" w:before="120"/>
      <w:outlineLvl w:val="1"/>
    </w:pPr>
    <w:rPr>
      <w:rFonts w:ascii="Times New Roman" w:eastAsia="黑体"/>
      <w:b w:val="false"/>
      <w:bCs w:val="false"/>
      <w:color w:val="000000"/>
      <w:sz w:val="28"/>
      <w:szCs w:val="28"/>
    </w:rPr>
  </w:style>
  <w:style w:type="paragraph" w:styleId="Heading3">
    <w:name w:val="Heading 3"/>
    <w:basedOn w:val="Normal"/>
    <w:next w:val="Normal"/>
    <w:qFormat/>
    <w:pPr>
      <w:spacing w:after="80" w:before="80"/>
      <w:outlineLvl w:val="2"/>
    </w:pPr>
    <w:rPr>
      <w:rFonts w:ascii="Times New Roman" w:eastAsia="宋体"/>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00000"/>
      <w:u w:val="single"/>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tbwazz_tvatugy2v7btwi" Type="http://schemas.openxmlformats.org/officeDocument/2006/relationships/hyperlink" Target="https://www.cac.gov.cn" TargetMode="External"/><Relationship Id="rIdowrk1qft-xy35kimzuzwv" Type="http://schemas.openxmlformats.org/officeDocument/2006/relationships/hyperlink" Target="https://www.gov.cn" TargetMode="External"/><Relationship Id="rIdl8z9jbvhsc5olfptpsa65" Type="http://schemas.openxmlformats.org/officeDocument/2006/relationships/hyperlink" Target="https://www.cac.gov.cn/2021-06/11/c_1624994566919140.htm" TargetMode="External"/><Relationship Id="rIdawrk0ztkgzzldtqa9dtv7" Type="http://schemas.openxmlformats.org/officeDocument/2006/relationships/hyperlink" Target="https://openstd.samr.gov.cn" TargetMode="External"/><Relationship Id="rIddcrza2q-ektgl0omwdtfo" Type="http://schemas.openxmlformats.org/officeDocument/2006/relationships/hyperlink" Target="https://openstd.samr.gov.cn/bzgk/std/newGbInfo?hcno=910B7DBAEB214FE027F163E361960208" TargetMode="External"/><Relationship Id="rIdli2rvk8c5-2nf6rugdtu5" Type="http://schemas.openxmlformats.org/officeDocument/2006/relationships/hyperlink" Target="https://openstd.samr.gov.cn" TargetMode="External"/><Relationship Id="rIdz6rwi5tgkpc9gxxaeyvdg" Type="http://schemas.openxmlformats.org/officeDocument/2006/relationships/hyperlink" Target="https://openstd.samr.gov.cn" TargetMode="External"/><Relationship Id="rIdrcqpetvusm6tiazfj8lum" Type="http://schemas.openxmlformats.org/officeDocument/2006/relationships/hyperlink" Target="https://openstd.samr.gov.cn" TargetMode="External"/><Relationship Id="rIdtl0vrk5ynwzhsuuslr9vr" Type="http://schemas.openxmlformats.org/officeDocument/2006/relationships/hyperlink" Target="https://www.ncsti.gov.cn/zcfg/zcwj/202111/t20211130_52282.html" TargetMode="External"/><Relationship Id="rId2zpdchb0auehj9nujqsbc" Type="http://schemas.openxmlformats.org/officeDocument/2006/relationships/hyperlink" Target="https://www.mee.gov.cn/zcwj/gwywj/202011/t20201103_806156.shtml" TargetMode="External"/><Relationship Id="rIduehjarenia_9l6osksvsz" Type="http://schemas.openxmlformats.org/officeDocument/2006/relationships/hyperlink" Target="http://www.scio.gov.cn/xwfb/gwyxwbgsxwfbh/wqfbh_2284/2021n_2711/2021n03y08r/wjxgzc_2910/202208/t20220808_310230.html" TargetMode="External"/><Relationship Id="rIdmeubzms8lsp7dsi4orefv" Type="http://schemas.openxmlformats.org/officeDocument/2006/relationships/hyperlink" Target="http://www.cac.gov.cn/2021-12/27/c_1642205314518676.htm" TargetMode="External"/><Relationship Id="rIdwimbnk32gcmn9b3hwfudd" Type="http://schemas.openxmlformats.org/officeDocument/2006/relationships/hyperlink" Target="https://www.iso.org" TargetMode="External"/><Relationship Id="rIdza5i-hadcfaavbwd43wgd" Type="http://schemas.openxmlformats.org/officeDocument/2006/relationships/hyperlink" Target="https://unece.org/sites/default/files/2023-02/R155e%20%282%29.pdf" TargetMode="External"/><Relationship Id="rIdcavwxpbypkyacnvelj0lo" Type="http://schemas.openxmlformats.org/officeDocument/2006/relationships/hyperlink" Target="https://digital-strategy.ec.europa.eu/en/policies/cyber-resilience-act" TargetMode="External"/><Relationship Id="rIdvwxpxjkpg88x8ir3k1_j_" Type="http://schemas.openxmlformats.org/officeDocument/2006/relationships/hyperlink" Target="https://standards.iteh.ai/catalog/standards/clc/32d1d924-9bfd-477e-adf4-de6e3358be77/en-50716-2023" TargetMode="External"/><Relationship Id="rIdopgc_b0qv3lrxhma94xh_" Type="http://schemas.openxmlformats.org/officeDocument/2006/relationships/hyperlink" Target="https://misra.org.uk/publications/" TargetMode="External"/><Relationship Id="rIdlc9xo8txoyw8u94s1zey-" Type="http://schemas.openxmlformats.org/officeDocument/2006/relationships/hyperlink" Target="https://cmu-sei.github.io/secure-coding-standards/sei-cert-c-coding-standard/" TargetMode="External"/><Relationship Id="rIdyz9yjjnuabmpb9dcvj-qi" Type="http://schemas.openxmlformats.org/officeDocument/2006/relationships/hyperlink" Target="https://cwe.mitre.org/top25/archive/2025/2025_cwe_top25.html" TargetMode="External"/><Relationship Id="rIdex3sgi8igmvcksnvb7slg" Type="http://schemas.openxmlformats.org/officeDocument/2006/relationships/hyperlink" Target="https://industrialcyber.co/news/synsaber-notes-144-rise-in-cves-reported-as-ics-advisories-from-2020-to-2022" TargetMode="External"/><Relationship Id="rIdzteut0cc0a93grzk1cah8" Type="http://schemas.openxmlformats.org/officeDocument/2006/relationships/hyperlink" Target="https://www.microsoft.com/en-us/security/blog/2021/03/30/new-security-signals-study-shows-firmware-attacks-on-the-rise-heres-how-microsoft-is-working-to-help-eliminate-this-entire-class-of-threats" TargetMode="External"/><Relationship Id="rIdr0dl7msjpllhl9lnv-l56" Type="http://schemas.openxmlformats.org/officeDocument/2006/relationships/hyperlink" Target="https://upstream.auto" TargetMode="External"/><Relationship Id="rIdy6pxc7ljtzfjxal1yiyra" Type="http://schemas.openxmlformats.org/officeDocument/2006/relationships/hyperlink" Target="https://www.envorso.com" TargetMode="External"/><Relationship Id="rIddionrrci_0ujmziktcbks" Type="http://schemas.openxmlformats.org/officeDocument/2006/relationships/hyperlink" Target="https://www.it-cisq.org" TargetMode="External"/><Relationship Id="rId9yodl5w3t1xfgeighreo9" Type="http://schemas.openxmlformats.org/officeDocument/2006/relationships/hyperlink" Target="https://scan.coverity.com" TargetMode="External"/><Relationship Id="rIdgjzrwyr3cgz0nfndqh_u_" Type="http://schemas.openxmlformats.org/officeDocument/2006/relationships/hyperlink" Target="https://codeql.github.com" TargetMode="External"/><Relationship Id="rIdknsxphdqjy4na4bverbz4" Type="http://schemas.openxmlformats.org/officeDocument/2006/relationships/hyperlink" Target="https://github.com/semgrep/semgrep" TargetMode="External"/><Relationship Id="rIddljy8r6h9njomxnnl8qwx" Type="http://schemas.openxmlformats.org/officeDocument/2006/relationships/hyperlink" Target="https://fbinfer.com" TargetMode="External"/><Relationship Id="rIdgqiuipm8kusyimqxhqzup" Type="http://schemas.openxmlformats.org/officeDocument/2006/relationships/hyperlink" Target="https://www.sonarsource.com" TargetMode="External"/><Relationship Id="rIdcvvzouwimtyx-uhrmh1ko" Type="http://schemas.openxmlformats.org/officeDocument/2006/relationships/hyperlink" Target="https://clang.llvm.org/docs/ClangStaticAnalyzer.html" TargetMode="External"/><Relationship Id="rIdag-dj0qd0qgltsgrcq-bm" Type="http://schemas.openxmlformats.org/officeDocument/2006/relationships/hyperlink" Target="https://pvs-studio.com" TargetMode="External"/><Relationship Id="rIdoqhczn2i1o2qnbjbq8otm" Type="http://schemas.openxmlformats.org/officeDocument/2006/relationships/hyperlink" Target="https://github.com/danmar/cppcheck" TargetMode="External"/><Relationship Id="rIdizqmaxhmipsui4gn0dlsx" Type="http://schemas.openxmlformats.org/officeDocument/2006/relationships/hyperlink" Target="https://github.com/Tencent/TscanCode" TargetMode="External"/><Relationship Id="rIdytrglea7q979-siifgikd" Type="http://schemas.openxmlformats.org/officeDocument/2006/relationships/hyperlink" Target="https://github.com/AFLplusplus/AFLplusplus" TargetMode="External"/><Relationship Id="rId8cocq1y7aviwliar0ej2d" Type="http://schemas.openxmlformats.org/officeDocument/2006/relationships/hyperlink" Target="https://google.github.io/oss-fuzz" TargetMode="External"/><Relationship Id="rIdeko_xujbetsboc7l8sfy6" Type="http://schemas.openxmlformats.org/officeDocument/2006/relationships/hyperlink" Target="https://aclanthology.org/2020.emnlp-main.207/" TargetMode="External"/><Relationship Id="rIdbyu8bduffulf-_jaqpnyz" Type="http://schemas.openxmlformats.org/officeDocument/2006/relationships/hyperlink" Target="https://openreview.net/forum?id=jLoC4ez43PZ" TargetMode="External"/><Relationship Id="rIdfvg7ulj3j09xk0cuqkngm" Type="http://schemas.openxmlformats.org/officeDocument/2006/relationships/hyperlink" Target="https://arxiv.org/abs/2203.03850" TargetMode="External"/><Relationship Id="rId1xsqh0krv4prtmt3jfkwk" Type="http://schemas.openxmlformats.org/officeDocument/2006/relationships/hyperlink" Target="https://arxiv.org/abs/2308.03314" TargetMode="External"/><Relationship Id="rIdnvzu42arjpqophheiuigc" Type="http://schemas.openxmlformats.org/officeDocument/2006/relationships/hyperlink" Target="https://arxiv.org/abs/2401.16185" TargetMode="External"/><Relationship Id="rIdv_ayiy2ydkumpx0dzymmz" Type="http://schemas.openxmlformats.org/officeDocument/2006/relationships/hyperlink" Target="https://web.stanford.edu/~engler/deviant-sosp-01.pdf" TargetMode="External"/><Relationship Id="rIdis2zjnyao527ptncvenyi" Type="http://schemas.openxmlformats.org/officeDocument/2006/relationships/hyperlink" Target="https://dl.acm.org/doi/10.1145/586110.586142" TargetMode="External"/><Relationship Id="rIdia0iswpn1mecbpldu3nzi" Type="http://schemas.openxmlformats.org/officeDocument/2006/relationships/hyperlink" Target="http://saturn.stanford.edu" TargetMode="External"/><Relationship Id="rIdrdca5wv0zkzzlj5omlnpt" Type="http://schemas.openxmlformats.org/officeDocument/2006/relationships/hyperlink" Target="https://www.absint.com/astree/index.htm" TargetMode="External"/><Relationship Id="rId-gho6vgn2j9ybczfrn712" Type="http://schemas.openxmlformats.org/officeDocument/2006/relationships/hyperlink" Target="https://www.mathworks.com/products/polyspace.html" TargetMode="External"/><Relationship Id="rId48uqwqmskldjfqs236qdp" Type="http://schemas.openxmlformats.org/officeDocument/2006/relationships/hyperlink" Target="https://www.grammatech.com" TargetMode="External"/><Relationship Id="rId4pziuqev0zsbvbndz3vbr" Type="http://schemas.openxmlformats.org/officeDocument/2006/relationships/hyperlink" Target="https://www.perforce.com/products/klocwork" TargetMode="External"/><Relationship Id="rIdbb8u0panq0oormlrtjo1e" Type="http://schemas.openxmlformats.org/officeDocument/2006/relationships/hyperlink" Target="https://www.perforce.com/products/helix-qac" TargetMode="External"/><Relationship Id="rIdugx8app66032hqxqt6uop" Type="http://schemas.openxmlformats.org/officeDocument/2006/relationships/hyperlink" Target="https://ldra.com" TargetMode="External"/><Relationship Id="rIdultmvx26vpqs_vcwh4bs2" Type="http://schemas.openxmlformats.org/officeDocument/2006/relationships/hyperlink" Target="https://www.parasoft.com" TargetMode="External"/><Relationship Id="rIdumtopysqoznpccdvz9_14" Type="http://schemas.openxmlformats.org/officeDocument/2006/relationships/hyperlink" Target="https://www.vector.com/int/en/products/vectorcast/" TargetMode="External"/><Relationship Id="rIdtaeuw1q2rzemjpbxmvda-" Type="http://schemas.openxmlformats.org/officeDocument/2006/relationships/hyperlink" Target="https://frama-c.com" TargetMode="External"/><Relationship Id="rIdesyios9efspfloxy5pnyn" Type="http://schemas.openxmlformats.org/officeDocument/2006/relationships/hyperlink" Target="https://github.com/esbmc/esbmc" TargetMode="External"/><Relationship Id="rId2i7iizwbp_zkrgiaktrm3" Type="http://schemas.openxmlformats.org/officeDocument/2006/relationships/hyperlink" Target="https://www.cprover.org/cbmc/" TargetMode="External"/><Relationship Id="rId1nlnatgxe7llnimf8d9y2" Type="http://schemas.openxmlformats.org/officeDocument/2006/relationships/hyperlink" Target="https://www.usenix.org/event/osdi08/tech/full_papers/cadar/cadar.pdf" TargetMode="External"/><Relationship Id="rIdykodxvqog5ex7t3l-b6ll" Type="http://schemas.openxmlformats.org/officeDocument/2006/relationships/hyperlink" Target="https://cpachecker.sosy-lab.org" TargetMode="External"/><Relationship Id="rIdlfwfeyj5qxa-mpnup2d-0" Type="http://schemas.openxmlformats.org/officeDocument/2006/relationships/hyperlink" Target="https://github.com/NASA-SW-VnV/ikos" TargetMode="External"/><Relationship Id="rIdww6odpucongmbm7tcckfn" Type="http://schemas.openxmlformats.org/officeDocument/2006/relationships/hyperlink" Target="https://goblint.in.tum.de" TargetMode="External"/><Relationship Id="rIdeefxk3nodf0etecerw-eg" Type="http://schemas.openxmlformats.org/officeDocument/2006/relationships/hyperlink" Target="https://sv-comp.sosy-lab.org" TargetMode="External"/><Relationship Id="rId7i4kj-m0uc52prnueubmx" Type="http://schemas.openxmlformats.org/officeDocument/2006/relationships/hyperlink" Target="https://www.ndss-symposium.org/wp-content/uploads/2018/02/ndss2018_03A-2_Li_paper.pdf" TargetMode="External"/><Relationship Id="rIdaqig5_ztqg5ek26zoyfte" Type="http://schemas.openxmlformats.org/officeDocument/2006/relationships/hyperlink" Target="https://arxiv.org/abs/1908.09411" TargetMode="External"/><Relationship Id="rId86qwz9qk3spajolzceu_s" Type="http://schemas.openxmlformats.org/officeDocument/2006/relationships/hyperlink" Target="https://github.com/SySeVR/SySeVR" TargetMode="External"/><Relationship Id="rIdee-idsyzmoplelilzivpa" Type="http://schemas.openxmlformats.org/officeDocument/2006/relationships/hyperlink" Target="https://arxiv.org/abs/2102.07995" TargetMode="External"/><Relationship Id="rIdjlhcv9v3zml84ubavknou" Type="http://schemas.openxmlformats.org/officeDocument/2006/relationships/hyperlink" Target="https://arxiv.org/abs/2403.18624" TargetMode="External"/><Relationship Id="rIdnqh0px7xrqwxoqgimjtqf" Type="http://schemas.openxmlformats.org/officeDocument/2006/relationships/hyperlink" Target="https://arxiv.org/abs/2311.12420" TargetMode="External"/><Relationship Id="rIdtv04gztaok772salbzd7k" Type="http://schemas.openxmlformats.org/officeDocument/2006/relationships/hyperlink" Target="https://samate.nist.gov" TargetMode="External"/><Relationship Id="rId7gvwfyzcmk9704dwab64p" Type="http://schemas.openxmlformats.org/officeDocument/2006/relationships/hyperlink" Target="https://rers-challenge.org" TargetMode="External"/><Relationship Id="rId-adbtrbokvdhcca3jfgj1" Type="http://schemas.openxmlformats.org/officeDocument/2006/relationships/hyperlink" Target="https://gitlab.com/sosy-lab/benchmarking/sv-benchmarks" TargetMode="External"/><Relationship Id="rIdmb35rqgohi7p32r0ahedh" Type="http://schemas.openxmlformats.org/officeDocument/2006/relationships/hyperlink" Target="https://github.com/secureIT-project/CVEfixes" TargetMode="External"/><Relationship Id="rIdy8waqpkuqlwfxjdb18zbr" Type="http://schemas.openxmlformats.org/officeDocument/2006/relationships/hyperlink" Target="https://arxiv.org/abs/2401.13169" TargetMode="External"/><Relationship Id="rIdg0vqyxvvqrzw7dkff5xwz" Type="http://schemas.openxmlformats.org/officeDocument/2006/relationships/hyperlink" Target="https://github.com/rizsotto/Bear" TargetMode="External"/><Relationship Id="rIdwp9tcgt-khz5uxb44cdxm" Type="http://schemas.openxmlformats.org/officeDocument/2006/relationships/hyperlink" Target="https://github.com/ARM-software/CMSIS-SVD" TargetMode="External"/><Relationship Id="rIdabhnqlbqtmhhjkgafygfe" Type="http://schemas.openxmlformats.org/officeDocument/2006/relationships/hyperlink" Target="https://arxiv.org/abs/2509.09970" TargetMode="External"/><Relationship Id="rId11" Type="http://schemas.openxmlformats.org/officeDocument/2006/relationships/image" Target="media/86623fd92e39dc8bebee9e8cb43121311626b5da.png"/><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嵌入式软件代码缺陷与安全漏洞检测系统：调研与技术方案</dc:title>
  <dc:creator>嵌入式软件代码检测系统项目组</dc:creator>
  <cp:lastModifiedBy>Un-named</cp:lastModifiedBy>
  <cp:revision>1</cp:revision>
  <dcterms:created xsi:type="dcterms:W3CDTF">2026-10-07T13:45:24.669Z</dcterms:created>
  <dcterms:modified xsi:type="dcterms:W3CDTF">2026-10-07T13:45:24.671Z</dcterms:modified>
</cp:coreProperties>
</file>

<file path=docProps/custom.xml><?xml version="1.0" encoding="utf-8"?>
<Properties xmlns="http://schemas.openxmlformats.org/officeDocument/2006/custom-properties" xmlns:vt="http://schemas.openxmlformats.org/officeDocument/2006/docPropsVTypes"/>
</file>