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E  C  D  E  T     P  R  O  J  E  C  T     R  E  P  O  R 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ecdet 项目现状介绍与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后续改进计划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嵌入式软件代码缺陷与安全漏洞检测系统 · v1.2.0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文档类型：项目技术汇报与评审材料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当前版本：ecdet v1.2.0（2026 年 10 月）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适用读者：指导教师 / 项目评审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编制：ecdet 项目组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ecdet 项目组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2026 年 10 月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  <w:hyperlink w:history="1" w:anchor="_Toc1">
            <w:r>
              <w:t xml:space="preserve">1 执行摘要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 执行摘要</w:t>
          </w:r>
          <w:r>
            <w:tab/>
          </w:r>
          <w:r>
            <w:t>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2 项目定位与总体架构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2.1 项目定位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2.2 五层架构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2.3 技术栈与零依赖策略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3 已实现功能与技术细节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3.1 构建环境复现（L1）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3.2 静态检测通道与可证明性分级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3.3 硬件语义建模（差异化能力）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3.4 动态检测通道与 PoC 实证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3.5 大模型协同层：幻觉抑制与修复验证闭环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3.6 聚合与合规报告（L5）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3.7 Web 控制台（v1.2）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3.8 增量分析、评测体系与数据集管线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4 质量现状与验证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 代码规模与测试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4.2 消融实验结果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4.3 版本演进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5 外部建议方案评判与决策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5.1 建议方案概述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5.2 逐条评判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5.3 决策结论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6 后续改进计划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6.1 优先级框架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6.2 P0 高优先级项</w:t>
          </w:r>
          <w:r>
            <w:tab/>
          </w:r>
          <w:r>
            <w:t>8</w:t>
          </w:r>
        </w:p>
        <w:p>
          <w:pPr>
            <w:pStyle w:val="TOC3"/>
            <w:ind w:left="720"/>
            <w:tabs>
              <w:tab w:val="right" w:leader="dot" w:pos="9026"/>
            </w:tabs>
            <w:spacing w:before="120" w:after="60"/>
          </w:pPr>
          <w:r>
            <w:t>6.2.1 cppcheck misra.py 基线接入</w:t>
          </w:r>
          <w:r>
            <w:tab/>
          </w:r>
          <w:r>
            <w:t>8</w:t>
          </w:r>
        </w:p>
        <w:p>
          <w:pPr>
            <w:pStyle w:val="TOC3"/>
            <w:ind w:left="720"/>
            <w:tabs>
              <w:tab w:val="right" w:leader="dot" w:pos="9026"/>
            </w:tabs>
            <w:spacing w:before="120" w:after="60"/>
          </w:pPr>
          <w:r>
            <w:t>6.2.2 元认知校验增强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6.3 P1 中期增强项</w:t>
          </w:r>
          <w:r>
            <w:tab/>
          </w:r>
          <w:r>
            <w:t>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6.4 P2 远期储备项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6.5 里程碑规划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7 风险分析与应对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8 结语</w:t>
          </w:r>
          <w:r>
            <w:tab/>
          </w:r>
          <w:r>
            <w:t>10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注：本目录由域代码生成，编辑后请右键目录选择“更新域”以刷新页码。</w:t>
      </w:r>
    </w:p>
    <w:p>
      <w:pPr>
        <w:pStyle w:val="Heading1"/>
        <w:spacing w:after="160" w:before="360" w:line="380" w:lineRule="atLeast"/>
        <w:jc w:val="center"/>
      </w:pPr>
      <w:bookmarkStart w:name="_Toc1" w:id="1"/>
      <w:r>
        <w:rPr>
          <w:rFonts w:ascii="Times New Roman" w:eastAsia="SimHei"/>
          <w:b/>
          <w:bCs/>
          <w:color w:val="153F49"/>
          <w:sz w:val="32"/>
          <w:szCs w:val="32"/>
        </w:rPr>
        <w:t xml:space="preserve">1 执行摘要</w:t>
      </w:r>
      <w:bookmarkEnd w:id="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ecdet（Embedded Code Defect &amp; Security Detection Toolkit）是面向汽车电子与工业控制场景的嵌入式 C/C++ 代码检测系统，依据《嵌入式软件代码缺陷与安全漏洞检测系统调研与技术方案》V1.2 实施，采用静态与动态双通道为骨架、大模型多智能体协同为中枢、工具验证与证据链为约束的混合式五层架构。截至 2026 年 10 月，系统版本 v1.2.0，五层检测流水线全链路贯通，配套 Web 控制台完成两轮迭代，自动化测试 187 项全部通过，核心运行时保持零第三方依赖。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本文档面向指导教师与项目评审：第 2 至 4 章介绍项目定位、已实现功能与质量现状；第 5 章给出对外部工程化建议方案的逐条评判与决策结论（决策：不推倒重写，以现有架构为基座点状吸收六项增强）；第 6 至 7 章给出按 P0/P1/P2 优先级分级的后续改进计划与风险应对。其中 P0 两项（cppcheck misra.py 基线接入、元认知校验增强）建议立即启动，合计预估工作量约一周。</w:t>
      </w:r>
    </w:p>
    <w:p>
      <w:pPr>
        <w:pStyle w:val="Heading1"/>
        <w:spacing w:after="160" w:before="360" w:line="380" w:lineRule="atLeast"/>
        <w:jc w:val="center"/>
      </w:pPr>
      <w:bookmarkStart w:name="_Toc2" w:id="2"/>
      <w:r>
        <w:rPr>
          <w:rFonts w:ascii="Times New Roman" w:eastAsia="SimHei"/>
          <w:b/>
          <w:bCs/>
          <w:color w:val="153F49"/>
          <w:sz w:val="32"/>
          <w:szCs w:val="32"/>
        </w:rPr>
        <w:t xml:space="preserve">2 项目定位与总体架构</w:t>
      </w:r>
      <w:bookmarkEnd w:id="2"/>
    </w:p>
    <w:p>
      <w:pPr>
        <w:pStyle w:val="Heading2"/>
        <w:spacing w:after="120" w:before="260" w:line="360" w:lineRule="atLeast"/>
      </w:pPr>
      <w:bookmarkStart w:name="_Toc3" w:id="3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2.1 项目定位</w:t>
      </w:r>
      <w:bookmarkEnd w:id="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系统的输入单位是嵌入式工程目录（本地路径、压缩包、Git 仓库三源归一），输出为 SARIF 2.1.0 标准告警文件、HTML 合规报告与经验证的修复补丁。检测能力覆盖方案定义的 P1 至 P7 七个问题域：构建环境复现、硬件语义建模、多引擎统一表示、可证明性分级、大模型研判与修复、数据集与评测、动态分析与运行时监控。目标客户群体为汽车电子与工控领域的研发团队，典型部署形态为内网隔离环境下的构建机工具。</w:t>
      </w:r>
    </w:p>
    <w:p>
      <w:pPr>
        <w:pStyle w:val="Heading2"/>
        <w:spacing w:after="120" w:before="260" w:line="360" w:lineRule="atLeast"/>
      </w:pPr>
      <w:bookmarkStart w:name="_Toc4" w:id="4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2.2 五层架构</w:t>
      </w:r>
      <w:bookmarkEnd w:id="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系统按数据流向分为五层，另配 Web 控制台与评测脚本集，各层职责如表 1 所示。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53F49"/>
          <w:sz w:val="21"/>
          <w:szCs w:val="21"/>
        </w:rPr>
        <w:t xml:space="preserve">表 1  五层架构与模块职责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406"/>
        <w:gridCol w:w="1933"/>
        <w:gridCol w:w="5449"/>
      </w:tblGrid>
      <w:tr>
        <w:trPr>
          <w:cantSplit/>
          <w:tblHeader/>
        </w:trPr>
        <w:tc>
          <w:tcPr>
            <w:tcW w:type="pct" w:w="8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pct" w:w="11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pct" w:w="31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核心职责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L1 构建复现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ecdet.l1_build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任意嵌入式工程归一为 compile_commands.json；自研 Keil/IAR 工程文件解析器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L2 统一表示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ecdet.l2_ir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多引擎告警统一为 SARIF 2.1.0 单一数据模型，注入硬件语义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L3 双通道分析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ecdet.l3_analysis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静态：规则引擎/抽象解释/外部引擎适配；动态：激励建模、harness 闭环、执行验证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L4 多智能体协同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ecdet.l4_llm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分诊、修复、六智能体编排；工具验证闭环约束大模型输出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L5 聚合与输出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ecdet.l5_report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去重、CWE/MISRA/GJB 映射、可证明性分级、合规报告</w:t>
            </w:r>
          </w:p>
        </w:tc>
      </w:tr>
      <w:tr>
        <w:trPr>
          <w:cantSplit/>
          <w:tblHeader w:val="off"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Web 控制台</w:t>
            </w:r>
          </w:p>
        </w:tc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ecdet.webui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工程注册、扫描任务、告警复核、一键修复、代码浏览与版本对比</w:t>
            </w:r>
          </w:p>
        </w:tc>
      </w:tr>
    </w:tbl>
    <w:p>
      <w:pPr>
        <w:pStyle w:val="Heading2"/>
        <w:spacing w:after="120" w:before="260" w:line="360" w:lineRule="atLeast"/>
      </w:pPr>
      <w:bookmarkStart w:name="_Toc5" w:id="5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2.3 技术栈与零依赖策略</w:t>
      </w:r>
      <w:bookmarkEnd w:id="5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系统基于 Python 3.11 及以上版本实现，采用 uv 管理环境、hatchling 构建。核心运行时零第三方依赖：词法与结构分析、SARIF 读写、HTTP 服务与前端页面（原生 JS/CSS）均由标准库实现，开发依赖仅 pytest。该策略的动机在于目标客户的研发环境多为内网隔离、无法安装第三方库，零依赖保证系统拷贝即用、离线可运行，这一点对军工与汽车行业客户尤为关键。外部引擎（cppcheck、clang-tidy、ESBMC）采用检测到安装即接入的可选适配模式，不构成硬依赖。</w:t>
      </w:r>
    </w:p>
    <w:p>
      <w:pPr>
        <w:pStyle w:val="Heading1"/>
        <w:spacing w:after="160" w:before="360" w:line="380" w:lineRule="atLeast"/>
        <w:jc w:val="center"/>
      </w:pPr>
      <w:bookmarkStart w:name="_Toc6" w:id="6"/>
      <w:r>
        <w:rPr>
          <w:rFonts w:ascii="Times New Roman" w:eastAsia="SimHei"/>
          <w:b/>
          <w:bCs/>
          <w:color w:val="153F49"/>
          <w:sz w:val="32"/>
          <w:szCs w:val="32"/>
        </w:rPr>
        <w:t xml:space="preserve">3 已实现功能与技术细节</w:t>
      </w:r>
      <w:bookmarkEnd w:id="6"/>
    </w:p>
    <w:p>
      <w:pPr>
        <w:pStyle w:val="Heading2"/>
        <w:spacing w:after="120" w:before="260" w:line="360" w:lineRule="atLeast"/>
      </w:pPr>
      <w:bookmarkStart w:name="_Toc7" w:id="7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3.1 构建环境复现（L1）</w:t>
      </w:r>
      <w:bookmarkEnd w:id="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L1 层将 Keil（.uvprojx）、IAR（.ewp）等闭源 IDE 工程格式解析并翻译为等价的 Clang 命令行，统一产出 compile_commands.json 编译数据库；对无构建信息的工程可跳过构建复现退化为源码直扫。该层解决的是方案 P1 问题：通用分析工具依赖完整构建捕获，而嵌入式工程多数使用专有 IDE 的闭源工程格式。</w:t>
      </w:r>
    </w:p>
    <w:p>
      <w:pPr>
        <w:pStyle w:val="Heading2"/>
        <w:spacing w:after="120" w:before="260" w:line="360" w:lineRule="atLeast"/>
      </w:pPr>
      <w:bookmarkStart w:name="_Toc8" w:id="8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3.2 静态检测通道与可证明性分级</w:t>
      </w:r>
      <w:bookmarkEnd w:id="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静态通道以自研 C 词法/结构解析器为基础，内置 30 条规则（构成见表 2），并以函数内常量传播的抽象解释实现可证明性分级：能证明数组下标必然越界的告警以 Proven（已证明）级输出；能证明必然在界的直接不告警，从机制上抑制误报；确定性证据核对通过的为 Detected（已检出）；其余为 Suspected（待研判），交由动态通道与大模型继续查证。外部引擎 cppcheck、clang-tidy、ESBMC 检测到安装即自动接入，其输出与内置规则统一归入 SARIF。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53F49"/>
          <w:sz w:val="21"/>
          <w:szCs w:val="21"/>
        </w:rPr>
        <w:t xml:space="preserve">表 2  内置规则集构成（30 条）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636"/>
        <w:gridCol w:w="1055"/>
        <w:gridCol w:w="5097"/>
      </w:tblGrid>
      <w:tr>
        <w:trPr>
          <w:cantSplit/>
          <w:tblHeader/>
        </w:trPr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规则族</w:t>
            </w:r>
          </w:p>
        </w:tc>
        <w:tc>
          <w:tcPr>
            <w:tcW w:type="pct" w:w="6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数量</w:t>
            </w:r>
          </w:p>
        </w:tc>
        <w:tc>
          <w:tcPr>
            <w:tcW w:type="pct" w:w="29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代表条目</w:t>
            </w:r>
          </w:p>
        </w:tc>
      </w:tr>
      <w:tr>
        <w:trPr>
          <w:cantSplit/>
          <w:tblHeader w:val="off"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MISRA C:2012 子集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type="pct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10.3/10.4 整型转换族、17.2 递归、21.6 标准库 IO 等</w:t>
            </w:r>
          </w:p>
        </w:tc>
      </w:tr>
      <w:tr>
        <w:trPr>
          <w:cantSplit/>
          <w:tblHeader w:val="off"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CERT C 子集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STR31-C 缓冲区拷贝、ARR30-C 越界、FIO30-C 非字面量格式串</w:t>
            </w:r>
          </w:p>
        </w:tc>
      </w:tr>
      <w:tr>
        <w:trPr>
          <w:cantSplit/>
          <w:tblHeader w:val="off"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ECDET 缺陷规则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CWE-242（gets）、CWE-197 截断、CWE-1284 scanf 无界读入</w:t>
            </w:r>
          </w:p>
        </w:tc>
      </w:tr>
      <w:tr>
        <w:trPr>
          <w:cantSplit/>
          <w:tblHeader w:val="off"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ECDET 硬件语义规则</w:t>
            </w:r>
          </w:p>
        </w:tc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MMIO 误用、ISR 竞态、volatile 缺失、ISR 阻塞调用</w:t>
            </w:r>
          </w:p>
        </w:tc>
      </w:tr>
    </w:tbl>
    <w:p>
      <w:pPr>
        <w:pStyle w:val="Heading2"/>
        <w:spacing w:after="120" w:before="260" w:line="360" w:lineRule="atLeast"/>
      </w:pPr>
      <w:bookmarkStart w:name="_Toc9" w:id="9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3.3 硬件语义建模（差异化能力）</w:t>
      </w:r>
      <w:bookmarkEnd w:id="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针对通用工具不理解嵌入式硬件的短板，系统解析 ARM 芯片标准外设描述文件（CMSIS-SVD）获取每个寄存器的读写属性，确定性检出向只读寄存器写数据等 MMIO 误用；结合中断服务函数（ISR）识别与临界区间判定，检出 ISR 与主循环共享变量未加保护的竞态、未声明 volatile 等并发缺陷；内置 FreeRTOS/RT-Thread/CMSIS-OS2 的 API 语义表，检出 ISR 中调用阻塞 API 并提示 FromISR 变体。这四条硬件语义规则与 SVD 建模一起，构成系统相对通用检测工具的核心差异。</w:t>
      </w:r>
    </w:p>
    <w:p>
      <w:pPr>
        <w:pStyle w:val="Heading2"/>
        <w:spacing w:after="120" w:before="260" w:line="360" w:lineRule="atLeast"/>
      </w:pPr>
      <w:bookmarkStart w:name="_Toc10" w:id="10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3.4 动态检测通道与 PoC 实证</w:t>
      </w:r>
      <w:bookmarkEnd w:id="1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动态通道对静态层查出的疑似缺陷自动生成测试驱动（harness）并在宿主机上真实执行：激励采用确定性特殊值表（零值、边界值、回绕点）与乘法散列采样，并经 SVD 寄存器语义收窄取值域，实现一次建模、静动两用；harness 编译失败时自动打桩重编，确定性打桩失败后交由大模型修正器重写，形成生成-编译-修正闭环；执行结果的判定依据（oracle）覆盖崩溃退出码分类、UBSan 输出与看门狗超时三类。崩溃即实锤：告警从 Suspected 升级为 Detected ，并产出可一键重放的 PoC（概念验证漏洞样本），实参组合随告警证据落入 SARIF。执行载体设计为三级梯度（宿主原生执行→ Unicorn 指令级仿真→ Renode 外设级仿真），当前实际可用的为宿主机原生执行档，仿真档位于探测就绪状态（见第 6 章 P2 项）。</w:t>
      </w:r>
    </w:p>
    <w:p>
      <w:pPr>
        <w:pStyle w:val="Heading2"/>
        <w:spacing w:after="120" w:before="260" w:line="360" w:lineRule="atLeast"/>
      </w:pPr>
      <w:bookmarkStart w:name="_Toc11" w:id="11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3.5 大模型协同层：幻觉抑制与修复验证闭环</w:t>
      </w:r>
      <w:bookmarkEnd w:id="11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分诊管线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对每条告警构造上下文（告警函数、深度二层调用闭包、引用宏，按字符预算截取）后交由大模型首判（强制 JSON 输出），置信度低于 0.6 时触发本地知识库检索（A-RAG）重判。幻觉抑制设三道闸：输出不可解析、引用行号越界或未指向真实代码、调用失败，一律降级为待人工复核。设计原则是大模型只担任语义推理参谋，不作最终裁决。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修复闭环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对确认的真缺陷由大模型生成函数级补丁，补丁须通过工具验证闭环（ToolLoopVerify）才予采纳：补丁应用后原告警必须消失且不引入新的 error 级告警，gcc 语法检查必须通过。自动修复模式下，验证通过的补丁写入源文件（先自动备份），逐轮迭代至收敛，最后做全工程验收扫描并给出残留告警统计。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编排层实现六类智能体的确定性状态机（规划→静态→分诊并行扇出→动态→监控裁决→修复验证→高危人工复核闸门→聚合），采用结构化 AgentState 交接与分层路由（note 级告警不进大模型），并提供单智能体串行降级形态作为消融对照。接入方式为 OpenAI 兼容端点（vLLM/Ollama/LM Studio，数据不出域），另有确定性 Mock 客户端保证离线可测。</w:t>
      </w:r>
    </w:p>
    <w:p>
      <w:pPr>
        <w:pStyle w:val="Heading2"/>
        <w:spacing w:after="120" w:before="260" w:line="360" w:lineRule="atLeast"/>
      </w:pPr>
      <w:bookmarkStart w:name="_Toc12" w:id="12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3.6 聚合与合规报告（L5）</w:t>
      </w:r>
      <w:bookmarkEnd w:id="1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L5 层按告警指纹聚类去重，为每条规则建立 CWE↔MISRA↔GJB 8114-2013 双口径映射（规则编号需授权文本核实处已相应标注），生成含证据链、LLM 分诊结论、PoC 记录与合规记录表的 HTML 报告，同时输出 SARIF 供下游工具消费。</w:t>
      </w:r>
    </w:p>
    <w:p>
      <w:pPr>
        <w:pStyle w:val="Heading2"/>
        <w:spacing w:after="120" w:before="260" w:line="360" w:lineRule="atLeast"/>
      </w:pPr>
      <w:bookmarkStart w:name="_Toc13" w:id="13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3.7 Web 控制台（v1.2）</w:t>
      </w:r>
      <w:bookmarkEnd w:id="1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Web 控制台为零依赖实现（标准库 HTTP 服务 + SQLite + 原生 JS/CSS，无外链离线可用），信息架构按分析、工程与代码、结果与处置三组七页。核心功能包括：工程三源注册（本地路径、压缩包上传含路径逃逸过滤、Git 浅克隆）、后台扫描任务队列、告警中心逐条研判与状态流转、一键修复（建议/自动两模式）与大模型端点配置（凭据本机存储、回传脱敏）。v1.2 新增两页：代码浏览页基于运行级源码快照（SHA-256 清单）展示整文件代码、C 语法高亮与告警行标注；版本对比页提供任意两次运行间的文件级 diff（统一/并排双视图）与告警三态差分（新增/已消除/持续存在），对齐业界主流代码审查系统的交互范式。</w:t>
      </w:r>
    </w:p>
    <w:p>
      <w:pPr>
        <w:pStyle w:val="Heading2"/>
        <w:spacing w:after="120" w:before="260" w:line="360" w:lineRule="atLeast"/>
      </w:pPr>
      <w:bookmarkStart w:name="_Toc14" w:id="14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3.8 增量分析、评测体系与数据集管线</w:t>
      </w:r>
      <w:bookmarkEnd w:id="14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工程化外围包括：增量分析（变更文件的 include 与调用图反向闭包影响集，叠加告警基线差分，仅新增告警进入大模型研判）；评测框架（七配置消融实验与动态贡献率等指标，NIST Juliet 基准管线已打通）；自建数据集管线（从 GitHub 安全通告抓取真实漏洞，按 CVE 定位修复提交，函数切片后指纹去重、按时间 6:2:2 划分防止数据泄漏）；以及 Docker 容器化封装（镜像内置 cppcheck 基线）。</w:t>
      </w:r>
    </w:p>
    <w:p>
      <w:pPr>
        <w:pStyle w:val="Heading1"/>
        <w:spacing w:after="160" w:before="360" w:line="380" w:lineRule="atLeast"/>
        <w:jc w:val="center"/>
      </w:pPr>
      <w:bookmarkStart w:name="_Toc15" w:id="15"/>
      <w:r>
        <w:rPr>
          <w:rFonts w:ascii="Times New Roman" w:eastAsia="SimHei"/>
          <w:b/>
          <w:bCs/>
          <w:color w:val="153F49"/>
          <w:sz w:val="32"/>
          <w:szCs w:val="32"/>
        </w:rPr>
        <w:t xml:space="preserve">4 质量现状与验证</w:t>
      </w:r>
      <w:bookmarkEnd w:id="15"/>
    </w:p>
    <w:p>
      <w:pPr>
        <w:pStyle w:val="Heading2"/>
        <w:spacing w:after="120" w:before="260" w:line="360" w:lineRule="atLeast"/>
      </w:pPr>
      <w:bookmarkStart w:name="_Toc16" w:id="16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4.1 代码规模与测试</w:t>
      </w:r>
      <w:bookmarkEnd w:id="1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项目当前代码规模与测试情况如表 3 所示，16 个测试文件共 187 项自动化测试全部通过，覆盖规则引擎、硬件语义、动态通道、大模型分诊与修复、增量分析、评测与 Web 接口全流程。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53F49"/>
          <w:sz w:val="21"/>
          <w:szCs w:val="21"/>
        </w:rPr>
        <w:t xml:space="preserve">表 3  代码规模与质量数据（截至 2026 年 10 月）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pct" w:w="3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数据</w:t>
            </w:r>
          </w:p>
        </w:tc>
      </w:tr>
      <w:tr>
        <w:trPr>
          <w:cantSplit/>
          <w:tblHeader w:val="off"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Python 代码规模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9600 行（L3 分析 4069 、Web 控制台 1456 、L4 大模型 1121 、评测脚本 850、其余约 3100）</w:t>
            </w:r>
          </w:p>
        </w:tc>
      </w:tr>
      <w:tr>
        <w:trPr>
          <w:cantSplit/>
          <w:tblHeader w:val="off"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前端规模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1705 行（原生 JS/CSS/HTML，无框架无外链）</w:t>
            </w:r>
          </w:p>
        </w:tc>
      </w:tr>
      <w:tr>
        <w:trPr>
          <w:cantSplit/>
          <w:tblHeader w:val="off"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自动化测试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16 个测试文件、187 项，全部通过</w:t>
            </w:r>
          </w:p>
        </w:tc>
      </w:tr>
      <w:tr>
        <w:trPr>
          <w:cantSplit/>
          <w:tblHeader w:val="off"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运行时依赖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零（核心 dependencies 为空；开发仅 pytest）</w:t>
            </w:r>
          </w:p>
        </w:tc>
      </w:tr>
      <w:tr>
        <w:trPr>
          <w:cantSplit/>
          <w:tblHeader w:val="off"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当前版本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v1.2.0（2026 年 10 月，含代码浏览与版本对比）</w:t>
            </w:r>
          </w:p>
        </w:tc>
      </w:tr>
    </w:tbl>
    <w:p>
      <w:pPr>
        <w:pStyle w:val="Heading2"/>
        <w:spacing w:after="120" w:before="260" w:line="360" w:lineRule="atLeast"/>
      </w:pPr>
      <w:bookmarkStart w:name="_Toc17" w:id="17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4.2 消融实验结果</w:t>
      </w:r>
      <w:bookmarkEnd w:id="1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在示例语料上的七配置消融实验已可复现，各子系统的净贡献如图 1 与表 4 所示：去掉大模型分诊后精确率降至 50%（误报未被过滤），去掉硬件语义后召回率降至 50%，去掉动态通道后召回率降至 66.7%（且耗时从 62 秒降至 0.2 秒，双通道互补性与动态成本同时可见）；完整系统的动态贡献率（动态新发现且静态未报的占比）为 33%。A3（去 RAG）与 A4（去验证闭环）的作用域分别在分诊置信度与修复验收率，待真实端点语料补充后成稿。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53000" cy="24479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Times New Roman" w:eastAsia="SimHei"/>
          <w:b/>
          <w:bCs/>
          <w:color w:val="153F49"/>
          <w:sz w:val="21"/>
          <w:szCs w:val="21"/>
        </w:rPr>
        <w:t xml:space="preserve">图 1  示例语料消融实验结果（函数级精确率/召回率，%）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53F49"/>
          <w:sz w:val="21"/>
          <w:szCs w:val="21"/>
        </w:rPr>
        <w:t xml:space="preserve">表 4  消融配置与指标明细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758"/>
        <w:gridCol w:w="3867"/>
        <w:gridCol w:w="1582"/>
        <w:gridCol w:w="1582"/>
      </w:tblGrid>
      <w:tr>
        <w:trPr>
          <w:cantSplit/>
          <w:tblHeader/>
        </w:trPr>
        <w:tc>
          <w:tcPr>
            <w:tcW w:type="pct" w:w="10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配置</w:t>
            </w:r>
          </w:p>
        </w:tc>
        <w:tc>
          <w:tcPr>
            <w:tcW w:type="pct" w:w="22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  <w:tc>
          <w:tcPr>
            <w:tcW w:type="pct" w:w="9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精确率</w:t>
            </w:r>
          </w:p>
        </w:tc>
        <w:tc>
          <w:tcPr>
            <w:tcW w:type="pct" w:w="9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召回率</w:t>
            </w:r>
          </w:p>
        </w:tc>
      </w:tr>
      <w:tr>
        <w:trPr>
          <w:cantSplit/>
          <w:tblHeader w:val="off"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A0 完整系统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全部子系统开启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</w:tr>
      <w:tr>
        <w:trPr>
          <w:cantSplit/>
          <w:tblHeader w:val="off"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A1 去 LLM 分诊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大模型误报过滤关闭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/>
                <w:bCs/>
                <w:color w:val="C0392B"/>
                <w:sz w:val="21"/>
                <w:szCs w:val="21"/>
              </w:rPr>
              <w:t xml:space="preserve">50%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</w:tr>
      <w:tr>
        <w:trPr>
          <w:cantSplit/>
          <w:tblHeader w:val="off"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A2 去硬件语义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SVD/ISR 建模关闭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/>
                <w:bCs/>
                <w:color w:val="C0392B"/>
                <w:sz w:val="21"/>
                <w:szCs w:val="21"/>
              </w:rPr>
              <w:t xml:space="preserve">50%</w:t>
            </w:r>
          </w:p>
        </w:tc>
      </w:tr>
      <w:tr>
        <w:trPr>
          <w:cantSplit/>
          <w:tblHeader w:val="off"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A5 去动态通道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执行验证关闭（耗时 62s→0.2s）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/>
                <w:bCs/>
                <w:color w:val="C0392B"/>
                <w:sz w:val="21"/>
                <w:szCs w:val="21"/>
              </w:rPr>
              <w:t xml:space="preserve">66.7%</w:t>
            </w:r>
          </w:p>
        </w:tc>
      </w:tr>
      <w:tr>
        <w:trPr>
          <w:cantSplit/>
          <w:tblHeader w:val="off"/>
        </w:trPr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A6 单智能体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多智能体编排降级为串行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  <w:tc>
          <w:tcPr>
            <w:tcW w:type="pct" w:w="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</w:tr>
    </w:tbl>
    <w:p>
      <w:pPr>
        <w:pStyle w:val="Heading2"/>
        <w:spacing w:after="120" w:before="260" w:line="360" w:lineRule="atLeast"/>
      </w:pPr>
      <w:bookmarkStart w:name="_Toc18" w:id="18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4.3 版本演进</w:t>
      </w:r>
      <w:bookmarkEnd w:id="1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项目自阶段一 MVP 起共 13 个版本节点，主要里程如表 5 所示，方案五个阶段中前四个阶段的内容均已提前实施完成。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53F49"/>
          <w:sz w:val="21"/>
          <w:szCs w:val="21"/>
        </w:rPr>
        <w:t xml:space="preserve">表 5  版本演进里程（截选）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933"/>
        <w:gridCol w:w="6855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W w:type="pct" w:w="39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0.1 阶段一</w:t>
            </w:r>
          </w:p>
        </w:tc>
        <w:tc>
          <w:tcPr>
            <w:tcW w:type="pct" w:w="3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五层架构 MVP：L1 构建复现 + L3 规则引擎 + L5 聚合报告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0.2 阶段二</w:t>
            </w:r>
          </w:p>
        </w:tc>
        <w:tc>
          <w:tcPr>
            <w:tcW w:type="pct" w:w="3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硬件语义与并发建模（P2）+ 抽象解释可证明性（P4）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0.3 阶段三</w:t>
            </w:r>
          </w:p>
        </w:tc>
        <w:tc>
          <w:tcPr>
            <w:tcW w:type="pct" w:w="3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LLM 告警分诊层（P5）+ 自建数据集管线（P6）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0.4 阶段四前半</w:t>
            </w:r>
          </w:p>
        </w:tc>
        <w:tc>
          <w:tcPr>
            <w:tcW w:type="pct" w:w="3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修复验证闭环 + GHSA 抓取 + 消融评测框架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0.5</w:t>
            </w:r>
          </w:p>
        </w:tc>
        <w:tc>
          <w:tcPr>
            <w:tcW w:type="pct" w:w="3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增量分析 + Juliet 评测管线 + Docker 容器化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0.6 对齐 V1.2</w:t>
            </w:r>
          </w:p>
        </w:tc>
        <w:tc>
          <w:tcPr>
            <w:tcW w:type="pct" w:w="3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动态分析通道（P7）+ 运行时监控 + 六智能体编排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0.7</w:t>
            </w:r>
          </w:p>
        </w:tc>
        <w:tc>
          <w:tcPr>
            <w:tcW w:type="pct" w:w="3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MISRA 10.x 整型转换族 + LLM harness 修正闭环 + 三级载体梯度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0.8–1.0</w:t>
            </w:r>
          </w:p>
        </w:tc>
        <w:tc>
          <w:tcPr>
            <w:tcW w:type="pct" w:w="3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Web 控制台（三源注册/任务队列/告警复核）→ 一键修复 + 大模型设置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1.1</w:t>
            </w:r>
          </w:p>
        </w:tc>
        <w:tc>
          <w:tcPr>
            <w:tcW w:type="pct" w:w="3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自动修复模式：验证通过即写入源文件 + 迭代收敛 + 全工程验收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1.2（待提交）</w:t>
            </w:r>
          </w:p>
        </w:tc>
        <w:tc>
          <w:tcPr>
            <w:tcW w:type="pct" w:w="3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运行级源码快照 + 代码浏览 + 版本对比（文件 diff 与告警三态差分）</w:t>
            </w:r>
          </w:p>
        </w:tc>
      </w:tr>
    </w:tbl>
    <w:p>
      <w:pPr>
        <w:pStyle w:val="Heading1"/>
        <w:spacing w:after="160" w:before="360" w:line="380" w:lineRule="atLeast"/>
        <w:jc w:val="center"/>
      </w:pPr>
      <w:bookmarkStart w:name="_Toc19" w:id="19"/>
      <w:r>
        <w:rPr>
          <w:rFonts w:ascii="Times New Roman" w:eastAsia="SimHei"/>
          <w:b/>
          <w:bCs/>
          <w:color w:val="153F49"/>
          <w:sz w:val="32"/>
          <w:szCs w:val="32"/>
        </w:rPr>
        <w:t xml:space="preserve">5 外部建议方案评判与决策</w:t>
      </w:r>
      <w:bookmarkEnd w:id="19"/>
    </w:p>
    <w:p>
      <w:pPr>
        <w:pStyle w:val="Heading2"/>
        <w:spacing w:after="120" w:before="260" w:line="360" w:lineRule="atLeast"/>
      </w:pPr>
      <w:bookmarkStart w:name="_Toc20" w:id="20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5.1 建议方案概述</w:t>
      </w:r>
      <w:bookmarkEnd w:id="2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近期获得一份外部 AI 生成的工程化架构建议书，其主张为：双服务架构（FastAPI 检测编排器 + 独立大模型推理服务，LangGraph 状态机编排）；静态分析锚点优先；四个专业智能体并行审查（内存安全/并发中断/硬件交互/实时资源）；元认知 Critic 校验过滤幻觉；双报告；人工复核反馈闭环；误报控制作为第一设计原则。该建议书定位于通用大模型代码审查系统，未考虑本项目的双通道检测与军工合规定位。</w:t>
      </w:r>
    </w:p>
    <w:p>
      <w:pPr>
        <w:pStyle w:val="Heading2"/>
        <w:spacing w:after="120" w:before="260" w:line="360" w:lineRule="atLeast"/>
      </w:pPr>
      <w:bookmarkStart w:name="_Toc21" w:id="21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5.2 逐条评判</w:t>
      </w:r>
      <w:bookmarkEnd w:id="2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对建议书 10 个技术要点逐条与本项目现状比对的结论如表 6 所示（判定含义：已达成 = 现状保持；增强 = 列入第 6 章计划；缺口 = 高优先级补齐；不采纳 = 维持现有实现）。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53F49"/>
          <w:sz w:val="21"/>
          <w:szCs w:val="21"/>
        </w:rPr>
        <w:t xml:space="preserve">表 6  建议书要点逐条评判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3339"/>
        <w:gridCol w:w="5449"/>
      </w:tblGrid>
      <w:tr>
        <w:trPr>
          <w:cantSplit/>
          <w:tblHeader/>
        </w:trPr>
        <w:tc>
          <w:tcPr>
            <w:tcW w:type="pct" w:w="19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建议书要点</w:t>
            </w:r>
          </w:p>
        </w:tc>
        <w:tc>
          <w:tcPr>
            <w:tcW w:type="pct" w:w="31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本项目现状与评判</w:t>
            </w:r>
          </w:p>
        </w:tc>
      </w:tr>
      <w:tr>
        <w:trPr>
          <w:cantSplit/>
          <w:tblHeader w:val="off"/>
        </w:trPr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双服务架构（FastAPI + 独立推理服务）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1F5C99"/>
                <w:sz w:val="21"/>
                <w:szCs w:val="21"/>
              </w:rPr>
              <w:t xml:space="preserve">不采纳重写：大模型服务分离已通过指向 vLLM/Ollama 实现；引入框架破坏零依赖原则</w:t>
            </w:r>
          </w:p>
        </w:tc>
      </w:tr>
      <w:tr>
        <w:trPr>
          <w:cantSplit/>
          <w:tblHeader w:val="off"/>
        </w:trPr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静态工具集成含 MISRA 插件（misra.py）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/>
                <w:bCs/>
                <w:color w:val="C0392B"/>
                <w:sz w:val="21"/>
                <w:szCs w:val="21"/>
              </w:rPr>
              <w:t xml:space="preserve">缺口（P0）：cppcheck/clang-tidy/ESBMC 已接入，但 misra.py 基线未接，且这是技术方案 V1.2 的原始承诺</w:t>
            </w:r>
          </w:p>
        </w:tc>
      </w:tr>
      <w:tr>
        <w:trPr>
          <w:cantSplit/>
          <w:tblHeader w:val="off"/>
        </w:trPr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嵌入式上下文（编译配置/ISR 标记/链接脚本/调用图切片）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C07A1E"/>
                <w:sz w:val="21"/>
                <w:szCs w:val="21"/>
              </w:rPr>
              <w:t xml:space="preserve">部分达成（P1）：调用闭包切片与 ISR 识别已有；编译配置注入与链接脚本解析待补</w:t>
            </w:r>
          </w:p>
        </w:tc>
      </w:tr>
      <w:tr>
        <w:trPr>
          <w:cantSplit/>
          <w:tblHeader w:val="off"/>
        </w:trPr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四个专业智能体并行审查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C07A1E"/>
                <w:sz w:val="21"/>
                <w:szCs w:val="21"/>
              </w:rPr>
              <w:t xml:space="preserve">部分采纳（P1）：内存/实时两域做领域化 prompt 路由；并发/硬件两域已有确定性规则，可靠性高于大模型审查</w:t>
            </w:r>
          </w:p>
        </w:tc>
      </w:tr>
      <w:tr>
        <w:trPr>
          <w:cantSplit/>
          <w:tblHeader w:val="off"/>
        </w:trPr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ReAct 循环核查寄存器访问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1F5C99"/>
                <w:sz w:val="21"/>
                <w:szCs w:val="21"/>
              </w:rPr>
              <w:t xml:space="preserve">不采纳：SVD 确定性解析已覆盖，硬件语义高风险域不交给大模型猜测</w:t>
            </w:r>
          </w:p>
        </w:tc>
      </w:tr>
      <w:tr>
        <w:trPr>
          <w:cantSplit/>
          <w:tblHeader w:val="off"/>
        </w:trPr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元认知 Critic 过滤幻觉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/>
                <w:bCs/>
                <w:color w:val="C0392B"/>
                <w:sz w:val="21"/>
                <w:szCs w:val="21"/>
              </w:rPr>
              <w:t xml:space="preserve">增强（P0）：现有三道闸为其规则化版本，补充代码片段一致性与上下文自洽校验</w:t>
            </w:r>
          </w:p>
        </w:tc>
      </w:tr>
      <w:tr>
        <w:trPr>
          <w:cantSplit/>
          <w:tblHeader w:val="off"/>
        </w:trPr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双报告（开发者 + 审计）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1E7A46"/>
                <w:sz w:val="21"/>
                <w:szCs w:val="21"/>
              </w:rPr>
              <w:t xml:space="preserve">已达成：HTML 合规报告 + SARIF + SQLite 全过程留痕</w:t>
            </w:r>
          </w:p>
        </w:tc>
      </w:tr>
      <w:tr>
        <w:trPr>
          <w:cantSplit/>
          <w:tblHeader w:val="off"/>
        </w:trPr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人工复核反馈回写 prompt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6B7280"/>
                <w:sz w:val="21"/>
                <w:szCs w:val="21"/>
              </w:rPr>
              <w:t xml:space="preserve">远期（P2）：复核状态流转已有，反馈回写需先积累标注数据</w:t>
            </w:r>
          </w:p>
        </w:tc>
      </w:tr>
      <w:tr>
        <w:trPr>
          <w:cantSplit/>
          <w:tblHeader w:val="off"/>
        </w:trPr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CI webhook 与质量门控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C07A1E"/>
                <w:sz w:val="21"/>
                <w:szCs w:val="21"/>
              </w:rPr>
              <w:t xml:space="preserve">小改（P1）：CLI 可挂任意 CI，Web 侧增加 webhook 与门控阈值配置</w:t>
            </w:r>
          </w:p>
        </w:tc>
      </w:tr>
      <w:tr>
        <w:trPr>
          <w:cantSplit/>
          <w:tblHeader w:val="off"/>
        </w:trPr>
        <w:tc>
          <w:tcPr>
            <w:tcW w:type="pct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误报控制：静态锚点优先，宁漏勿误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1E7A46"/>
                <w:sz w:val="21"/>
                <w:szCs w:val="21"/>
              </w:rPr>
              <w:t xml:space="preserve">已达成：分层路由、工具验证裁决、无证据发现默认降级，与建议原则一致</w:t>
            </w:r>
          </w:p>
        </w:tc>
      </w:tr>
    </w:tbl>
    <w:p>
      <w:pPr>
        <w:pStyle w:val="Heading2"/>
        <w:spacing w:after="120" w:before="260" w:line="360" w:lineRule="atLeast"/>
      </w:pPr>
      <w:bookmarkStart w:name="_Toc22" w:id="22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5.3 决策结论</w:t>
      </w:r>
      <w:bookmarkEnd w:id="22"/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综合评判结论为：不推倒重写，以现有五层架构为基座，点状吸收建议书六项增强。依据有三：其一，建议书 10 个要点中 2 项已完整达成、6 项部分达成、2 项经评估不采纳；其二，本项目在动态执行验证、修复验证闭环、SVD 确定性建模、消融评测体系四方面超出建议书设计范围；其三，重写为双服务架构将牺牲零依赖离线部署能力，而该能力对目标客户为刚性需求。建议书中误报控制与宁漏勿误的警告与本项目现行原则一致，应继续坚守；其引用的 Agentic Code Review 论文数据（行号准确率 67%→92%）为外部参考，落地前应在 Juliet 语料上自行复测。</w:t>
      </w:r>
    </w:p>
    <w:p>
      <w:pPr>
        <w:pStyle w:val="Heading1"/>
        <w:spacing w:after="160" w:before="360" w:line="380" w:lineRule="atLeast"/>
        <w:jc w:val="center"/>
      </w:pPr>
      <w:bookmarkStart w:name="_Toc23" w:id="23"/>
      <w:r>
        <w:rPr>
          <w:rFonts w:ascii="Times New Roman" w:eastAsia="SimHei"/>
          <w:b/>
          <w:bCs/>
          <w:color w:val="153F49"/>
          <w:sz w:val="32"/>
          <w:szCs w:val="32"/>
        </w:rPr>
        <w:t xml:space="preserve">6 后续改进计划</w:t>
      </w:r>
      <w:bookmarkEnd w:id="23"/>
    </w:p>
    <w:p>
      <w:pPr>
        <w:pStyle w:val="Heading2"/>
        <w:spacing w:after="120" w:before="260" w:line="360" w:lineRule="atLeast"/>
      </w:pPr>
      <w:bookmarkStart w:name="_Toc24" w:id="24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6.1 优先级框架</w:t>
      </w:r>
      <w:bookmarkEnd w:id="2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改进项按三级优先级组织：P0（红色标注，立即启动，预计一周内完成）为同时关闭方案承诺缺口与外部建议共识的高价值小改；P1（黄色标注，近期启动，一至两个月内）为增强项；P2（灰色标注，远期储备）存在数据或语料依赖，待条件成熟后启动。</w:t>
      </w:r>
    </w:p>
    <w:p>
      <w:pPr>
        <w:pStyle w:val="Heading2"/>
        <w:spacing w:after="120" w:before="260" w:line="360" w:lineRule="atLeast"/>
      </w:pPr>
      <w:bookmarkStart w:name="_Toc25" w:id="25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6.2 P0 高优先级项</w:t>
      </w:r>
      <w:bookmarkEnd w:id="25"/>
    </w:p>
    <w:p>
      <w:pPr>
        <w:pStyle w:val="Heading3"/>
        <w:spacing w:after="100" w:before="200" w:line="330" w:lineRule="atLeast"/>
      </w:pPr>
      <w:bookmarkStart w:name="_Toc26" w:id="26"/>
      <w:r>
        <w:rPr>
          <w:rFonts w:ascii="Times New Roman" w:eastAsia="SimHei"/>
          <w:b/>
          <w:bCs/>
          <w:color w:val="153F49"/>
          <w:sz w:val="28"/>
          <w:szCs w:val="28"/>
        </w:rPr>
        <w:t xml:space="preserve">6.2.1 cppcheck misra.py 基线接入</w:t>
      </w:r>
      <w:bookmarkEnd w:id="2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内容：将 cppcheck 官方 MISRA 插件（misra.py）作为 L3 基线通道接入，其告警统一归入 SARIF，自研 17 条 MISRA 规则转为补齐其未覆盖项。理由：技术方案 V1.2 第 45 页明确承诺以 misra.py 为基，此为唯一未兑现的复用承诺，且与外部建议书形成共识。验收标准：misra.py 告警出现在 results.sarif 与 Web 告警中心；全量测试与 Juliet 语料回归不劣化。预估工作量：约一个工作日。</w:t>
      </w:r>
    </w:p>
    <w:p>
      <w:pPr>
        <w:pStyle w:val="Heading3"/>
        <w:spacing w:after="100" w:before="200" w:line="330" w:lineRule="atLeast"/>
      </w:pPr>
      <w:bookmarkStart w:name="_Toc27" w:id="27"/>
      <w:r>
        <w:rPr>
          <w:rFonts w:ascii="Times New Roman" w:eastAsia="SimHei"/>
          <w:b/>
          <w:bCs/>
          <w:color w:val="153F49"/>
          <w:sz w:val="28"/>
          <w:szCs w:val="28"/>
        </w:rPr>
        <w:t xml:space="preserve">6.2.2 元认知校验增强</w:t>
      </w:r>
      <w:bookmarkEnd w:id="2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内容：在现有三道闸（JSON 强制解析、行号越界降级、调用失败降级）基础上增加两类校验：代码片段一致性（大模型引用的代码逐字比对源文件）与上下文自洽（结论对照调用图与 ISR 标记，例如声称递归须调用图证实）。理由：与建议书元认知 Critic 机制互补，直接服务于幻觉抑制这一核心议题。验收标准：构造幻觉用例集（伪行号、伪代码、伪结论）全部被拦截降级；分诊回归测试通过。预估工作量：两至三个工作日。</w:t>
      </w:r>
    </w:p>
    <w:p>
      <w:pPr>
        <w:pStyle w:val="Heading2"/>
        <w:spacing w:after="120" w:before="260" w:line="360" w:lineRule="atLeast"/>
      </w:pPr>
      <w:bookmarkStart w:name="_Toc28" w:id="28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6.3 P1 中期增强项</w:t>
      </w:r>
      <w:bookmarkEnd w:id="2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P1 共五项，内容与预估工作量如表 7 所示。其中跨函数数据流为当前检测深度的最大短板，优先考虑深化 cppcheck 跨翻译单元能力，若效果不达预期再评估接入 Joern 代码属性图。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53F49"/>
          <w:sz w:val="21"/>
          <w:szCs w:val="21"/>
        </w:rPr>
        <w:t xml:space="preserve">表 7  P1 增强项清单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933"/>
        <w:gridCol w:w="5097"/>
        <w:gridCol w:w="1758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事项</w:t>
            </w:r>
          </w:p>
        </w:tc>
        <w:tc>
          <w:tcPr>
            <w:tcW w:type="pct" w:w="29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内容概要</w:t>
            </w:r>
          </w:p>
        </w:tc>
        <w:tc>
          <w:tcPr>
            <w:tcW w:type="pct" w:w="10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工作量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链接脚本解析</w:t>
            </w:r>
          </w:p>
        </w:tc>
        <w:tc>
          <w:tcPr>
            <w:tcW w:type="pct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提取栈/堆大小与内存段边界，服务栈溢出判定（规则与大模型上下文两用）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3–5 天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编译配置注入</w:t>
            </w:r>
          </w:p>
        </w:tc>
        <w:tc>
          <w:tcPr>
            <w:tcW w:type="pct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目标架构/优化等级等影响 volatile 与内存序判断的要素进入分诊提示词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1 天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分诊领域化路由</w:t>
            </w:r>
          </w:p>
        </w:tc>
        <w:tc>
          <w:tcPr>
            <w:tcW w:type="pct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内存安全/实时资源两类专业提示词（建议书智能体分工的轻量实现）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2–3 天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CI 集成</w:t>
            </w:r>
          </w:p>
        </w:tc>
        <w:tc>
          <w:tcPr>
            <w:tcW w:type="pct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Web 控制台接收 webhook 触发扫描，配置 Critical 阻断/High 告警门控阈值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2–3 天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跨函数数据流</w:t>
            </w:r>
          </w:p>
        </w:tc>
        <w:tc>
          <w:tcPr>
            <w:tcW w:type="pct" w:w="2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深化 cppcheck 跨翻译单元能力或接入 Joern 代码属性图</w:t>
            </w:r>
          </w:p>
        </w:tc>
        <w:tc>
          <w:tcPr>
            <w:tcW w:type="pct" w:w="1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1–2 周</w:t>
            </w:r>
          </w:p>
        </w:tc>
      </w:tr>
    </w:tbl>
    <w:p>
      <w:pPr>
        <w:pStyle w:val="Heading2"/>
        <w:spacing w:after="120" w:before="260" w:line="360" w:lineRule="atLeast"/>
      </w:pPr>
      <w:bookmarkStart w:name="_Toc29" w:id="29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6.4 P2 远期储备项</w:t>
      </w:r>
      <w:bookmarkEnd w:id="2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P2 三项：人工复核反馈回写提示词精炼（需先积累标注数据）；Unicorn 与 Renode 仿真执行档落地（探测位已就绪，需真实固件语料）；大小模型分工（大模型作 Critic 、小模型作并行审查员，需真实端点使用数据支撑成本评估）。此外，Toyota ITC 全量基准与 Juliet 基准成稿列入远期，待联网环境允许后执行。</w:t>
      </w:r>
    </w:p>
    <w:p>
      <w:pPr>
        <w:pStyle w:val="Heading2"/>
        <w:spacing w:after="120" w:before="260" w:line="360" w:lineRule="atLeast"/>
      </w:pPr>
      <w:bookmarkStart w:name="_Toc30" w:id="30"/>
      <w:r>
        <w:rPr>
          <w:rFonts w:ascii="Times New Roman" w:eastAsia="SimHei"/>
          <w:b/>
          <w:bCs/>
          <w:color w:val="153F49"/>
          <w:sz w:val="30"/>
          <w:szCs w:val="30"/>
        </w:rPr>
        <w:t xml:space="preserve">6.5 里程碑规划</w:t>
      </w:r>
      <w:bookmarkEnd w:id="30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53F49"/>
          <w:sz w:val="21"/>
          <w:szCs w:val="21"/>
        </w:rPr>
        <w:t xml:space="preserve">表 8  里程碑与出口标准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879"/>
        <w:gridCol w:w="1406"/>
        <w:gridCol w:w="3515"/>
        <w:gridCol w:w="2988"/>
      </w:tblGrid>
      <w:tr>
        <w:trPr>
          <w:cantSplit/>
          <w:tblHeader/>
        </w:trPr>
        <w:tc>
          <w:tcPr>
            <w:tcW w:type="pct" w:w="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里程碑</w:t>
            </w:r>
          </w:p>
        </w:tc>
        <w:tc>
          <w:tcPr>
            <w:tcW w:type="pct" w:w="8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时间窗</w:t>
            </w:r>
          </w:p>
        </w:tc>
        <w:tc>
          <w:tcPr>
            <w:tcW w:type="pct" w:w="20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pct" w:w="17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出口标准</w:t>
            </w:r>
          </w:p>
        </w:tc>
      </w:tr>
      <w:tr>
        <w:trPr>
          <w:cantSplit/>
          <w:tblHeader w:val="off"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M1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2026 Q4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P0 两项 + v1.2 代码提交归档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misra.py 告警入 SARIF；幻觉拦截用例全部通过</w:t>
            </w:r>
          </w:p>
        </w:tc>
      </w:tr>
      <w:tr>
        <w:trPr>
          <w:cantSplit/>
          <w:tblHeader w:val="off"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M2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2027 Q1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P1 前四项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门控在示例工程上跑通</w:t>
            </w:r>
          </w:p>
        </w:tc>
      </w:tr>
      <w:tr>
        <w:trPr>
          <w:cantSplit/>
          <w:tblHeader w:val="off"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M3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2027 Q2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跨函数数据流 + Juliet 全量基准成稿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检出率报告产出并回填方案表 3-5</w:t>
            </w:r>
          </w:p>
        </w:tc>
      </w:tr>
      <w:tr>
        <w:trPr>
          <w:cantSplit/>
          <w:tblHeader w:val="off"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M4</w:t>
            </w:r>
          </w:p>
        </w:tc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2027 Q3 至 Q4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仿真档落地 + 试点部署准备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仿真档由可用性探测升级为执行回路</w:t>
            </w:r>
          </w:p>
        </w:tc>
      </w:tr>
    </w:tbl>
    <w:p>
      <w:pPr>
        <w:pStyle w:val="Heading1"/>
        <w:spacing w:after="160" w:before="360" w:line="380" w:lineRule="atLeast"/>
        <w:jc w:val="center"/>
      </w:pPr>
      <w:bookmarkStart w:name="_Toc31" w:id="31"/>
      <w:r>
        <w:rPr>
          <w:rFonts w:ascii="Times New Roman" w:eastAsia="SimHei"/>
          <w:b/>
          <w:bCs/>
          <w:color w:val="153F49"/>
          <w:sz w:val="32"/>
          <w:szCs w:val="32"/>
        </w:rPr>
        <w:t xml:space="preserve">7 风险分析与应对</w:t>
      </w:r>
      <w:bookmarkEnd w:id="3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项目推进中需重点管理的风险及其应对措施如表 9 所示。总体而言，最大的工程风险不是大模型能力不足，而是误报率失控导致使用者弃用系统，因此宁可漏报不可误报应作为第一版本的设计原则持续坚守。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153F49"/>
          <w:sz w:val="21"/>
          <w:szCs w:val="21"/>
        </w:rPr>
        <w:t xml:space="preserve">表 9  风险清单与应对</w:t>
      </w:r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933"/>
        <w:gridCol w:w="2285"/>
        <w:gridCol w:w="4570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风险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影响</w:t>
            </w:r>
          </w:p>
        </w:tc>
        <w:tc>
          <w:tcPr>
            <w:tcW w:type="pct" w:w="26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应对措施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误报率失控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开发者弃用系统</w:t>
            </w:r>
          </w:p>
        </w:tc>
        <w:tc>
          <w:tcPr>
            <w:tcW w:type="pct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坚守静态锚点优先与降级机制；消融指标纳入每版回归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大模型输出不稳定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分诊质量波动</w:t>
            </w:r>
          </w:p>
        </w:tc>
        <w:tc>
          <w:tcPr>
            <w:tcW w:type="pct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三道闸 + P0 元认知校验；Mock 客户端保证离线可测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检测深度不足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试点说服力弱</w:t>
            </w:r>
          </w:p>
        </w:tc>
        <w:tc>
          <w:tcPr>
            <w:tcW w:type="pct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P1 跨函数数据流补强；外部引擎适配补位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仿真语料缺乏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动态通道停留宿主机档</w:t>
            </w:r>
          </w:p>
        </w:tc>
        <w:tc>
          <w:tcPr>
            <w:tcW w:type="pct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与试点单位协商获取固件样本；先以开源 RTOS 固件练手</w:t>
            </w:r>
          </w:p>
        </w:tc>
      </w:tr>
      <w:tr>
        <w:trPr>
          <w:cantSplit/>
          <w:tblHeader w:val="off"/>
        </w:trPr>
        <w:tc>
          <w:tcPr>
            <w:tcW w:type="pct" w:w="1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增量指纹含行号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代码移动误报新增/已解决</w:t>
            </w:r>
          </w:p>
        </w:tc>
        <w:tc>
          <w:tcPr>
            <w:tcW w:type="pct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上下文哈希缓解列入 P1 备选</w:t>
            </w:r>
          </w:p>
        </w:tc>
      </w:tr>
    </w:tbl>
    <w:p>
      <w:pPr>
        <w:pStyle w:val="Heading1"/>
        <w:spacing w:after="160" w:before="360" w:line="380" w:lineRule="atLeast"/>
        <w:jc w:val="center"/>
      </w:pPr>
      <w:bookmarkStart w:name="_Toc32" w:id="32"/>
      <w:r>
        <w:rPr>
          <w:rFonts w:ascii="Times New Roman" w:eastAsia="SimHei"/>
          <w:b/>
          <w:bCs/>
          <w:color w:val="153F49"/>
          <w:sz w:val="32"/>
          <w:szCs w:val="32"/>
        </w:rPr>
        <w:t xml:space="preserve">8 结语</w:t>
      </w:r>
      <w:bookmarkEnd w:id="32"/>
    </w:p>
    <w:p>
      <w:pPr>
        <w:spacing w:after="20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本项目当前处于骨架完整、工程化扎实、单点深度有限的阶段：从工程注册到报告产出、从告警研判到修复验证、从代码浏览到版本对比的全流程已经贯通且有 187 项测试与消融实验数据支撑；后续工作应按本文档第 6 章的优先级顺序推进，以评测数据驱动迭代，为 2027 年下半年的试点部署奠定基础。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ROMAN \* MERGEFORMAT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arabic \* MERGEFORMAT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ecdet 项目现状介绍与后续改进计划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80"/>
      <w:outlineLvl w:val="0"/>
    </w:pPr>
    <w:rPr>
      <w:rFonts w:ascii="Times New Roman" w:eastAsia="SimHei"/>
      <w:b/>
      <w:bCs/>
      <w:color w:val="153F4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 w:line="360"/>
      <w:outlineLvl w:val="1"/>
    </w:pPr>
    <w:rPr>
      <w:rFonts w:ascii="Times New Roman" w:eastAsia="SimHei"/>
      <w:b/>
      <w:bCs/>
      <w:color w:val="153F4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 w:line="330"/>
      <w:outlineLvl w:val="2"/>
    </w:pPr>
    <w:rPr>
      <w:rFonts w:ascii="Times New Roman" w:eastAsia="SimHei"/>
      <w:b/>
      <w:bCs/>
      <w:color w:val="153F49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image" Target="media/f0b3a7757cdc68de60e6ba87c0c31d0b963ccd3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ecdet 项目现状介绍与后续改进计划</dc:title>
  <dc:creator>ecdet 项目组</dc:creator>
  <cp:lastModifiedBy>Un-named</cp:lastModifiedBy>
  <cp:revision>1</cp:revision>
  <dcterms:created xsi:type="dcterms:W3CDTF">2026-10-26T12:55:58.630Z</dcterms:created>
  <dcterms:modified xsi:type="dcterms:W3CDTF">2026-10-26T12:55:58.633Z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