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3746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E  C  D  E  T     P  R  O  J  E  C  T     B  R  I  E  F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ecdet 项目简介与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改进计划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嵌入式软件代码缺陷与安全漏洞检测系统 · v1.2.0</w:t>
            </w:r>
          </w:p>
          <w:p>
            <w:pPr>
              <w:pBdr>
                <w:left w:val="single" w:color="37DCF2" w:sz="8" w:space="12"/>
              </w:pBdr>
              <w:spacing w:after="6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文档类型：项目汇报材料（精简版）</w:t>
            </w:r>
          </w:p>
          <w:p>
            <w:pPr>
              <w:pBdr>
                <w:left w:val="single" w:color="37DCF2" w:sz="8" w:space="12"/>
              </w:pBdr>
              <w:spacing w:after="6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当前版本：ecdet v1.2.0（2026 年 10 月）</w:t>
            </w:r>
          </w:p>
          <w:p>
            <w:pPr>
              <w:pBdr>
                <w:left w:val="single" w:color="37DCF2" w:sz="8" w:space="12"/>
              </w:pBdr>
              <w:spacing w:after="6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编制：ecdet 项目组</w:t>
            </w:r>
          </w:p>
          <w:p>
            <w:pPr>
              <w:spacing w:before="3746"/>
            </w:pPr>
          </w:p>
          <w:p>
            <w:pPr>
              <w:pBdr>
                <w:top w:val="single" w:color="37DCF2" w:sz="2" w:space="8"/>
              </w:pBdr>
              <w:spacing w:before="1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ecdet 项目组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2026 年 10 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spacing w:after="140" w:before="300" w:line="380" w:lineRule="atLeast"/>
      </w:pPr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1 项目现状一览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ecdet 是面向汽车电子与工控场景的嵌入式 C/C++ 代码检测系统：输入一个工程目录，输出缺陷与安全漏洞的告警、合规报告和经验证的修复补丁。系统采用静态与动态双通道为骨架、大模型多智能体协同为中枢、工具验证与证据链为约束的五层架构（见表 1），当前版本 v1.2.0：五层流水线全部贯通，自动化测试 187 项全部通过，核心运行零第三方依赖，可在无网环境离线部署。</w:t>
      </w:r>
    </w:p>
    <w:p>
      <w:pPr>
        <w:keepNext/>
        <w:spacing w:after="70" w:before="140"/>
        <w:jc w:val="center"/>
      </w:pPr>
      <w:r>
        <w:rPr>
          <w:rFonts w:ascii="Times New Roman" w:eastAsia="SimHei"/>
          <w:b/>
          <w:bCs/>
          <w:color w:val="153F49"/>
          <w:sz w:val="21"/>
          <w:szCs w:val="21"/>
        </w:rPr>
        <w:t xml:space="preserve">表 1  五层架构与职责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285"/>
        <w:gridCol w:w="6503"/>
      </w:tblGrid>
      <w:tr>
        <w:trPr>
          <w:cantSplit/>
          <w:tblHeader/>
        </w:trPr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37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职责概要</w:t>
            </w:r>
          </w:p>
        </w:tc>
      </w:tr>
      <w:tr>
        <w:trPr>
          <w:cantSplit/>
          <w:tblHeader w:val="off"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L1 构建复现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任意工程（含 Keil/IAR 专有格式）归一为标准编译数据库</w:t>
            </w:r>
          </w:p>
        </w:tc>
      </w:tr>
      <w:tr>
        <w:trPr>
          <w:cantSplit/>
          <w:tblHeader w:val="off"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L2 统一表示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多引擎告警统一为 SARIF 2.1.0 行业标准格式</w:t>
            </w:r>
          </w:p>
        </w:tc>
      </w:tr>
      <w:tr>
        <w:trPr>
          <w:cantSplit/>
          <w:tblHeader w:val="off"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L3 双通道分析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静态：30 条规则 + 抽象解释 + 外部引擎；动态：自动生成测试驱动真实执行</w:t>
            </w:r>
          </w:p>
        </w:tc>
      </w:tr>
      <w:tr>
        <w:trPr>
          <w:cantSplit/>
          <w:tblHeader w:val="off"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L4 大模型协同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告警分诊（误报过滤）+ 修复建议 + 六智能体编排</w:t>
            </w:r>
          </w:p>
        </w:tc>
      </w:tr>
      <w:tr>
        <w:trPr>
          <w:cantSplit/>
          <w:tblHeader w:val="off"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L5 聚合与报告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去重、CWE/MISRA/GJB 双口径、可证明性分级、合规报告</w:t>
            </w:r>
          </w:p>
        </w:tc>
      </w:tr>
      <w:tr>
        <w:trPr>
          <w:cantSplit/>
          <w:tblHeader w:val="off"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Web 控制台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工程注册、扫描任务、告警复核、一键修复、代码浏览与版本对比</w:t>
            </w:r>
          </w:p>
        </w:tc>
      </w:tr>
    </w:tbl>
    <w:p>
      <w:pPr>
        <w:pStyle w:val="Heading1"/>
        <w:spacing w:after="140" w:before="300" w:line="380" w:lineRule="atLeast"/>
      </w:pPr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2 已实现功能概览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检测能力与工程化设施的主要内容如表 2 所示。其中硬件语义建模与动态执行验证是相对通用工具的差异化能力，大模型幻觉抑制三道闸（强制 JSON、行号核对、失败降级）与修复验证闭环（补丁须通过重扫消警 + gcc 语法检查才采纳）是可靠性的核心保障。</w:t>
      </w:r>
    </w:p>
    <w:p>
      <w:pPr>
        <w:keepNext/>
        <w:spacing w:after="70" w:before="140"/>
        <w:jc w:val="center"/>
      </w:pPr>
      <w:r>
        <w:rPr>
          <w:rFonts w:ascii="Times New Roman" w:eastAsia="SimHei"/>
          <w:b/>
          <w:bCs/>
          <w:color w:val="153F49"/>
          <w:sz w:val="21"/>
          <w:szCs w:val="21"/>
        </w:rPr>
        <w:t xml:space="preserve">表 2  已实现能力清单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285"/>
        <w:gridCol w:w="6503"/>
      </w:tblGrid>
      <w:tr>
        <w:trPr>
          <w:cantSplit/>
          <w:tblHeader/>
        </w:trPr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能力</w:t>
            </w:r>
          </w:p>
        </w:tc>
        <w:tc>
          <w:tcPr>
            <w:tcW w:type="pct" w:w="37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规则引擎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30 条内置规则（MISRA C:2012 子集 17、CERT C 5、缺陷与硬件语义各 4），cppcheck/clang-tidy/ESBMC 检测到安装即接入</w:t>
            </w:r>
          </w:p>
        </w:tc>
      </w:tr>
      <w:tr>
        <w:trPr>
          <w:cantSplit/>
          <w:tblHeader w:val="off"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硬件语义建模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解析芯片 SVD 描述文件检出寄存器误用；ISR 竞态/volatile/阻塞调用三类并发缺陷</w:t>
            </w:r>
          </w:p>
        </w:tc>
      </w:tr>
      <w:tr>
        <w:trPr>
          <w:cantSplit/>
          <w:tblHeader w:val="off"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可证明性分级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抽象解释数学证明在界/越界，已证明/已检出/待研判三级输出</w:t>
            </w:r>
          </w:p>
        </w:tc>
      </w:tr>
      <w:tr>
        <w:trPr>
          <w:cantSplit/>
          <w:tblHeader w:val="off"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动态通道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自动生成测试驱动真实执行，崩溃即产出可一键重放的 PoC 实证</w:t>
            </w:r>
          </w:p>
        </w:tc>
      </w:tr>
      <w:tr>
        <w:trPr>
          <w:cantSplit/>
          <w:tblHeader w:val="off"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大模型分诊与修复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误报过滤三道闸；修复建议经验证闭环采纳，支持自动写入与迭代收敛</w:t>
            </w:r>
          </w:p>
        </w:tc>
      </w:tr>
      <w:tr>
        <w:trPr>
          <w:cantSplit/>
          <w:tblHeader w:val="off"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增量分析与评测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变更影响集 + 告警基线差分；七配置消融实验量化各模块净贡献</w:t>
            </w:r>
          </w:p>
        </w:tc>
      </w:tr>
      <w:tr>
        <w:trPr>
          <w:cantSplit/>
          <w:tblHeader w:val="off"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Web 控制台</w:t>
            </w:r>
          </w:p>
        </w:tc>
        <w:tc>
          <w:tcPr>
            <w:tcW w:type="pct" w:w="3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运行级源码快照、代码浏览（告警行标注）、两次运行的版本对比（diff + 告警差分）</w:t>
            </w:r>
          </w:p>
        </w:tc>
      </w:tr>
    </w:tbl>
    <w:p>
      <w:pPr>
        <w:pStyle w:val="Heading1"/>
        <w:spacing w:after="140" w:before="300" w:line="380" w:lineRule="atLeast"/>
      </w:pPr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3 后续改进计划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改进项按优先级分为三级（见表 3）：P0 立即启动，P1 近期（一至两个月），P2 存在数据或语料依赖、待条件成熟后启动。设计原则上继续坚守误报控制优先：宁可漏报，不可误报。</w:t>
      </w:r>
    </w:p>
    <w:p>
      <w:pPr>
        <w:keepNext/>
        <w:spacing w:after="70" w:before="140"/>
        <w:jc w:val="center"/>
      </w:pPr>
      <w:r>
        <w:rPr>
          <w:rFonts w:ascii="Times New Roman" w:eastAsia="SimHei"/>
          <w:b/>
          <w:bCs/>
          <w:color w:val="153F49"/>
          <w:sz w:val="21"/>
          <w:szCs w:val="21"/>
        </w:rPr>
        <w:t xml:space="preserve">表 3  后续改进项（按优先级）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406"/>
        <w:gridCol w:w="2988"/>
        <w:gridCol w:w="4394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pct" w:w="17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事项</w:t>
            </w:r>
          </w:p>
        </w:tc>
        <w:tc>
          <w:tcPr>
            <w:tcW w:type="pct" w:w="2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说明与工作量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C0392B"/>
                <w:sz w:val="21"/>
                <w:szCs w:val="21"/>
              </w:rPr>
              <w:t xml:space="preserve">P0 立即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接入 cppcheck misra.py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作为 MISRA 基线通道并入 SARIF，同时关闭技术方案的复用承诺缺口；约 1 天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C0392B"/>
                <w:sz w:val="21"/>
                <w:szCs w:val="21"/>
              </w:rPr>
              <w:t xml:space="preserve">P0 立即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元认知校验增强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大模型引用代码逐字比对源码、结论对照调用图自洽，拦截幻觉；2–3 天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C07A1E"/>
                <w:sz w:val="21"/>
                <w:szCs w:val="21"/>
              </w:rPr>
              <w:t xml:space="preserve">P1 近期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链接脚本与编译配置上下文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栈/堆大小解析、目标架构与优化等级注入分诊；合计约 1 周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C07A1E"/>
                <w:sz w:val="21"/>
                <w:szCs w:val="21"/>
              </w:rPr>
              <w:t xml:space="preserve">P1 近期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分诊领域化路由 + CI 门控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内存/实时两类专业提示词；Web 控制台增加 webhook 触发与门控阈值；约 1 周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C07A1E"/>
                <w:sz w:val="21"/>
                <w:szCs w:val="21"/>
              </w:rPr>
              <w:t xml:space="preserve">P1 近期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跨函数数据流补强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深化 cppcheck 跨翻译单元能力或接入 Joern；当前最大深度短板；1–2 周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6B7280"/>
                <w:sz w:val="21"/>
                <w:szCs w:val="21"/>
              </w:rPr>
              <w:t xml:space="preserve">P2 远期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仿真执行档与反馈回写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Unicorn/Renode 仿真档落地需固件语料；prompt 精炼需先积累人工复核标注数据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上述计划的总体节奏：2026 年四季度完成 P0 两项并将 v1.2 代码提交归档，2027 年上半年完成 P1 增强项与 Juliet 全量基准报告，下半年结合试点部署推进仿真档落地，为试点验收奠定基础。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arabic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ecdet 项目简介与改进计划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 w:line="380"/>
      <w:outlineLvl w:val="0"/>
    </w:pPr>
    <w:rPr>
      <w:rFonts w:ascii="Times New Roman" w:eastAsia="SimHei"/>
      <w:b/>
      <w:bCs/>
      <w:color w:val="153F49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ecdet 项目简介与改进计划</dc:title>
  <dc:creator>ecdet 项目组</dc:creator>
  <cp:lastModifiedBy>Un-named</cp:lastModifiedBy>
  <cp:revision>1</cp:revision>
  <dcterms:created xsi:type="dcterms:W3CDTF">2026-10-26T13:06:46.369Z</dcterms:created>
  <dcterms:modified xsi:type="dcterms:W3CDTF">2026-10-26T13:06:46.370Z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