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MediaHub Windows / Android</w:t>
      </w:r>
    </w:p>
    <w:p>
      <w:pPr>
        <w:pStyle w:val="Title"/>
      </w:pPr>
      <w:r>
        <w:t>W6 跨设备播放源与配置同步</w:t>
      </w:r>
    </w:p>
    <w:p>
      <w:pPr>
        <w:pStyle w:val="Subtitle"/>
      </w:pPr>
      <w:r>
        <w:t>Codex 可执行开发任务书  ·  2026-10-14  ·  Android ↔ Windows  ·  优先级 P0</w:t>
      </w:r>
    </w:p>
    <w:p>
      <w:r>
        <w:rPr>
          <w:b/>
          <w:color w:val="182B43"/>
        </w:rPr>
        <w:t>最终用户体验：</w:t>
      </w:r>
      <w:r>
        <w:t>手机已经配置好的 Emby / Jellyfin / Plex / WebDAV 来源，可以通过电脑二维码配对一次性迁移；之后在用户授权、双方应用可用时执行增量双向同步，不再反复手动添加来源。</w:t>
      </w:r>
    </w:p>
    <w:p>
      <w:r>
        <w:rPr>
          <w:b/>
          <w:color w:val="182B43"/>
        </w:rPr>
        <w:t>交付边界：</w:t>
      </w:r>
      <w:r>
        <w:t>本任务必须实际修改 Android 和 Windows 两端，实现从现有真实保存数据到目标客户端可使用状态的端到端闭环。只做导出 JSON、假 QR、空同步界面或只实现 Windows 单端均不算完成。</w:t>
      </w:r>
    </w:p>
    <w:p>
      <w:pPr>
        <w:pStyle w:val="Heading1"/>
      </w:pPr>
      <w:r>
        <w:t>01  当前基线与实施约束</w:t>
      </w:r>
    </w:p>
    <w:p>
      <w:r>
        <w:t>仓库：https://github.com/fwzm/MediaHub。来自 W5 交接：Windows 分支 feature/windows-client，PR #33 为 OPEN / Draft；历史 head c3d957b4d5843a95629222114aedb93d3a657447。Windows 已有 .NET 10 / WinUI 3 / libmpv、每源 NetworkPolicy、DPAPI 凭据库、Emby/Jellyfin/WebDAV 适配；Android 使用 Kotlin / Compose 和现有 Provider、备份恢复及安全存储体系。以上状态均需由 Codex 实际核查。</w:t>
      </w:r>
    </w:p>
    <w:p>
      <w:pPr>
        <w:pStyle w:val="ListBullet"/>
      </w:pPr>
      <w:r>
        <w:t>开始前 fetch 并审计当前 Android 来源模型、数据库/配置存储、备份恢复、Token/账号存储、服务器 ID、网络代理策略、以及 Windows SourceRegistry / 凭据库 / Provider 工厂与设置 UI。输出真实文件路径、现有接口、迁移约束。</w:t>
      </w:r>
    </w:p>
    <w:p>
      <w:pPr>
        <w:pStyle w:val="ListBullet"/>
      </w:pPr>
      <w:r>
        <w:t>由于跨端任务需要修改 Android 与 Windows，建议从 PR #33 最新 Windows HEAD 建立 feature/cross-device-source-sync 分支，创建以 feature/windows-client 为 base 的独立 stacked PR；若仓库当前策略不支持 stacked PR，给出安全替代，禁止直接改 main 或意外混入别的 PR。</w:t>
      </w:r>
    </w:p>
    <w:p>
      <w:pPr>
        <w:pStyle w:val="ListBullet"/>
      </w:pPr>
      <w:r>
        <w:t>W5 的播放恢复、Emby 实测、WebDAV Browse UI、LGPL 发行与签名阻断仍保持原状态。不得借本任务宣称这些问题已修复，也不得绕过 GPL/签名发布门禁。</w:t>
      </w:r>
    </w:p>
    <w:p>
      <w:pPr>
        <w:pStyle w:val="Heading1"/>
      </w:pPr>
      <w:r>
        <w:t>02  产品方案：首次一键迁移 + 后续双向同步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vAlign w:val="center"/>
            <w:shd w:fill="E8EFF7"/>
          </w:tcPr>
          <w:p>
            <w:r>
              <w:rPr>
                <w:b/>
                <w:sz w:val="17"/>
              </w:rPr>
              <w:t>阶段</w:t>
            </w:r>
          </w:p>
        </w:tc>
        <w:tc>
          <w:tcPr>
            <w:tcW w:type="dxa" w:w="3194"/>
            <w:vAlign w:val="center"/>
            <w:shd w:fill="E8EFF7"/>
          </w:tcPr>
          <w:p>
            <w:r>
              <w:rPr>
                <w:b/>
                <w:sz w:val="17"/>
              </w:rPr>
              <w:t>用户操作</w:t>
            </w:r>
          </w:p>
        </w:tc>
        <w:tc>
          <w:tcPr>
            <w:tcW w:type="dxa" w:w="3194"/>
            <w:vAlign w:val="center"/>
            <w:shd w:fill="E8EFF7"/>
          </w:tcPr>
          <w:p>
            <w:r>
              <w:rPr>
                <w:b/>
                <w:sz w:val="17"/>
              </w:rPr>
              <w:t>必须达到的结果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首次配对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电脑：设置 → 跨设备同步 → 添加手机 → 展示二维码；手机：设置 → 跨设备同步 → 扫码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彼此验证设备身份，显示双方设备名称，用户在两端确认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首次迁移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手机列出已有来源，默认勾选，显示数量与秘密迁移选项；电脑显示预览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一键导入来源，不重复添加，连接测试反馈逐项可见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增量同步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已信任的设备可在同一局域网且应用处于可用状态时自动同步，也支持“立即同步”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新增、编辑、用户确认的删除双向生效，离线变更待下次连接协调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异网备选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无局域网连接时：加密备份文件导出 / 导入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加密文件可跨设备迁移；不能把明文凭据写入文件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设备管理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查看已配对设备、上次同步、同步范围、取消信任</w:t>
            </w:r>
          </w:p>
        </w:tc>
        <w:tc>
          <w:tcPr>
            <w:tcW w:type="dxa" w:w="3194"/>
            <w:vAlign w:val="center"/>
          </w:tcPr>
          <w:p>
            <w:pPr>
              <w:spacing w:after="20"/>
            </w:pPr>
            <w:r>
              <w:rPr>
                <w:sz w:val="16"/>
              </w:rPr>
              <w:t>明确开关，可撤销未来访问，不暗示撤销能清除对方已导入数据</w:t>
            </w:r>
          </w:p>
        </w:tc>
      </w:tr>
    </w:tbl>
    <w:p>
      <w:pPr>
        <w:spacing w:after="0"/>
      </w:pPr>
    </w:p>
    <w:p>
      <w:r>
        <w:t>明确范围：W6 首版同步“媒体源与来源级可迁移配置”，包含名称、类型、服务器地址与基础账号身份；播放历史、收藏、播放列表、媒体缓存暂不并入首版，以免冲突模型失控。可以设计可扩展 schema，但不能把未来功能误报成已实现。</w:t>
      </w:r>
    </w:p>
    <w:p>
      <w:pPr>
        <w:pStyle w:val="Heading1"/>
      </w:pPr>
      <w:r>
        <w:t>03  数据契约与来源身份</w:t>
      </w:r>
    </w:p>
    <w:p>
      <w:pPr>
        <w:pStyle w:val="Heading2"/>
      </w:pPr>
      <w:r>
        <w:t>3.1  跨平台版本化数据契约</w:t>
      </w:r>
    </w:p>
    <w:p>
      <w:pPr>
        <w:pStyle w:val="ListBullet"/>
      </w:pPr>
      <w:r>
        <w:t>定义独立的、版本化的 SourceSyncEnvelope（如 schemaVersion、deviceId、snapshotId、sources、deletions、capabilities）；每条来源包含稳定 syncSourceId（UUID）、sourceType、displayName、endpoint、accountScope、sourceRevision、fieldVersion 等必要字段。实际命名与字段应由仓库现状决定。</w:t>
      </w:r>
    </w:p>
    <w:p>
      <w:pPr>
        <w:pStyle w:val="ListBullet"/>
      </w:pPr>
      <w:r>
        <w:t>不要直接序列化 Android Room/DataStore 或 Windows 内部 DTO，也不要复制 DPAPI 密文、Android Keystore 密文、数据库文件和设备特定密钥。通过双端 ExportAdapter/ImportAdapter 转换，并提供 schema 校验、升级与向后兼容策略。</w:t>
      </w:r>
    </w:p>
    <w:p>
      <w:pPr>
        <w:pStyle w:val="ListBullet"/>
      </w:pPr>
      <w:r>
        <w:t>区分“可跨设备字段”与“设备本地字段”：本地文件路径、GPU/解码器、缓存目录、音频设备、窗口配置、局域网代理端口、设备唯一 ID 不直接同步；无法访问的服务器地址导入后要明确显示为待连接，而不是删除。</w:t>
      </w:r>
    </w:p>
    <w:p>
      <w:pPr>
        <w:pStyle w:val="Heading2"/>
      </w:pPr>
      <w:r>
        <w:t>3.2  幂等与冲突</w:t>
      </w:r>
    </w:p>
    <w:p>
      <w:pPr>
        <w:pStyle w:val="ListBullet"/>
      </w:pPr>
      <w:r>
        <w:t>优先使用持久化 syncSourceId 确定同一来源。现有记录尚无全局 ID 时通过一次性映射表迁移；仅在来源类型 + 规范化 endpoint + accountScope 一致且无歧义时建议合并，同服务器不同用户必须分开。</w:t>
      </w:r>
    </w:p>
    <w:p>
      <w:pPr>
        <w:pStyle w:val="ListBullet"/>
      </w:pPr>
      <w:r>
        <w:t>首次同步提供“新增 / 已存在 / 冲突 / 跳过”的变更预览；默认禁止静默覆盖用户凭据与已有设置。重复导入相同快照、断线重传都必须幂等。</w:t>
      </w:r>
    </w:p>
    <w:p>
      <w:pPr>
        <w:pStyle w:val="ListBullet"/>
      </w:pPr>
      <w:r>
        <w:t>增量同步维护记录级版本/变更日志，正确处理两端离线编辑、删除墓碑与版本冲突。禁止只靠不同设备的本地墙上时间做最后写入胜出。冲突按来源列出并允许用户选择；删除同步必须启用并确认，防误删。</w:t>
      </w:r>
    </w:p>
    <w:p>
      <w:pPr>
        <w:pStyle w:val="Heading1"/>
      </w:pPr>
      <w:r>
        <w:t>04  安全：同步凭据与“免重复登录”的现实边界</w:t>
      </w:r>
    </w:p>
    <w:p>
      <w:r>
        <w:t>用户期望是“手机已登录，电脑尽可能直接可用”。实现应最大程度迁移凭据，但必须区分可迁移凭据、设备绑定令牌和必须重新授权的登录会话。</w:t>
      </w:r>
    </w:p>
    <w:p>
      <w:pPr>
        <w:pStyle w:val="ListBullet"/>
      </w:pPr>
      <w:r>
        <w:t>首次默认同步非敏感来源配置；提供清晰的“同时迁移可迁移的登录信息”选项和双端授权确认。迁移源账号密码/Token 时，只有在当前端能依法、按 API 读取且协议允许的前提下才转移。不能为“免登录”导出 Android Keystore 私钥或 Windows DPAPI 主密钥。</w:t>
      </w:r>
    </w:p>
    <w:p>
      <w:pPr>
        <w:pStyle w:val="ListBullet"/>
      </w:pPr>
      <w:r>
        <w:t>传输须经过经身份确认的加密通道。优先使用有维护的 TLS 1.3 与二维码内证书公钥指纹钉扎，或经审计的成熟安全握手实现；不要自创加密协议。二维码可以携带临时设备地址、单次配对挑战、公钥指纹，禁止承载长期服务器密码或 Token。</w:t>
      </w:r>
    </w:p>
    <w:p>
      <w:pPr>
        <w:pStyle w:val="ListBullet"/>
      </w:pPr>
      <w:r>
        <w:t>配对操作短时有效、一次性消耗，双方显示设备身份并确认。后续同步使用独立设备身份凭据与明确的信任记录；执行重放防护、认证失败速率限制、消息完整性与长度校验、权限撤销。</w:t>
      </w:r>
    </w:p>
    <w:p>
      <w:pPr>
        <w:pStyle w:val="ListBullet"/>
      </w:pPr>
      <w:r>
        <w:t>Android 只从其已获授权的存储接口读取秘密；Windows 导入后立即使用当前 Windows 用户的 Credential Manager/DPAPI 重新封存。禁止将可复用 Token 打入日志、QR、URI、Crash Trace、截图或分析数据。</w:t>
      </w:r>
    </w:p>
    <w:p>
      <w:pPr>
        <w:pStyle w:val="ListBullet"/>
      </w:pPr>
      <w:r>
        <w:t>按来源验证迁移后的认证是否仍有效。Emby/Jellyfin 的设备会话与 Plex 令牌可能具备不同绑定或刷新语义：能复用就安全验证后使用，不能复用则对该来源单独提示重新登录，其他来源不受影响；切勿静默复制失效令牌并显示“同步成功=已登录”。</w:t>
      </w:r>
    </w:p>
    <w:p>
      <w:pPr>
        <w:pStyle w:val="ListBullet"/>
      </w:pPr>
      <w:r>
        <w:t>不得为同步关闭证书校验、允许任意重定向携带认证信息、对公网开放无认证端口，或绕过现有每媒体源 NetworkPolicy / 凭据隔离。</w:t>
      </w:r>
    </w:p>
    <w:p>
      <w:pPr>
        <w:pStyle w:val="Heading1"/>
      </w:pPr>
      <w:r>
        <w:t>05  设备发现、配对与网络生命周期</w:t>
      </w:r>
    </w:p>
    <w:p>
      <w:pPr>
        <w:pStyle w:val="ListBullet"/>
      </w:pPr>
      <w:r>
        <w:t>Windows 端生成二维码并按用户明确操作启动临时配对监听；Android 端扫描。可利用 Android NsdManager / DNS-SD 做局域网发现，发现失败可扫描二维码直接连接，必要时提供手工地址/配对码作为降级。</w:t>
      </w:r>
    </w:p>
    <w:p>
      <w:pPr>
        <w:pStyle w:val="ListBullet"/>
      </w:pPr>
      <w:r>
        <w:t>Windows 只在用户许可的私有网络接口上监听、限制连接来源和服务范围，记录防火墙权限提示；严禁默认永久监听全部网卡。首次配对结束关闭临时监听。自动同步仅在用户开启、受信任、应用实际运行且网络可达时进行，不应偷偷安装后台服务或维持常驻端口。</w:t>
      </w:r>
    </w:p>
    <w:p>
      <w:pPr>
        <w:pStyle w:val="ListBullet"/>
      </w:pPr>
      <w:r>
        <w:t>两个客户端通过认证会话传输加密同步数据。需要网络中断重试、会话超时、取消、重放防护、背压/消息大小上限和断点后的幂等重试；禁用无界任务与缓冲区。</w:t>
      </w:r>
    </w:p>
    <w:p>
      <w:pPr>
        <w:pStyle w:val="ListBullet"/>
      </w:pPr>
      <w:r>
        <w:t>不能把“手机和电脑同时在线”理解为“公网随时同步”。首版明确是本地配对 + 局域网增量同步；跨网实时云同步仅保留扩展设计，不要求账户系统、云服务器或上传媒体源凭据到第三方服务。</w:t>
      </w:r>
    </w:p>
    <w:p>
      <w:pPr>
        <w:pStyle w:val="Heading1"/>
      </w:pPr>
      <w:r>
        <w:t>06  Android 与 Windows 实际 UI/数据接线</w:t>
      </w:r>
    </w:p>
    <w:p>
      <w:pPr>
        <w:pStyle w:val="Heading2"/>
      </w:pPr>
      <w:r>
        <w:t>6.1  Android 端</w:t>
      </w:r>
    </w:p>
    <w:p>
      <w:pPr>
        <w:pStyle w:val="ListBullet"/>
      </w:pPr>
      <w:r>
        <w:t>设置增加“跨设备同步”：扫描电脑二维码、选择来源、预览迁移范围、确认秘密迁移、查看同步状态、信任设备管理、立即同步/自动同步。按钮必须真实触发存储读取和传输。</w:t>
      </w:r>
    </w:p>
    <w:p>
      <w:pPr>
        <w:pStyle w:val="ListBullet"/>
      </w:pPr>
      <w:r>
        <w:t>不得破坏现有 Android 媒体源配置、备份恢复、Source ID、观看进度或服务认证。如果已有备份 Restore 语义，复用安全映射/迁移规则而不复用不安全的裸包格式。</w:t>
      </w:r>
    </w:p>
    <w:p>
      <w:pPr>
        <w:pStyle w:val="Heading2"/>
      </w:pPr>
      <w:r>
        <w:t>6.2  Windows 端</w:t>
      </w:r>
    </w:p>
    <w:p>
      <w:pPr>
        <w:pStyle w:val="ListBullet"/>
      </w:pPr>
      <w:r>
        <w:t>设置增加“跨设备同步”：展示二维码、连接状态、导入预览、来源数及测试结果、设备授权、上次同步、取消配对；导入后在“媒体源”列表即时出现，可进入当前已有媒体库页。</w:t>
      </w:r>
    </w:p>
    <w:p>
      <w:pPr>
        <w:pStyle w:val="ListBullet"/>
      </w:pPr>
      <w:r>
        <w:t>完成 Windows SourceRegistry/凭据库、ProviderFactory、视图模型与导航实际接线；来源导入后必须持久化，应用重启后可恢复，并且每个来源能够独立进行连接测试。</w:t>
      </w:r>
    </w:p>
    <w:p>
      <w:pPr>
        <w:pStyle w:val="ListBullet"/>
      </w:pPr>
      <w:r>
        <w:t>Android 与 Windows 都能作为发送方和接收方；至少首次 Android→Windows 全流程必须真实可用，再完成 Windows→Android 和后续双向增量。</w:t>
      </w:r>
    </w:p>
    <w:p>
      <w:pPr>
        <w:pStyle w:val="Heading1"/>
      </w:pPr>
      <w:r>
        <w:t>07  无局域网时的加密导入导出</w:t>
      </w:r>
    </w:p>
    <w:p>
      <w:pPr>
        <w:pStyle w:val="ListBullet"/>
      </w:pPr>
      <w:r>
        <w:t>实现版本化的 .mediahub-sync 或等价扩展名的加密归档，采用成熟密码学库的 AEAD（如 AES-256-GCM）与强密码密钥派生方案（优先 Argon2id）；随机盐和随机 nonce，明确参数、归档版本、兼容性与最大体积。</w:t>
      </w:r>
    </w:p>
    <w:p>
      <w:pPr>
        <w:pStyle w:val="ListBullet"/>
      </w:pPr>
      <w:r>
        <w:t>文件默认仅包含非敏感配置；用户明确选择且输入强口令时允许包含可迁移秘密。导入必须校验认证标签、schema、字段大小、记录数量和内容有效性，事务化预览后写入，可取消与回滚。</w:t>
      </w:r>
    </w:p>
    <w:p>
      <w:pPr>
        <w:pStyle w:val="ListBullet"/>
      </w:pPr>
      <w:r>
        <w:t>不得生成包含明文密钥的 URL、二维码、剪贴板或临时目录备份。导入密码错误与数据损坏应能区分为可理解的错误，但不要泄露密码验证细节。</w:t>
      </w:r>
    </w:p>
    <w:p>
      <w:pPr>
        <w:pStyle w:val="Heading1"/>
      </w:pPr>
      <w:r>
        <w:t>08  测试矩阵与可交付证据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c>
          <w:tcPr>
            <w:tcW w:type="dxa" w:w="4791"/>
            <w:vAlign w:val="center"/>
            <w:shd w:fill="E8EFF7"/>
          </w:tcPr>
          <w:p>
            <w:r>
              <w:rPr>
                <w:b/>
                <w:sz w:val="17"/>
              </w:rPr>
              <w:t>测试类别</w:t>
            </w:r>
          </w:p>
        </w:tc>
        <w:tc>
          <w:tcPr>
            <w:tcW w:type="dxa" w:w="4791"/>
            <w:vAlign w:val="center"/>
            <w:shd w:fill="E8EFF7"/>
          </w:tcPr>
          <w:p>
            <w:r>
              <w:rPr>
                <w:b/>
                <w:sz w:val="17"/>
              </w:rPr>
              <w:t>必须真实证明的行为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迁移闭环</w:t>
            </w:r>
          </w:p>
        </w:tc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已有 Android 手机保存至少 2 种来源 → 配对 → Windows 一键导入 → 重启后仍存在 → 成功连接与浏览；Windows 新增来源 → Android 能收到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凭据与设备</w:t>
            </w:r>
          </w:p>
        </w:tc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可迁移凭据导入后通过真实服务认证；不可迁移令牌正确回退登录；两 Windows 账户隔离；取消配对后拒绝后续请求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幂等与冲突</w:t>
            </w:r>
          </w:p>
        </w:tc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重复同步不重复记录；同服务器不同账号不合并；双方离线修改可预览冲突；删除策略不会误删其他设备的来源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攻击与故障</w:t>
            </w:r>
          </w:p>
        </w:tc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QR 重放/过期、TLS 指纹错误、未授权 LAN 客户端、恶意归档、超大输入、断网中断、取消、凭据脱敏、错把代理地址同步到另一设备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GUI 与生命周期</w:t>
            </w:r>
          </w:p>
        </w:tc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两端真实 UI 控件可达，扫码/配对/导入/失败恢复可操作；应用关闭后不残留监听器与无人值守后台服务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来源兼容</w:t>
            </w:r>
          </w:p>
        </w:tc>
        <w:tc>
          <w:tcPr>
            <w:tcW w:type="dxa" w:w="4791"/>
            <w:vAlign w:val="center"/>
          </w:tcPr>
          <w:p>
            <w:pPr>
              <w:spacing w:after="20"/>
            </w:pPr>
            <w:r>
              <w:rPr>
                <w:sz w:val="16"/>
              </w:rPr>
              <w:t>至少 Jellyfin + WebDAV 的可控实际实例；补充 Emby/Plex 适配检查，如未拿到真实实例则分别标 SERVER_UNVERIFIED</w:t>
            </w:r>
          </w:p>
        </w:tc>
      </w:tr>
    </w:tbl>
    <w:p>
      <w:pPr>
        <w:spacing w:after="0"/>
      </w:pPr>
    </w:p>
    <w:p>
      <w:r>
        <w:t>必须记录Android版本、Windows版本、网络拓扑、真实软件版本、传输结果、媒体源数量、实际保存后的状态以及敏感日志检查。纯 mock、单元测试、WinUI 编译通过或仅显示“同步成功”不能取代两台设备的端到端验证。无真机时提交可运行测试与精确的 DEVICE_UNVERIFIED 清单。</w:t>
      </w:r>
    </w:p>
    <w:p>
      <w:pPr>
        <w:pStyle w:val="Heading1"/>
      </w:pPr>
      <w:r>
        <w:t>09  开发分期、优先顺序与验收门禁</w:t>
      </w:r>
    </w:p>
    <w:p>
      <w:pPr>
        <w:pStyle w:val="ListNumber"/>
      </w:pPr>
      <w:r>
        <w:t>W6-0：核验 PR/HEAD，审计双端来源模型、Keystore/DPAPI、既有备份恢复与 Provider 能力，提交双端字段映射和 ADR。</w:t>
      </w:r>
    </w:p>
    <w:p>
      <w:pPr>
        <w:pStyle w:val="ListNumber"/>
      </w:pPr>
      <w:r>
        <w:t>W6-1：实现 schema v1 与双端 Export/Import Adapter；Windows 导入 Android 真实来源配置 + 凭据库写入，构建幂等与迁移测试。</w:t>
      </w:r>
    </w:p>
    <w:p>
      <w:pPr>
        <w:pStyle w:val="ListNumber"/>
      </w:pPr>
      <w:r>
        <w:t>W6-2：实现临时二维码配对、认证加密传输、Android→Windows 首次迁移和 GUI 真实入口；形成最小可用端到端切片。</w:t>
      </w:r>
    </w:p>
    <w:p>
      <w:pPr>
        <w:pStyle w:val="ListNumber"/>
      </w:pPr>
      <w:r>
        <w:t>W6-3：实现 Windows→Android、手动同步、受信任设备管理、局域网自动增量同步、双向冲突/删除处理。</w:t>
      </w:r>
    </w:p>
    <w:p>
      <w:pPr>
        <w:pStyle w:val="ListNumber"/>
      </w:pPr>
      <w:r>
        <w:t>W6-4：实现加密归档离线迁移、安全/兼容性回归及 Android+Windows 实际设备验收。</w:t>
      </w:r>
    </w:p>
    <w:p>
      <w:pPr>
        <w:pStyle w:val="ListNumber"/>
      </w:pPr>
      <w:r>
        <w:t>W6-5：保持 Windows PR #33 与 Android 主线的保护；更新 stacked PR、CI、演示证据、交接记录与未完成阻断项。</w:t>
      </w:r>
    </w:p>
    <w:p>
      <w:pPr>
        <w:pStyle w:val="Heading1"/>
      </w:pPr>
      <w:r>
        <w:t>10  禁止事项与最终报告格式</w:t>
      </w:r>
    </w:p>
    <w:p>
      <w:pPr>
        <w:pStyle w:val="ListBullet"/>
      </w:pPr>
      <w:r>
        <w:t>禁止创建新云服务作为先决条件、禁止要求用户把配置上传到公开网盘、禁止直接同步数据库文件或设备密文、禁止将设备临时身份当服务器登录凭据。</w:t>
      </w:r>
    </w:p>
    <w:p>
      <w:pPr>
        <w:pStyle w:val="ListBullet"/>
      </w:pPr>
      <w:r>
        <w:t>禁止声称“扫码同步”就一定无需任何账号登录；每个来源的认证结果应单独展示。禁止将 Android 源码因 Windows 引入 .NET 或改变现有 Android 稳定性。</w:t>
      </w:r>
    </w:p>
    <w:p>
      <w:pPr>
        <w:pStyle w:val="ListBullet"/>
      </w:pPr>
      <w:r>
        <w:t>提交真实代码和回归测试，完整报告 exact SHA、分支/PR、CI、Android 与 Windows 改动文件、实测环境、每种来源已导入数、可登录数、冲突数、失败恢复证据、安全审查结论。</w:t>
      </w:r>
    </w:p>
    <w:p>
      <w:pPr>
        <w:pStyle w:val="ListBullet"/>
      </w:pPr>
      <w:r>
        <w:t>状态必须区分 EXECUTED_PASS、IMPLEMENTED_UNVERIFIED、DEVICE_UNVERIFIED、SERVER_UNVERIFIED、BLOCKED、FAILED、NOT_STARTED。Windows 现有 GPL/签名 RELEASE_BLOCKED 状态不得因同步成功自行解除。</w:t>
      </w:r>
    </w:p>
    <w:p>
      <w:pPr>
        <w:spacing w:before="160"/>
      </w:pPr>
      <w:r>
        <w:rPr>
          <w:b/>
          <w:color w:val="24558F"/>
        </w:rPr>
        <w:t>最终验收：</w:t>
      </w:r>
      <w:r>
        <w:t>一台 Android 手机上已经保存的多个媒体源，在 Windows 客户端扫码并授权后，无需逐项手动输入即可批量出现、持久保存和逐源验证；之后两端新增/编辑来源可按策略双向同步，失效令牌能优雅地单源重新登录。</w:t>
      </w:r>
    </w:p>
    <w:p>
      <w:pPr>
        <w:pStyle w:val="Heading2"/>
      </w:pPr>
      <w:r>
        <w:t>技术依据与核验材料</w:t>
      </w:r>
    </w:p>
    <w:p>
      <w:pPr>
        <w:spacing w:after="20"/>
      </w:pPr>
      <w:r>
        <w:rPr>
          <w:color w:val="586776"/>
          <w:sz w:val="16"/>
        </w:rPr>
        <w:t>Android NsdManager（DNS-SD/mDNS 发现）：https://developer.android.com/reference/android/net/nsd/NsdManager</w:t>
      </w:r>
    </w:p>
    <w:p>
      <w:pPr>
        <w:spacing w:after="20"/>
      </w:pPr>
      <w:r>
        <w:rPr>
          <w:color w:val="586776"/>
          <w:sz w:val="16"/>
        </w:rPr>
        <w:t>Microsoft DPAPI CryptProtectData（本机用户作用域）：https://learn.microsoft.com/en-us/windows/win32/api/dpapi/nf-dpapi-cryptprotectdata</w:t>
      </w:r>
    </w:p>
    <w:p>
      <w:pPr>
        <w:spacing w:after="20"/>
      </w:pPr>
      <w:r>
        <w:rPr>
          <w:color w:val="586776"/>
          <w:sz w:val="16"/>
        </w:rPr>
        <w:t>Microsoft Windows Credential Manager / 凭据处理指南：https://learn.microsoft.com/en-us/windows/win32/secbp/handling-passwords</w:t>
      </w:r>
    </w:p>
    <w:p>
      <w:pPr>
        <w:spacing w:after="20"/>
      </w:pPr>
      <w:r>
        <w:rPr>
          <w:color w:val="586776"/>
          <w:sz w:val="16"/>
        </w:rPr>
        <w:t>交接基线：用户提供的 MediaHub Windows W5 交付报告；以实际仓库及服务端代码为最终事实来源。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162" w:bottom="907" w:left="1162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776"/>
        <w:sz w:val="15"/>
      </w:rPr>
      <w:t xml:space="preserve">MediaHub · W6  |  内部开发任务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586776"/>
        <w:sz w:val="15"/>
      </w:rPr>
      <w:t>MEDIAHUB  /  WINDOWS + ANDROID  /  DEVELOPMENT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4" w:line="281" w:lineRule="auto"/>
    </w:pPr>
    <w:rPr>
      <w:rFonts w:ascii="Noto Sans CJK SC" w:hAnsi="Noto Sans CJK SC" w:eastAsia="Noto Sans CJK SC" w:cs="Noto Sans CJK SC"/>
      <w:color w:val="182B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4558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4558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E64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82B4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58677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69" w:hanging="130"/>
      <w:contextualSpacing/>
    </w:pPr>
    <w:rPr>
      <w:rFonts w:ascii="Noto Sans CJK SC" w:hAnsi="Noto Sans CJK SC" w:eastAsia="Noto Sans CJK SC" w:cs="Noto Sans CJK SC"/>
      <w:color w:val="182B4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69" w:hanging="130"/>
      <w:contextualSpacing/>
    </w:pPr>
    <w:rPr>
      <w:rFonts w:ascii="Noto Sans CJK SC" w:hAnsi="Noto Sans CJK SC" w:eastAsia="Noto Sans CJK SC" w:cs="Noto Sans CJK SC"/>
      <w:color w:val="182B4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MediaHub W6 Android–Windows 跨设备播放源同步 | Codex 任务书</dc:title>
  <dc:subject>MediaHub 跨设备配置同步实施任务</dc:subject>
  <dc:creator>MediaHub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