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6B2EA">
      <w:pPr>
        <w:jc w:val="center"/>
        <w:outlineLvl w:val="9"/>
        <w:rPr>
          <w:rFonts w:hint="eastAsia"/>
        </w:rPr>
      </w:pPr>
      <w:r>
        <w:rPr>
          <w:rFonts w:eastAsia="黑体"/>
          <w:b/>
          <w:sz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1599565</wp:posOffset>
            </wp:positionH>
            <wp:positionV relativeFrom="paragraph">
              <wp:posOffset>233045</wp:posOffset>
            </wp:positionV>
            <wp:extent cx="2384425" cy="614045"/>
            <wp:effectExtent l="0" t="0" r="8255" b="1079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442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187181C">
      <w:pPr>
        <w:ind w:firstLine="883"/>
        <w:jc w:val="center"/>
        <w:rPr>
          <w:rFonts w:hint="eastAsia"/>
        </w:rPr>
      </w:pPr>
      <w:r>
        <w:rPr>
          <w:rFonts w:hint="eastAsia" w:eastAsia="黑体"/>
          <w:b/>
          <w:sz w:val="44"/>
        </w:rPr>
        <w:t>《</w:t>
      </w:r>
      <w:r>
        <w:rPr>
          <w:rFonts w:hint="eastAsia" w:eastAsia="黑体"/>
          <w:b/>
          <w:sz w:val="44"/>
          <w:lang w:val="en-US" w:eastAsia="zh-CN"/>
        </w:rPr>
        <w:t>软件工程高级</w:t>
      </w:r>
      <w:r>
        <w:rPr>
          <w:rFonts w:hint="eastAsia" w:eastAsia="黑体"/>
          <w:b/>
          <w:sz w:val="44"/>
        </w:rPr>
        <w:t>实践》课程报告</w:t>
      </w:r>
    </w:p>
    <w:p w14:paraId="48540466">
      <w:pPr>
        <w:ind w:firstLine="480"/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095500" cy="1924050"/>
            <wp:effectExtent l="0" t="0" r="7620" b="11430"/>
            <wp:docPr id="4" name="图片 4" descr="天津大学标准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天津大学标准校徽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D7039">
      <w:pPr>
        <w:ind w:firstLine="3608" w:firstLineChars="1127"/>
        <w:jc w:val="both"/>
        <w:rPr>
          <w:rFonts w:hint="eastAsia"/>
          <w:b/>
          <w:sz w:val="32"/>
          <w:u w:val="single"/>
          <w:lang w:val="en-US" w:eastAsia="zh-CN"/>
        </w:rPr>
      </w:pPr>
      <w:r>
        <w:rPr>
          <w:rFonts w:hint="eastAsia"/>
          <w:b/>
          <w:bCs/>
          <w:sz w:val="32"/>
          <w:szCs w:val="32"/>
        </w:rPr>
        <w:t>组号</w:t>
      </w:r>
      <w:r>
        <w:rPr>
          <w:rFonts w:hint="eastAsia"/>
          <w:b/>
          <w:sz w:val="32"/>
          <w:u w:val="single"/>
        </w:rPr>
        <w:t xml:space="preserve">   </w:t>
      </w:r>
      <w:r>
        <w:rPr>
          <w:rFonts w:hint="eastAsia"/>
          <w:b/>
          <w:sz w:val="32"/>
          <w:u w:val="single"/>
          <w:lang w:val="en-US" w:eastAsia="zh-CN"/>
        </w:rPr>
        <w:t xml:space="preserve">30  </w:t>
      </w:r>
    </w:p>
    <w:p w14:paraId="5C74167A"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小组成员</w:t>
      </w:r>
    </w:p>
    <w:tbl>
      <w:tblPr>
        <w:tblStyle w:val="34"/>
        <w:tblW w:w="91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417"/>
        <w:gridCol w:w="1559"/>
        <w:gridCol w:w="2268"/>
        <w:gridCol w:w="1773"/>
      </w:tblGrid>
      <w:tr w14:paraId="472BC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5A0CC438">
            <w:pPr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学号</w:t>
            </w:r>
          </w:p>
        </w:tc>
        <w:tc>
          <w:tcPr>
            <w:tcW w:w="1417" w:type="dxa"/>
          </w:tcPr>
          <w:p w14:paraId="065AD760">
            <w:pPr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姓名</w:t>
            </w:r>
          </w:p>
        </w:tc>
        <w:tc>
          <w:tcPr>
            <w:tcW w:w="1559" w:type="dxa"/>
          </w:tcPr>
          <w:p w14:paraId="744CC305">
            <w:pPr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专业</w:t>
            </w:r>
          </w:p>
        </w:tc>
        <w:tc>
          <w:tcPr>
            <w:tcW w:w="2268" w:type="dxa"/>
          </w:tcPr>
          <w:p w14:paraId="2A510F20">
            <w:pPr>
              <w:ind w:right="640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学院</w:t>
            </w:r>
          </w:p>
        </w:tc>
        <w:tc>
          <w:tcPr>
            <w:tcW w:w="1773" w:type="dxa"/>
          </w:tcPr>
          <w:p w14:paraId="1918634D">
            <w:pPr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年级</w:t>
            </w:r>
          </w:p>
        </w:tc>
      </w:tr>
      <w:tr w14:paraId="27261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37C08388">
            <w:pPr>
              <w:jc w:val="center"/>
              <w:rPr>
                <w:rFonts w:hint="default" w:eastAsiaTheme="minorEastAsia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eastAsiaTheme="minorEastAsia"/>
                <w:b/>
                <w:sz w:val="32"/>
                <w:szCs w:val="32"/>
                <w:lang w:val="en-US" w:eastAsia="zh-CN"/>
              </w:rPr>
              <w:t>3023244041</w:t>
            </w:r>
          </w:p>
        </w:tc>
        <w:tc>
          <w:tcPr>
            <w:tcW w:w="1417" w:type="dxa"/>
          </w:tcPr>
          <w:p w14:paraId="47C6DD2A">
            <w:pPr>
              <w:jc w:val="center"/>
              <w:rPr>
                <w:rFonts w:hint="default" w:eastAsiaTheme="minorEastAsia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sz w:val="32"/>
                <w:szCs w:val="32"/>
                <w:lang w:val="en-US" w:eastAsia="zh-CN"/>
              </w:rPr>
              <w:t>程铭洋</w:t>
            </w:r>
          </w:p>
        </w:tc>
        <w:tc>
          <w:tcPr>
            <w:tcW w:w="1559" w:type="dxa"/>
          </w:tcPr>
          <w:p w14:paraId="20C425C3">
            <w:pPr>
              <w:jc w:val="center"/>
              <w:rPr>
                <w:rFonts w:hint="eastAsia" w:eastAsiaTheme="minorEastAsia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sz w:val="32"/>
                <w:szCs w:val="32"/>
                <w:lang w:val="en-US" w:eastAsia="zh-CN"/>
              </w:rPr>
              <w:t>软件工程</w:t>
            </w:r>
          </w:p>
        </w:tc>
        <w:tc>
          <w:tcPr>
            <w:tcW w:w="2268" w:type="dxa"/>
          </w:tcPr>
          <w:p w14:paraId="1864D2B3">
            <w:pPr>
              <w:jc w:val="center"/>
              <w:rPr>
                <w:rFonts w:hint="eastAsia" w:eastAsiaTheme="minorEastAsia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sz w:val="32"/>
                <w:szCs w:val="32"/>
                <w:lang w:val="en-US" w:eastAsia="zh-CN"/>
              </w:rPr>
              <w:t>智能与计算学部</w:t>
            </w:r>
          </w:p>
        </w:tc>
        <w:tc>
          <w:tcPr>
            <w:tcW w:w="1773" w:type="dxa"/>
          </w:tcPr>
          <w:p w14:paraId="27DB9DD3">
            <w:pPr>
              <w:jc w:val="center"/>
              <w:rPr>
                <w:rFonts w:hint="default" w:eastAsiaTheme="minorEastAsia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sz w:val="32"/>
                <w:szCs w:val="32"/>
                <w:lang w:val="en-US" w:eastAsia="zh-CN"/>
              </w:rPr>
              <w:t>23</w:t>
            </w:r>
          </w:p>
        </w:tc>
      </w:tr>
      <w:tr w14:paraId="7AFB9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7E63850F">
            <w:pPr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3023244062</w:t>
            </w:r>
          </w:p>
        </w:tc>
        <w:tc>
          <w:tcPr>
            <w:tcW w:w="1417" w:type="dxa"/>
          </w:tcPr>
          <w:p w14:paraId="741455B7">
            <w:pPr>
              <w:jc w:val="center"/>
              <w:rPr>
                <w:rFonts w:hint="eastAsia" w:eastAsiaTheme="minorEastAsia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sz w:val="32"/>
                <w:szCs w:val="32"/>
                <w:lang w:val="en-US" w:eastAsia="zh-CN"/>
              </w:rPr>
              <w:t>王青峰</w:t>
            </w:r>
          </w:p>
        </w:tc>
        <w:tc>
          <w:tcPr>
            <w:tcW w:w="1559" w:type="dxa"/>
            <w:shd w:val="clear" w:color="auto" w:fill="auto"/>
            <w:vAlign w:val="top"/>
          </w:tcPr>
          <w:p w14:paraId="064A1551">
            <w:pPr>
              <w:jc w:val="center"/>
              <w:rPr>
                <w:rFonts w:hint="eastAsia" w:asciiTheme="minorHAnsi" w:hAnsiTheme="minorHAnsi" w:eastAsiaTheme="minorEastAsia" w:cstheme="minorBidi"/>
                <w:b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/>
                <w:b/>
                <w:sz w:val="32"/>
                <w:szCs w:val="32"/>
                <w:lang w:val="en-US" w:eastAsia="zh-CN"/>
              </w:rPr>
              <w:t>软件工程</w:t>
            </w:r>
          </w:p>
        </w:tc>
        <w:tc>
          <w:tcPr>
            <w:tcW w:w="2268" w:type="dxa"/>
          </w:tcPr>
          <w:p w14:paraId="6093A485">
            <w:pPr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  <w:lang w:val="en-US" w:eastAsia="zh-CN"/>
              </w:rPr>
              <w:t>智能与计算学部</w:t>
            </w:r>
          </w:p>
        </w:tc>
        <w:tc>
          <w:tcPr>
            <w:tcW w:w="1773" w:type="dxa"/>
          </w:tcPr>
          <w:p w14:paraId="49ADACA4">
            <w:pPr>
              <w:jc w:val="center"/>
              <w:rPr>
                <w:rFonts w:hint="default" w:eastAsiaTheme="minorEastAsia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sz w:val="32"/>
                <w:szCs w:val="32"/>
                <w:lang w:val="en-US" w:eastAsia="zh-CN"/>
              </w:rPr>
              <w:t>23</w:t>
            </w:r>
          </w:p>
        </w:tc>
      </w:tr>
      <w:tr w14:paraId="5CA7E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64E6C0AD">
            <w:pPr>
              <w:jc w:val="center"/>
              <w:rPr>
                <w:rFonts w:hint="default" w:eastAsiaTheme="minorEastAsia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sz w:val="32"/>
                <w:szCs w:val="32"/>
                <w:lang w:val="en-US" w:eastAsia="zh-CN"/>
              </w:rPr>
              <w:t>3023244029</w:t>
            </w:r>
          </w:p>
        </w:tc>
        <w:tc>
          <w:tcPr>
            <w:tcW w:w="1417" w:type="dxa"/>
          </w:tcPr>
          <w:p w14:paraId="45BFFF0D">
            <w:pPr>
              <w:jc w:val="center"/>
              <w:rPr>
                <w:rFonts w:hint="eastAsia" w:eastAsiaTheme="minorEastAsia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sz w:val="32"/>
                <w:szCs w:val="32"/>
                <w:lang w:val="en-US" w:eastAsia="zh-CN"/>
              </w:rPr>
              <w:t>张晓峰</w:t>
            </w:r>
          </w:p>
        </w:tc>
        <w:tc>
          <w:tcPr>
            <w:tcW w:w="1559" w:type="dxa"/>
            <w:shd w:val="clear" w:color="auto" w:fill="auto"/>
            <w:vAlign w:val="top"/>
          </w:tcPr>
          <w:p w14:paraId="1D024B06">
            <w:pPr>
              <w:jc w:val="center"/>
              <w:rPr>
                <w:rFonts w:hint="eastAsia" w:asciiTheme="minorHAnsi" w:hAnsiTheme="minorHAnsi" w:eastAsiaTheme="minorEastAsia" w:cstheme="minorBidi"/>
                <w:b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/>
                <w:b/>
                <w:sz w:val="32"/>
                <w:szCs w:val="32"/>
                <w:lang w:val="en-US" w:eastAsia="zh-CN"/>
              </w:rPr>
              <w:t>软件工程</w:t>
            </w:r>
          </w:p>
        </w:tc>
        <w:tc>
          <w:tcPr>
            <w:tcW w:w="2268" w:type="dxa"/>
          </w:tcPr>
          <w:p w14:paraId="3EBDBB18">
            <w:pPr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  <w:lang w:val="en-US" w:eastAsia="zh-CN"/>
              </w:rPr>
              <w:t>智能与计算学部</w:t>
            </w:r>
          </w:p>
        </w:tc>
        <w:tc>
          <w:tcPr>
            <w:tcW w:w="1773" w:type="dxa"/>
          </w:tcPr>
          <w:p w14:paraId="7DEA7C73">
            <w:pPr>
              <w:jc w:val="center"/>
              <w:rPr>
                <w:rFonts w:hint="default" w:eastAsiaTheme="minorEastAsia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sz w:val="32"/>
                <w:szCs w:val="32"/>
                <w:lang w:val="en-US" w:eastAsia="zh-CN"/>
              </w:rPr>
              <w:t>23</w:t>
            </w:r>
          </w:p>
        </w:tc>
      </w:tr>
    </w:tbl>
    <w:p w14:paraId="004FC4C9">
      <w:pPr>
        <w:spacing w:line="360" w:lineRule="auto"/>
        <w:ind w:left="5040" w:leftChars="0" w:firstLine="420" w:firstLineChars="0"/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  <w:lang w:val="en-US" w:eastAsia="zh-CN"/>
        </w:rPr>
        <w:t>2026</w:t>
      </w:r>
      <w:r>
        <w:rPr>
          <w:rFonts w:hint="eastAsia"/>
          <w:b/>
          <w:sz w:val="32"/>
        </w:rPr>
        <w:t>年</w:t>
      </w:r>
      <w:r>
        <w:rPr>
          <w:rFonts w:hint="eastAsia" w:eastAsia="宋体"/>
          <w:b/>
          <w:sz w:val="32"/>
          <w:lang w:val="en-US" w:eastAsia="zh-CN"/>
        </w:rPr>
        <w:t>5</w:t>
      </w:r>
      <w:r>
        <w:rPr>
          <w:rFonts w:hint="eastAsia"/>
          <w:b/>
          <w:sz w:val="32"/>
          <w:lang w:val="en-US" w:eastAsia="zh-CN"/>
        </w:rPr>
        <w:t>月23</w:t>
      </w:r>
      <w:r>
        <w:rPr>
          <w:rFonts w:hint="eastAsia"/>
          <w:b/>
          <w:sz w:val="32"/>
        </w:rPr>
        <w:t>日</w:t>
      </w:r>
    </w:p>
    <w:p w14:paraId="6B847513">
      <w:pPr>
        <w:pStyle w:val="32"/>
        <w:jc w:val="center"/>
        <w:rPr>
          <w:rFonts w:ascii="黑体" w:hAnsi="黑体" w:eastAsia="黑体"/>
          <w:b/>
          <w:sz w:val="44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sdt>
      <w:sdtPr>
        <w:rPr>
          <w:rFonts w:ascii="宋体" w:hAnsi="宋体" w:eastAsia="宋体" w:cstheme="minorBidi"/>
          <w:sz w:val="28"/>
          <w:szCs w:val="22"/>
          <w:lang w:val="en-US" w:eastAsia="en-US" w:bidi="ar-SA"/>
        </w:rPr>
        <w:id w:val="147451731"/>
        <w15:color w:val="DBDBDB"/>
        <w:docPartObj>
          <w:docPartGallery w:val="Table of Contents"/>
          <w:docPartUnique/>
        </w:docPartObj>
      </w:sdtPr>
      <w:sdtContent>
        <w:p w14:paraId="3E70314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8"/>
            </w:rPr>
          </w:pPr>
          <w:r>
            <w:rPr>
              <w:rFonts w:ascii="宋体" w:hAnsi="宋体" w:eastAsia="宋体"/>
              <w:sz w:val="28"/>
            </w:rPr>
            <w:t>目录</w:t>
          </w:r>
        </w:p>
        <w:p w14:paraId="5E54CAA8">
          <w:pPr>
            <w:pStyle w:val="26"/>
            <w:tabs>
              <w:tab w:val="right" w:leader="dot" w:pos="8640"/>
            </w:tabs>
            <w:rPr>
              <w:sz w:val="28"/>
            </w:rPr>
          </w:pPr>
          <w:r>
            <w:rPr>
              <w:sz w:val="28"/>
            </w:rPr>
            <w:fldChar w:fldCharType="begin"/>
          </w:r>
          <w:r>
            <w:rPr>
              <w:sz w:val="28"/>
            </w:rPr>
            <w:instrText xml:space="preserve">TOC \o "1-2" \h \u </w:instrText>
          </w:r>
          <w:r>
            <w:rPr>
              <w:sz w:val="28"/>
            </w:rPr>
            <w:fldChar w:fldCharType="separate"/>
          </w:r>
          <w:r>
            <w:rPr>
              <w:sz w:val="28"/>
            </w:rPr>
            <w:fldChar w:fldCharType="begin"/>
          </w:r>
          <w:r>
            <w:rPr>
              <w:sz w:val="28"/>
            </w:rPr>
            <w:instrText xml:space="preserve"> HYPERLINK \l _Toc17211 </w:instrText>
          </w:r>
          <w:r>
            <w:rPr>
              <w:sz w:val="28"/>
            </w:rPr>
            <w:fldChar w:fldCharType="separate"/>
          </w:r>
          <w:r>
            <w:rPr>
              <w:rFonts w:ascii="黑体" w:hAnsi="黑体" w:eastAsia="黑体"/>
              <w:sz w:val="28"/>
              <w:szCs w:val="32"/>
            </w:rPr>
            <w:t>一、小组成员及分工任务描述</w:t>
          </w:r>
          <w:r>
            <w:rPr>
              <w:sz w:val="28"/>
            </w:rPr>
            <w:tab/>
          </w:r>
          <w:r>
            <w:rPr>
              <w:sz w:val="28"/>
            </w:rPr>
            <w:fldChar w:fldCharType="begin"/>
          </w:r>
          <w:r>
            <w:rPr>
              <w:sz w:val="28"/>
            </w:rPr>
            <w:instrText xml:space="preserve"> PAGEREF _Toc17211 \h </w:instrText>
          </w:r>
          <w:r>
            <w:rPr>
              <w:sz w:val="28"/>
            </w:rPr>
            <w:fldChar w:fldCharType="separate"/>
          </w:r>
          <w:r>
            <w:rPr>
              <w:sz w:val="28"/>
            </w:rPr>
            <w:t>3</w:t>
          </w:r>
          <w:r>
            <w:rPr>
              <w:sz w:val="28"/>
            </w:rPr>
            <w:fldChar w:fldCharType="end"/>
          </w:r>
          <w:r>
            <w:rPr>
              <w:sz w:val="28"/>
            </w:rPr>
            <w:fldChar w:fldCharType="end"/>
          </w:r>
        </w:p>
        <w:p w14:paraId="07BBEACD">
          <w:pPr>
            <w:pStyle w:val="26"/>
            <w:tabs>
              <w:tab w:val="right" w:leader="dot" w:pos="8640"/>
            </w:tabs>
            <w:rPr>
              <w:sz w:val="28"/>
            </w:rPr>
          </w:pPr>
          <w:r>
            <w:rPr>
              <w:sz w:val="28"/>
            </w:rPr>
            <w:fldChar w:fldCharType="begin"/>
          </w:r>
          <w:r>
            <w:rPr>
              <w:sz w:val="28"/>
            </w:rPr>
            <w:instrText xml:space="preserve"> HYPERLINK \l _Toc2410 </w:instrText>
          </w:r>
          <w:r>
            <w:rPr>
              <w:sz w:val="28"/>
            </w:rPr>
            <w:fldChar w:fldCharType="separate"/>
          </w:r>
          <w:r>
            <w:rPr>
              <w:rFonts w:ascii="黑体" w:hAnsi="黑体" w:eastAsia="黑体"/>
              <w:sz w:val="28"/>
              <w:szCs w:val="32"/>
            </w:rPr>
            <w:t>二、系统概述</w:t>
          </w:r>
          <w:r>
            <w:rPr>
              <w:sz w:val="28"/>
            </w:rPr>
            <w:tab/>
          </w:r>
          <w:r>
            <w:rPr>
              <w:sz w:val="28"/>
            </w:rPr>
            <w:fldChar w:fldCharType="begin"/>
          </w:r>
          <w:r>
            <w:rPr>
              <w:sz w:val="28"/>
            </w:rPr>
            <w:instrText xml:space="preserve"> PAGEREF _Toc2410 \h </w:instrText>
          </w:r>
          <w:r>
            <w:rPr>
              <w:sz w:val="28"/>
            </w:rPr>
            <w:fldChar w:fldCharType="separate"/>
          </w:r>
          <w:r>
            <w:rPr>
              <w:sz w:val="28"/>
            </w:rPr>
            <w:t>3</w:t>
          </w:r>
          <w:r>
            <w:rPr>
              <w:sz w:val="28"/>
            </w:rPr>
            <w:fldChar w:fldCharType="end"/>
          </w:r>
          <w:r>
            <w:rPr>
              <w:sz w:val="28"/>
            </w:rPr>
            <w:fldChar w:fldCharType="end"/>
          </w:r>
        </w:p>
        <w:p w14:paraId="1309C1F7">
          <w:pPr>
            <w:pStyle w:val="26"/>
            <w:tabs>
              <w:tab w:val="right" w:leader="dot" w:pos="8640"/>
            </w:tabs>
            <w:rPr>
              <w:sz w:val="28"/>
            </w:rPr>
          </w:pPr>
          <w:r>
            <w:rPr>
              <w:sz w:val="28"/>
            </w:rPr>
            <w:fldChar w:fldCharType="begin"/>
          </w:r>
          <w:r>
            <w:rPr>
              <w:sz w:val="28"/>
            </w:rPr>
            <w:instrText xml:space="preserve"> HYPERLINK \l _Toc4918 </w:instrText>
          </w:r>
          <w:r>
            <w:rPr>
              <w:sz w:val="28"/>
            </w:rPr>
            <w:fldChar w:fldCharType="separate"/>
          </w:r>
          <w:r>
            <w:rPr>
              <w:rFonts w:ascii="黑体" w:hAnsi="黑体" w:eastAsia="黑体"/>
              <w:sz w:val="28"/>
              <w:szCs w:val="32"/>
            </w:rPr>
            <w:t>三、项目需求/设计</w:t>
          </w:r>
          <w:r>
            <w:rPr>
              <w:sz w:val="28"/>
            </w:rPr>
            <w:tab/>
          </w:r>
          <w:r>
            <w:rPr>
              <w:sz w:val="28"/>
            </w:rPr>
            <w:fldChar w:fldCharType="begin"/>
          </w:r>
          <w:r>
            <w:rPr>
              <w:sz w:val="28"/>
            </w:rPr>
            <w:instrText xml:space="preserve"> PAGEREF _Toc4918 \h </w:instrText>
          </w:r>
          <w:r>
            <w:rPr>
              <w:sz w:val="28"/>
            </w:rPr>
            <w:fldChar w:fldCharType="separate"/>
          </w:r>
          <w:r>
            <w:rPr>
              <w:sz w:val="28"/>
            </w:rPr>
            <w:t>3</w:t>
          </w:r>
          <w:r>
            <w:rPr>
              <w:sz w:val="28"/>
            </w:rPr>
            <w:fldChar w:fldCharType="end"/>
          </w:r>
          <w:r>
            <w:rPr>
              <w:sz w:val="28"/>
            </w:rPr>
            <w:fldChar w:fldCharType="end"/>
          </w:r>
        </w:p>
        <w:p w14:paraId="6FFC5BEA">
          <w:pPr>
            <w:pStyle w:val="26"/>
            <w:tabs>
              <w:tab w:val="right" w:leader="dot" w:pos="8640"/>
            </w:tabs>
            <w:rPr>
              <w:sz w:val="28"/>
            </w:rPr>
          </w:pPr>
          <w:r>
            <w:rPr>
              <w:sz w:val="28"/>
            </w:rPr>
            <w:fldChar w:fldCharType="begin"/>
          </w:r>
          <w:r>
            <w:rPr>
              <w:sz w:val="28"/>
            </w:rPr>
            <w:instrText xml:space="preserve"> HYPERLINK \l _Toc9212 </w:instrText>
          </w:r>
          <w:r>
            <w:rPr>
              <w:sz w:val="28"/>
            </w:rPr>
            <w:fldChar w:fldCharType="separate"/>
          </w:r>
          <w:r>
            <w:rPr>
              <w:rFonts w:ascii="黑体" w:hAnsi="黑体" w:eastAsia="黑体"/>
              <w:sz w:val="28"/>
              <w:szCs w:val="32"/>
            </w:rPr>
            <w:t>四、系统架构设计</w:t>
          </w:r>
          <w:r>
            <w:rPr>
              <w:sz w:val="28"/>
            </w:rPr>
            <w:tab/>
          </w:r>
          <w:r>
            <w:rPr>
              <w:sz w:val="28"/>
            </w:rPr>
            <w:fldChar w:fldCharType="begin"/>
          </w:r>
          <w:r>
            <w:rPr>
              <w:sz w:val="28"/>
            </w:rPr>
            <w:instrText xml:space="preserve"> PAGEREF _Toc9212 \h </w:instrText>
          </w:r>
          <w:r>
            <w:rPr>
              <w:sz w:val="28"/>
            </w:rPr>
            <w:fldChar w:fldCharType="separate"/>
          </w:r>
          <w:r>
            <w:rPr>
              <w:sz w:val="28"/>
            </w:rPr>
            <w:t>4</w:t>
          </w:r>
          <w:r>
            <w:rPr>
              <w:sz w:val="28"/>
            </w:rPr>
            <w:fldChar w:fldCharType="end"/>
          </w:r>
          <w:r>
            <w:rPr>
              <w:sz w:val="28"/>
            </w:rPr>
            <w:fldChar w:fldCharType="end"/>
          </w:r>
        </w:p>
        <w:p w14:paraId="6997B333">
          <w:pPr>
            <w:pStyle w:val="26"/>
            <w:tabs>
              <w:tab w:val="right" w:leader="dot" w:pos="8640"/>
            </w:tabs>
            <w:rPr>
              <w:sz w:val="28"/>
            </w:rPr>
          </w:pPr>
          <w:r>
            <w:rPr>
              <w:sz w:val="28"/>
            </w:rPr>
            <w:fldChar w:fldCharType="begin"/>
          </w:r>
          <w:r>
            <w:rPr>
              <w:sz w:val="28"/>
            </w:rPr>
            <w:instrText xml:space="preserve"> HYPERLINK \l _Toc23963 </w:instrText>
          </w:r>
          <w:r>
            <w:rPr>
              <w:sz w:val="28"/>
            </w:rPr>
            <w:fldChar w:fldCharType="separate"/>
          </w:r>
          <w:r>
            <w:rPr>
              <w:rFonts w:ascii="黑体" w:hAnsi="黑体" w:eastAsia="黑体"/>
              <w:sz w:val="28"/>
              <w:szCs w:val="32"/>
            </w:rPr>
            <w:t>五、核心功能模块</w:t>
          </w:r>
          <w:r>
            <w:rPr>
              <w:sz w:val="28"/>
            </w:rPr>
            <w:tab/>
          </w:r>
          <w:r>
            <w:rPr>
              <w:sz w:val="28"/>
            </w:rPr>
            <w:fldChar w:fldCharType="begin"/>
          </w:r>
          <w:r>
            <w:rPr>
              <w:sz w:val="28"/>
            </w:rPr>
            <w:instrText xml:space="preserve"> PAGEREF _Toc23963 \h </w:instrText>
          </w:r>
          <w:r>
            <w:rPr>
              <w:sz w:val="28"/>
            </w:rPr>
            <w:fldChar w:fldCharType="separate"/>
          </w:r>
          <w:r>
            <w:rPr>
              <w:sz w:val="28"/>
            </w:rPr>
            <w:t>4</w:t>
          </w:r>
          <w:r>
            <w:rPr>
              <w:sz w:val="28"/>
            </w:rPr>
            <w:fldChar w:fldCharType="end"/>
          </w:r>
          <w:r>
            <w:rPr>
              <w:sz w:val="28"/>
            </w:rPr>
            <w:fldChar w:fldCharType="end"/>
          </w:r>
        </w:p>
        <w:p w14:paraId="503B3EE8">
          <w:pPr>
            <w:pStyle w:val="26"/>
            <w:tabs>
              <w:tab w:val="right" w:leader="dot" w:pos="8640"/>
            </w:tabs>
            <w:rPr>
              <w:sz w:val="28"/>
            </w:rPr>
          </w:pPr>
          <w:r>
            <w:rPr>
              <w:sz w:val="28"/>
            </w:rPr>
            <w:fldChar w:fldCharType="begin"/>
          </w:r>
          <w:r>
            <w:rPr>
              <w:sz w:val="28"/>
            </w:rPr>
            <w:instrText xml:space="preserve"> HYPERLINK \l _Toc18847 </w:instrText>
          </w:r>
          <w:r>
            <w:rPr>
              <w:sz w:val="28"/>
            </w:rPr>
            <w:fldChar w:fldCharType="separate"/>
          </w:r>
          <w:r>
            <w:rPr>
              <w:rFonts w:ascii="黑体" w:hAnsi="黑体" w:eastAsia="黑体"/>
              <w:sz w:val="28"/>
              <w:szCs w:val="32"/>
            </w:rPr>
            <w:t>六、微服务集群架构</w:t>
          </w:r>
          <w:r>
            <w:rPr>
              <w:sz w:val="28"/>
            </w:rPr>
            <w:tab/>
          </w:r>
          <w:r>
            <w:rPr>
              <w:sz w:val="28"/>
            </w:rPr>
            <w:fldChar w:fldCharType="begin"/>
          </w:r>
          <w:r>
            <w:rPr>
              <w:sz w:val="28"/>
            </w:rPr>
            <w:instrText xml:space="preserve"> PAGEREF _Toc18847 \h </w:instrText>
          </w:r>
          <w:r>
            <w:rPr>
              <w:sz w:val="28"/>
            </w:rPr>
            <w:fldChar w:fldCharType="separate"/>
          </w:r>
          <w:r>
            <w:rPr>
              <w:sz w:val="28"/>
            </w:rPr>
            <w:t>8</w:t>
          </w:r>
          <w:r>
            <w:rPr>
              <w:sz w:val="28"/>
            </w:rPr>
            <w:fldChar w:fldCharType="end"/>
          </w:r>
          <w:r>
            <w:rPr>
              <w:sz w:val="28"/>
            </w:rPr>
            <w:fldChar w:fldCharType="end"/>
          </w:r>
        </w:p>
        <w:p w14:paraId="10DFB57A">
          <w:pPr>
            <w:pStyle w:val="26"/>
            <w:tabs>
              <w:tab w:val="right" w:leader="dot" w:pos="8640"/>
            </w:tabs>
            <w:rPr>
              <w:sz w:val="28"/>
            </w:rPr>
          </w:pPr>
          <w:r>
            <w:rPr>
              <w:sz w:val="28"/>
            </w:rPr>
            <w:fldChar w:fldCharType="begin"/>
          </w:r>
          <w:r>
            <w:rPr>
              <w:sz w:val="28"/>
            </w:rPr>
            <w:instrText xml:space="preserve"> HYPERLINK \l _Toc25820 </w:instrText>
          </w:r>
          <w:r>
            <w:rPr>
              <w:sz w:val="28"/>
            </w:rPr>
            <w:fldChar w:fldCharType="separate"/>
          </w:r>
          <w:r>
            <w:rPr>
              <w:rFonts w:ascii="黑体" w:hAnsi="黑体" w:eastAsia="黑体"/>
              <w:sz w:val="28"/>
              <w:szCs w:val="32"/>
            </w:rPr>
            <w:t>七、项目测试</w:t>
          </w:r>
          <w:r>
            <w:rPr>
              <w:sz w:val="28"/>
            </w:rPr>
            <w:tab/>
          </w:r>
          <w:r>
            <w:rPr>
              <w:sz w:val="28"/>
            </w:rPr>
            <w:fldChar w:fldCharType="begin"/>
          </w:r>
          <w:r>
            <w:rPr>
              <w:sz w:val="28"/>
            </w:rPr>
            <w:instrText xml:space="preserve"> PAGEREF _Toc25820 \h </w:instrText>
          </w:r>
          <w:r>
            <w:rPr>
              <w:sz w:val="28"/>
            </w:rPr>
            <w:fldChar w:fldCharType="separate"/>
          </w:r>
          <w:r>
            <w:rPr>
              <w:sz w:val="28"/>
            </w:rPr>
            <w:t>12</w:t>
          </w:r>
          <w:r>
            <w:rPr>
              <w:sz w:val="28"/>
            </w:rPr>
            <w:fldChar w:fldCharType="end"/>
          </w:r>
          <w:r>
            <w:rPr>
              <w:sz w:val="28"/>
            </w:rPr>
            <w:fldChar w:fldCharType="end"/>
          </w:r>
        </w:p>
        <w:p w14:paraId="17F2B6DE">
          <w:pPr>
            <w:pStyle w:val="26"/>
            <w:tabs>
              <w:tab w:val="right" w:leader="dot" w:pos="8640"/>
            </w:tabs>
            <w:rPr>
              <w:sz w:val="28"/>
            </w:rPr>
          </w:pPr>
          <w:r>
            <w:rPr>
              <w:sz w:val="28"/>
            </w:rPr>
            <w:fldChar w:fldCharType="begin"/>
          </w:r>
          <w:r>
            <w:rPr>
              <w:sz w:val="28"/>
            </w:rPr>
            <w:instrText xml:space="preserve"> HYPERLINK \l _Toc14199 </w:instrText>
          </w:r>
          <w:r>
            <w:rPr>
              <w:sz w:val="28"/>
            </w:rPr>
            <w:fldChar w:fldCharType="separate"/>
          </w:r>
          <w:r>
            <w:rPr>
              <w:rFonts w:ascii="黑体" w:hAnsi="黑体" w:eastAsia="黑体"/>
              <w:sz w:val="28"/>
              <w:szCs w:val="32"/>
            </w:rPr>
            <w:t>八、总结</w:t>
          </w:r>
          <w:r>
            <w:rPr>
              <w:sz w:val="28"/>
            </w:rPr>
            <w:tab/>
          </w:r>
          <w:r>
            <w:rPr>
              <w:sz w:val="28"/>
            </w:rPr>
            <w:fldChar w:fldCharType="begin"/>
          </w:r>
          <w:r>
            <w:rPr>
              <w:sz w:val="28"/>
            </w:rPr>
            <w:instrText xml:space="preserve"> PAGEREF _Toc14199 \h </w:instrText>
          </w:r>
          <w:r>
            <w:rPr>
              <w:sz w:val="28"/>
            </w:rPr>
            <w:fldChar w:fldCharType="separate"/>
          </w:r>
          <w:r>
            <w:rPr>
              <w:sz w:val="28"/>
            </w:rPr>
            <w:t>12</w:t>
          </w:r>
          <w:r>
            <w:rPr>
              <w:sz w:val="28"/>
            </w:rPr>
            <w:fldChar w:fldCharType="end"/>
          </w:r>
          <w:r>
            <w:rPr>
              <w:sz w:val="28"/>
            </w:rPr>
            <w:fldChar w:fldCharType="end"/>
          </w:r>
        </w:p>
        <w:p w14:paraId="5E5713BB">
          <w:r>
            <w:rPr>
              <w:sz w:val="28"/>
            </w:rPr>
            <w:fldChar w:fldCharType="end"/>
          </w:r>
        </w:p>
      </w:sdtContent>
    </w:sdt>
    <w:p w14:paraId="4C38E751"/>
    <w:p w14:paraId="7F10E9D1">
      <w:r>
        <w:br w:type="page"/>
      </w:r>
    </w:p>
    <w:p w14:paraId="516F255B">
      <w:pPr>
        <w:pStyle w:val="3"/>
        <w:rPr>
          <w:color w:val="auto"/>
          <w:sz w:val="32"/>
          <w:szCs w:val="32"/>
        </w:rPr>
      </w:pPr>
      <w:bookmarkStart w:id="0" w:name="_Toc17211"/>
      <w:r>
        <w:rPr>
          <w:rFonts w:ascii="黑体" w:hAnsi="黑体" w:eastAsia="黑体"/>
          <w:b/>
          <w:color w:val="auto"/>
          <w:sz w:val="32"/>
          <w:szCs w:val="32"/>
        </w:rPr>
        <w:t>一、小组成员及分工任务描述</w:t>
      </w:r>
      <w:bookmarkEnd w:id="0"/>
    </w:p>
    <w:p w14:paraId="30A30117">
      <w:r>
        <w:rPr>
          <w:rFonts w:ascii="宋体" w:hAnsi="宋体" w:eastAsia="宋体"/>
          <w:b/>
          <w:sz w:val="24"/>
        </w:rPr>
        <w:t>1. 组长：程铭洋</w:t>
      </w:r>
    </w:p>
    <w:p w14:paraId="53059496">
      <w:r>
        <w:rPr>
          <w:rFonts w:ascii="宋体" w:hAnsi="宋体" w:eastAsia="宋体"/>
          <w:b/>
          <w:sz w:val="24"/>
        </w:rPr>
        <w:t>2. 组员1：王青峰</w:t>
      </w:r>
    </w:p>
    <w:p w14:paraId="1182F4B8">
      <w:r>
        <w:rPr>
          <w:rFonts w:ascii="宋体" w:hAnsi="宋体" w:eastAsia="宋体"/>
          <w:b/>
          <w:sz w:val="24"/>
        </w:rPr>
        <w:t>3. 组员2：张晓峰</w:t>
      </w:r>
    </w:p>
    <w:p w14:paraId="1924F9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/>
          <w:b w:val="0"/>
          <w:sz w:val="24"/>
          <w:lang w:eastAsia="zh-CN"/>
        </w:rPr>
      </w:pPr>
      <w:r>
        <w:rPr>
          <w:rFonts w:ascii="宋体" w:hAnsi="宋体" w:eastAsia="宋体"/>
          <w:b w:val="0"/>
          <w:sz w:val="24"/>
        </w:rPr>
        <w:t>本项目采用"全流程参与"模式进行开发，三名成员均完整搭建并调试了整个SpringCloud微服务架构，确保每个人都能深入理解SpringCloud的核心原理与实现过程。每周召开技术研讨会，同步各模块进展与问题</w:t>
      </w:r>
      <w:r>
        <w:rPr>
          <w:rFonts w:hint="eastAsia" w:ascii="宋体" w:hAnsi="宋体" w:eastAsia="宋体"/>
          <w:b w:val="0"/>
          <w:sz w:val="24"/>
          <w:lang w:eastAsia="zh-CN"/>
        </w:rPr>
        <w:t>。</w:t>
      </w:r>
    </w:p>
    <w:p w14:paraId="34D1126A">
      <w:pPr>
        <w:pStyle w:val="3"/>
        <w:rPr>
          <w:rFonts w:ascii="黑体" w:hAnsi="黑体" w:eastAsia="黑体"/>
          <w:b/>
          <w:color w:val="auto"/>
          <w:sz w:val="32"/>
          <w:szCs w:val="32"/>
        </w:rPr>
      </w:pPr>
      <w:bookmarkStart w:id="1" w:name="_Toc2410"/>
      <w:r>
        <w:rPr>
          <w:rFonts w:ascii="黑体" w:hAnsi="黑体" w:eastAsia="黑体"/>
          <w:b/>
          <w:color w:val="auto"/>
          <w:sz w:val="32"/>
          <w:szCs w:val="32"/>
        </w:rPr>
        <w:t>二、系统概述</w:t>
      </w:r>
      <w:bookmarkEnd w:id="1"/>
    </w:p>
    <w:p w14:paraId="35B423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本项目将原有的SpringBoot版饿了么外卖平台升级为基于SpringCloud的微服务架构版本。系统采用微服务设计模式，将原本的单体应用拆分为多个独立的业务微服务，通过服务注册与发现、服务网关路由、负载均衡、服务熔断降级等机制，实现了高可用、可扩展的分布式系统架构。</w:t>
      </w:r>
    </w:p>
    <w:p w14:paraId="1F3CCA33">
      <w:pPr>
        <w:pStyle w:val="3"/>
        <w:rPr>
          <w:rFonts w:ascii="黑体" w:hAnsi="黑体" w:eastAsia="黑体"/>
          <w:b/>
          <w:color w:val="auto"/>
          <w:sz w:val="32"/>
          <w:szCs w:val="32"/>
        </w:rPr>
      </w:pPr>
      <w:bookmarkStart w:id="2" w:name="_Toc4918"/>
      <w:r>
        <w:rPr>
          <w:rFonts w:ascii="黑体" w:hAnsi="黑体" w:eastAsia="黑体"/>
          <w:b/>
          <w:color w:val="auto"/>
          <w:sz w:val="32"/>
          <w:szCs w:val="32"/>
        </w:rPr>
        <w:t>三、项目需求/设计</w:t>
      </w:r>
      <w:bookmarkEnd w:id="2"/>
    </w:p>
    <w:p w14:paraId="7623E5D3">
      <w:pPr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1. 项目需求</w:t>
      </w:r>
    </w:p>
    <w:p w14:paraId="46F693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• 用户管理：支持用户注册、登录、身份验证等基本功能。</w:t>
      </w:r>
      <w:r>
        <w:rPr>
          <w:rFonts w:ascii="宋体" w:hAnsi="宋体" w:eastAsia="宋体"/>
          <w:b w:val="0"/>
          <w:sz w:val="24"/>
          <w:szCs w:val="24"/>
        </w:rPr>
        <w:br w:type="textWrapping"/>
      </w:r>
      <w:r>
        <w:rPr>
          <w:rFonts w:ascii="宋体" w:hAnsi="宋体" w:eastAsia="宋体"/>
          <w:b w:val="0"/>
          <w:sz w:val="24"/>
          <w:szCs w:val="24"/>
        </w:rPr>
        <w:t>• 商家管理：支持商家信息查询、菜品展示等。</w:t>
      </w:r>
      <w:r>
        <w:rPr>
          <w:rFonts w:ascii="宋体" w:hAnsi="宋体" w:eastAsia="宋体"/>
          <w:b w:val="0"/>
          <w:sz w:val="24"/>
          <w:szCs w:val="24"/>
        </w:rPr>
        <w:br w:type="textWrapping"/>
      </w:r>
      <w:r>
        <w:rPr>
          <w:rFonts w:ascii="宋体" w:hAnsi="宋体" w:eastAsia="宋体"/>
          <w:b w:val="0"/>
          <w:sz w:val="24"/>
          <w:szCs w:val="24"/>
        </w:rPr>
        <w:t>• 购物车管理：支持添加、修改、删除购物车商品。</w:t>
      </w:r>
      <w:r>
        <w:rPr>
          <w:rFonts w:ascii="宋体" w:hAnsi="宋体" w:eastAsia="宋体"/>
          <w:b w:val="0"/>
          <w:sz w:val="24"/>
          <w:szCs w:val="24"/>
        </w:rPr>
        <w:br w:type="textWrapping"/>
      </w:r>
      <w:r>
        <w:rPr>
          <w:rFonts w:ascii="宋体" w:hAnsi="宋体" w:eastAsia="宋体"/>
          <w:b w:val="0"/>
          <w:sz w:val="24"/>
          <w:szCs w:val="24"/>
        </w:rPr>
        <w:t>• 订单管理：支持创建订单、订单支付、订单查询等。</w:t>
      </w:r>
      <w:r>
        <w:rPr>
          <w:rFonts w:ascii="宋体" w:hAnsi="宋体" w:eastAsia="宋体"/>
          <w:b w:val="0"/>
          <w:sz w:val="24"/>
          <w:szCs w:val="24"/>
        </w:rPr>
        <w:br w:type="textWrapping"/>
      </w:r>
      <w:r>
        <w:rPr>
          <w:rFonts w:ascii="宋体" w:hAnsi="宋体" w:eastAsia="宋体"/>
          <w:b w:val="0"/>
          <w:sz w:val="24"/>
          <w:szCs w:val="24"/>
        </w:rPr>
        <w:t>• 收货地址管理：支持地址的增删改查操作。</w:t>
      </w:r>
    </w:p>
    <w:p w14:paraId="06DBA8D0">
      <w:pPr>
        <w:rPr>
          <w:rFonts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2. 项目设计</w:t>
      </w:r>
    </w:p>
    <w:p w14:paraId="52FBA9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• 微服务架构：将系统拆分为多个独立的微服务模块</w:t>
      </w:r>
      <w:r>
        <w:rPr>
          <w:rFonts w:ascii="宋体" w:hAnsi="宋体" w:eastAsia="宋体"/>
          <w:b w:val="0"/>
          <w:sz w:val="24"/>
          <w:szCs w:val="24"/>
        </w:rPr>
        <w:br w:type="textWrapping"/>
      </w:r>
      <w:r>
        <w:rPr>
          <w:rFonts w:ascii="宋体" w:hAnsi="宋体" w:eastAsia="宋体"/>
          <w:b w:val="0"/>
          <w:sz w:val="24"/>
          <w:szCs w:val="24"/>
        </w:rPr>
        <w:t>• 服务注册与发现：使用Eureka实现服务注册与发现</w:t>
      </w:r>
      <w:r>
        <w:rPr>
          <w:rFonts w:ascii="宋体" w:hAnsi="宋体" w:eastAsia="宋体"/>
          <w:b w:val="0"/>
          <w:sz w:val="24"/>
          <w:szCs w:val="24"/>
        </w:rPr>
        <w:br w:type="textWrapping"/>
      </w:r>
      <w:r>
        <w:rPr>
          <w:rFonts w:ascii="宋体" w:hAnsi="宋体" w:eastAsia="宋体"/>
          <w:b w:val="0"/>
          <w:sz w:val="24"/>
          <w:szCs w:val="24"/>
        </w:rPr>
        <w:t>• API网关：使用Gateway统一路由和跨域处理</w:t>
      </w:r>
      <w:r>
        <w:rPr>
          <w:rFonts w:ascii="宋体" w:hAnsi="宋体" w:eastAsia="宋体"/>
          <w:b w:val="0"/>
          <w:sz w:val="24"/>
          <w:szCs w:val="24"/>
        </w:rPr>
        <w:br w:type="textWrapping"/>
      </w:r>
      <w:r>
        <w:rPr>
          <w:rFonts w:ascii="宋体" w:hAnsi="宋体" w:eastAsia="宋体"/>
          <w:b w:val="0"/>
          <w:sz w:val="24"/>
          <w:szCs w:val="24"/>
        </w:rPr>
        <w:t>• 配置中心：使用Config Server集中管理配置</w:t>
      </w:r>
      <w:r>
        <w:rPr>
          <w:rFonts w:ascii="宋体" w:hAnsi="宋体" w:eastAsia="宋体"/>
          <w:b w:val="0"/>
          <w:sz w:val="24"/>
          <w:szCs w:val="24"/>
        </w:rPr>
        <w:br w:type="textWrapping"/>
      </w:r>
      <w:r>
        <w:rPr>
          <w:rFonts w:ascii="宋体" w:hAnsi="宋体" w:eastAsia="宋体"/>
          <w:b w:val="0"/>
          <w:sz w:val="24"/>
          <w:szCs w:val="24"/>
        </w:rPr>
        <w:t>• 服务调用：使用Feign实现声明式服务调用</w:t>
      </w:r>
      <w:r>
        <w:rPr>
          <w:rFonts w:ascii="宋体" w:hAnsi="宋体" w:eastAsia="宋体"/>
          <w:b w:val="0"/>
          <w:sz w:val="24"/>
          <w:szCs w:val="24"/>
        </w:rPr>
        <w:br w:type="textWrapping"/>
      </w:r>
      <w:r>
        <w:rPr>
          <w:rFonts w:ascii="宋体" w:hAnsi="宋体" w:eastAsia="宋体"/>
          <w:b w:val="0"/>
          <w:sz w:val="24"/>
          <w:szCs w:val="24"/>
        </w:rPr>
        <w:t>• 熔断降级：使用Hystrix实现熔断降级机制</w:t>
      </w:r>
    </w:p>
    <w:p w14:paraId="71CB1F09">
      <w:pPr>
        <w:pStyle w:val="3"/>
        <w:rPr>
          <w:rFonts w:ascii="黑体" w:hAnsi="黑体" w:eastAsia="黑体"/>
          <w:b/>
          <w:color w:val="auto"/>
          <w:sz w:val="32"/>
          <w:szCs w:val="32"/>
        </w:rPr>
      </w:pPr>
      <w:bookmarkStart w:id="3" w:name="_Toc9212"/>
      <w:r>
        <w:rPr>
          <w:rFonts w:ascii="黑体" w:hAnsi="黑体" w:eastAsia="黑体"/>
          <w:b/>
          <w:color w:val="auto"/>
          <w:sz w:val="32"/>
          <w:szCs w:val="32"/>
        </w:rPr>
        <w:t>四、系统架构设计</w:t>
      </w:r>
      <w:bookmarkEnd w:id="3"/>
    </w:p>
    <w:p w14:paraId="0126C42B">
      <w:pPr>
        <w:rPr>
          <w:rFonts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1. 技术栈</w:t>
      </w:r>
    </w:p>
    <w:p w14:paraId="7A0E65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• 基础框架：Spring Boot 2.3.3.RELEASE</w:t>
      </w:r>
      <w:r>
        <w:rPr>
          <w:rFonts w:ascii="宋体" w:hAnsi="宋体" w:eastAsia="宋体"/>
          <w:b w:val="0"/>
          <w:sz w:val="24"/>
          <w:szCs w:val="24"/>
        </w:rPr>
        <w:br w:type="textWrapping"/>
      </w:r>
      <w:r>
        <w:rPr>
          <w:rFonts w:ascii="宋体" w:hAnsi="宋体" w:eastAsia="宋体"/>
          <w:b w:val="0"/>
          <w:sz w:val="24"/>
          <w:szCs w:val="24"/>
        </w:rPr>
        <w:t>• 微服务框架：Spring Cloud Hoxton.SR9</w:t>
      </w:r>
      <w:r>
        <w:rPr>
          <w:rFonts w:ascii="宋体" w:hAnsi="宋体" w:eastAsia="宋体"/>
          <w:b w:val="0"/>
          <w:sz w:val="24"/>
          <w:szCs w:val="24"/>
        </w:rPr>
        <w:br w:type="textWrapping"/>
      </w:r>
      <w:r>
        <w:rPr>
          <w:rFonts w:ascii="宋体" w:hAnsi="宋体" w:eastAsia="宋体"/>
          <w:b w:val="0"/>
          <w:sz w:val="24"/>
          <w:szCs w:val="24"/>
        </w:rPr>
        <w:t>• 服务注册与发现：Netflix Eureka</w:t>
      </w:r>
      <w:r>
        <w:rPr>
          <w:rFonts w:ascii="宋体" w:hAnsi="宋体" w:eastAsia="宋体"/>
          <w:b w:val="0"/>
          <w:sz w:val="24"/>
          <w:szCs w:val="24"/>
        </w:rPr>
        <w:br w:type="textWrapping"/>
      </w:r>
      <w:r>
        <w:rPr>
          <w:rFonts w:ascii="宋体" w:hAnsi="宋体" w:eastAsia="宋体"/>
          <w:b w:val="0"/>
          <w:sz w:val="24"/>
          <w:szCs w:val="24"/>
        </w:rPr>
        <w:t>• API网关：Spring Cloud Gateway</w:t>
      </w:r>
      <w:r>
        <w:rPr>
          <w:rFonts w:ascii="宋体" w:hAnsi="宋体" w:eastAsia="宋体"/>
          <w:b w:val="0"/>
          <w:sz w:val="24"/>
          <w:szCs w:val="24"/>
        </w:rPr>
        <w:br w:type="textWrapping"/>
      </w:r>
      <w:r>
        <w:rPr>
          <w:rFonts w:ascii="宋体" w:hAnsi="宋体" w:eastAsia="宋体"/>
          <w:b w:val="0"/>
          <w:sz w:val="24"/>
          <w:szCs w:val="24"/>
        </w:rPr>
        <w:t>• 配置中心：Spring Cloud Config</w:t>
      </w:r>
      <w:r>
        <w:rPr>
          <w:rFonts w:ascii="宋体" w:hAnsi="宋体" w:eastAsia="宋体"/>
          <w:b w:val="0"/>
          <w:sz w:val="24"/>
          <w:szCs w:val="24"/>
        </w:rPr>
        <w:br w:type="textWrapping"/>
      </w:r>
      <w:r>
        <w:rPr>
          <w:rFonts w:ascii="宋体" w:hAnsi="宋体" w:eastAsia="宋体"/>
          <w:b w:val="0"/>
          <w:sz w:val="24"/>
          <w:szCs w:val="24"/>
        </w:rPr>
        <w:t>• 服务调用：Spring Cloud OpenFeign</w:t>
      </w:r>
      <w:r>
        <w:rPr>
          <w:rFonts w:ascii="宋体" w:hAnsi="宋体" w:eastAsia="宋体"/>
          <w:b w:val="0"/>
          <w:sz w:val="24"/>
          <w:szCs w:val="24"/>
        </w:rPr>
        <w:br w:type="textWrapping"/>
      </w:r>
      <w:r>
        <w:rPr>
          <w:rFonts w:ascii="宋体" w:hAnsi="宋体" w:eastAsia="宋体"/>
          <w:b w:val="0"/>
          <w:sz w:val="24"/>
          <w:szCs w:val="24"/>
        </w:rPr>
        <w:t>• 熔断降级：Netflix Hystrix</w:t>
      </w:r>
      <w:r>
        <w:rPr>
          <w:rFonts w:ascii="宋体" w:hAnsi="宋体" w:eastAsia="宋体"/>
          <w:b w:val="0"/>
          <w:sz w:val="24"/>
          <w:szCs w:val="24"/>
        </w:rPr>
        <w:br w:type="textWrapping"/>
      </w:r>
      <w:r>
        <w:rPr>
          <w:rFonts w:ascii="宋体" w:hAnsi="宋体" w:eastAsia="宋体"/>
          <w:b w:val="0"/>
          <w:sz w:val="24"/>
          <w:szCs w:val="24"/>
        </w:rPr>
        <w:t>• 消息总线：Spring Cloud Bus</w:t>
      </w:r>
      <w:r>
        <w:rPr>
          <w:rFonts w:ascii="宋体" w:hAnsi="宋体" w:eastAsia="宋体"/>
          <w:b w:val="0"/>
          <w:sz w:val="24"/>
          <w:szCs w:val="24"/>
        </w:rPr>
        <w:br w:type="textWrapping"/>
      </w:r>
      <w:r>
        <w:rPr>
          <w:rFonts w:ascii="宋体" w:hAnsi="宋体" w:eastAsia="宋体"/>
          <w:b w:val="0"/>
          <w:sz w:val="24"/>
          <w:szCs w:val="24"/>
        </w:rPr>
        <w:t>• 数据库：MySQL + MyBatis</w:t>
      </w:r>
    </w:p>
    <w:p w14:paraId="295DDE69">
      <w:pPr>
        <w:rPr>
          <w:rFonts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2. 微服务模块划分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D179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82AD7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服务名称</w:t>
            </w:r>
          </w:p>
        </w:tc>
        <w:tc>
          <w:tcPr>
            <w:tcW w:w="2880" w:type="dxa"/>
          </w:tcPr>
          <w:p w14:paraId="5C17733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端口号</w:t>
            </w:r>
          </w:p>
        </w:tc>
        <w:tc>
          <w:tcPr>
            <w:tcW w:w="2880" w:type="dxa"/>
          </w:tcPr>
          <w:p w14:paraId="1AF91C8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说明</w:t>
            </w:r>
          </w:p>
        </w:tc>
      </w:tr>
      <w:tr w14:paraId="3F941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79655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eureka_server</w:t>
            </w:r>
          </w:p>
        </w:tc>
        <w:tc>
          <w:tcPr>
            <w:tcW w:w="2880" w:type="dxa"/>
          </w:tcPr>
          <w:p w14:paraId="383443F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13000/13001</w:t>
            </w:r>
          </w:p>
        </w:tc>
        <w:tc>
          <w:tcPr>
            <w:tcW w:w="2880" w:type="dxa"/>
          </w:tcPr>
          <w:p w14:paraId="1EBCBD9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Eureka高可用集群注册中心</w:t>
            </w:r>
          </w:p>
        </w:tc>
      </w:tr>
      <w:tr w14:paraId="0C95D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A9B1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gateway_server</w:t>
            </w:r>
          </w:p>
        </w:tc>
        <w:tc>
          <w:tcPr>
            <w:tcW w:w="2880" w:type="dxa"/>
          </w:tcPr>
          <w:p w14:paraId="15ADAC8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14000</w:t>
            </w:r>
          </w:p>
        </w:tc>
        <w:tc>
          <w:tcPr>
            <w:tcW w:w="2880" w:type="dxa"/>
          </w:tcPr>
          <w:p w14:paraId="0D082AB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API网关，统一路由和跨域处理</w:t>
            </w:r>
          </w:p>
        </w:tc>
      </w:tr>
      <w:tr w14:paraId="61AB0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94B2A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config_server</w:t>
            </w:r>
          </w:p>
        </w:tc>
        <w:tc>
          <w:tcPr>
            <w:tcW w:w="2880" w:type="dxa"/>
          </w:tcPr>
          <w:p w14:paraId="615FDC0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15000/15001</w:t>
            </w:r>
          </w:p>
        </w:tc>
        <w:tc>
          <w:tcPr>
            <w:tcW w:w="2880" w:type="dxa"/>
          </w:tcPr>
          <w:p w14:paraId="1AF0919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配置中心，集中管理配置文件</w:t>
            </w:r>
          </w:p>
        </w:tc>
      </w:tr>
      <w:tr w14:paraId="3774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48ED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user_server</w:t>
            </w:r>
          </w:p>
        </w:tc>
        <w:tc>
          <w:tcPr>
            <w:tcW w:w="2880" w:type="dxa"/>
          </w:tcPr>
          <w:p w14:paraId="14F91C7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10100/10101</w:t>
            </w:r>
          </w:p>
        </w:tc>
        <w:tc>
          <w:tcPr>
            <w:tcW w:w="2880" w:type="dxa"/>
          </w:tcPr>
          <w:p w14:paraId="68455EE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用户微服务</w:t>
            </w:r>
          </w:p>
        </w:tc>
      </w:tr>
      <w:tr w14:paraId="3D771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B9D09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food_server</w:t>
            </w:r>
          </w:p>
        </w:tc>
        <w:tc>
          <w:tcPr>
            <w:tcW w:w="2880" w:type="dxa"/>
          </w:tcPr>
          <w:p w14:paraId="0B99FDE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10200/10201</w:t>
            </w:r>
          </w:p>
        </w:tc>
        <w:tc>
          <w:tcPr>
            <w:tcW w:w="2880" w:type="dxa"/>
          </w:tcPr>
          <w:p w14:paraId="123D5FB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食品微服务</w:t>
            </w:r>
          </w:p>
        </w:tc>
      </w:tr>
      <w:tr w14:paraId="637DC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2D38C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business_server</w:t>
            </w:r>
          </w:p>
        </w:tc>
        <w:tc>
          <w:tcPr>
            <w:tcW w:w="2880" w:type="dxa"/>
          </w:tcPr>
          <w:p w14:paraId="1338A8A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10300/10301</w:t>
            </w:r>
          </w:p>
        </w:tc>
        <w:tc>
          <w:tcPr>
            <w:tcW w:w="2880" w:type="dxa"/>
          </w:tcPr>
          <w:p w14:paraId="194BD99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商家微服务</w:t>
            </w:r>
          </w:p>
        </w:tc>
      </w:tr>
      <w:tr w14:paraId="0638D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3D638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cart_server</w:t>
            </w:r>
          </w:p>
        </w:tc>
        <w:tc>
          <w:tcPr>
            <w:tcW w:w="2880" w:type="dxa"/>
          </w:tcPr>
          <w:p w14:paraId="62432D2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10400/10401</w:t>
            </w:r>
          </w:p>
        </w:tc>
        <w:tc>
          <w:tcPr>
            <w:tcW w:w="2880" w:type="dxa"/>
          </w:tcPr>
          <w:p w14:paraId="71C5A92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购物车微服务</w:t>
            </w:r>
          </w:p>
        </w:tc>
      </w:tr>
      <w:tr w14:paraId="11017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0425E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deliveryaddress_server</w:t>
            </w:r>
          </w:p>
        </w:tc>
        <w:tc>
          <w:tcPr>
            <w:tcW w:w="2880" w:type="dxa"/>
          </w:tcPr>
          <w:p w14:paraId="5EEFE86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10500/10501</w:t>
            </w:r>
          </w:p>
        </w:tc>
        <w:tc>
          <w:tcPr>
            <w:tcW w:w="2880" w:type="dxa"/>
          </w:tcPr>
          <w:p w14:paraId="5D493E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收货地址微服务</w:t>
            </w:r>
          </w:p>
        </w:tc>
      </w:tr>
      <w:tr w14:paraId="4CD4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88C80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orders_server</w:t>
            </w:r>
          </w:p>
        </w:tc>
        <w:tc>
          <w:tcPr>
            <w:tcW w:w="2880" w:type="dxa"/>
          </w:tcPr>
          <w:p w14:paraId="12BA139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10600/10601</w:t>
            </w:r>
          </w:p>
        </w:tc>
        <w:tc>
          <w:tcPr>
            <w:tcW w:w="2880" w:type="dxa"/>
          </w:tcPr>
          <w:p w14:paraId="78B7844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订单微服务</w:t>
            </w:r>
          </w:p>
        </w:tc>
      </w:tr>
    </w:tbl>
    <w:p w14:paraId="691F3006">
      <w:pPr>
        <w:pStyle w:val="3"/>
        <w:rPr>
          <w:rFonts w:ascii="黑体" w:hAnsi="黑体" w:eastAsia="黑体"/>
          <w:b/>
          <w:color w:val="auto"/>
          <w:sz w:val="32"/>
          <w:szCs w:val="32"/>
        </w:rPr>
      </w:pPr>
      <w:bookmarkStart w:id="4" w:name="_Toc23963"/>
      <w:r>
        <w:rPr>
          <w:rFonts w:ascii="黑体" w:hAnsi="黑体" w:eastAsia="黑体"/>
          <w:b/>
          <w:color w:val="auto"/>
          <w:sz w:val="32"/>
          <w:szCs w:val="32"/>
        </w:rPr>
        <w:t>五、核心功能模块</w:t>
      </w:r>
      <w:bookmarkEnd w:id="4"/>
    </w:p>
    <w:p w14:paraId="7A61E6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本次SpringCloud重构中，核心改动集中在跨域处理方式变更、Feign声明式服务调用、配置动态刷新机制三个方面。以下详细说明各模块的关键变化。</w:t>
      </w:r>
    </w:p>
    <w:p w14:paraId="1D83A553">
      <w:pPr>
        <w:rPr>
          <w:rFonts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5.1 跨域处理的变更</w:t>
      </w:r>
    </w:p>
    <w:p w14:paraId="3CD696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在SpringBoot单体架构中，每个Controller都需要单独添加@CrossOrigin("*")注解来处理跨域请求。升级为SpringCloud微服务架构后，前端所有请求统一通过Gateway网关访问，后端各微服务之间的跨域问题消失，因此Controller层的@CrossOrigin注解可以全部注释掉，跨域配置统一在Gateway的application.yml中集中管理。</w:t>
      </w:r>
    </w:p>
    <w:p w14:paraId="623A0D81">
      <w:r>
        <w:rPr>
          <w:rFonts w:ascii="宋体" w:hAnsi="宋体" w:eastAsia="宋体"/>
          <w:b/>
          <w:sz w:val="24"/>
        </w:rPr>
        <w:t>SpringBoot版（每个Controller都需要添加跨域注解）：</w:t>
      </w:r>
    </w:p>
    <w:p w14:paraId="2C420C1D">
      <w:r>
        <w:drawing>
          <wp:inline distT="0" distB="0" distL="114300" distR="114300">
            <wp:extent cx="4752975" cy="1400175"/>
            <wp:effectExtent l="0" t="0" r="1905" b="190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18CEB">
      <w:r>
        <w:rPr>
          <w:rFonts w:ascii="宋体" w:hAnsi="宋体" w:eastAsia="宋体"/>
          <w:b/>
          <w:sz w:val="24"/>
        </w:rPr>
        <w:t>SpringCloud版（跨域注解注释，Gateway统一处理）：</w:t>
      </w:r>
    </w:p>
    <w:p w14:paraId="3BD235D3">
      <w:r>
        <w:drawing>
          <wp:inline distT="0" distB="0" distL="114300" distR="114300">
            <wp:extent cx="4191000" cy="1457325"/>
            <wp:effectExtent l="0" t="0" r="0" b="571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8470E">
      <w:pPr>
        <w:rPr>
          <w:rFonts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5.2 Feign服务调用替代RestTemplate</w:t>
      </w:r>
    </w:p>
    <w:p w14:paraId="6CDB3A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SpringBoot版通过RestTemplate进行服务调用，代码冗长且需要手动处理URL拼接。SpringCloud版改用Feign声明式服务调用，代码更简洁，且自带负载均衡和熔断降级支持。</w:t>
      </w:r>
    </w:p>
    <w:p w14:paraId="6083F730">
      <w:r>
        <w:rPr>
          <w:rFonts w:ascii="宋体" w:hAnsi="宋体" w:eastAsia="宋体"/>
          <w:b/>
          <w:sz w:val="24"/>
        </w:rPr>
        <w:t>Feign客户端接口定义：</w:t>
      </w:r>
    </w:p>
    <w:p w14:paraId="666DA00F">
      <w:r>
        <w:drawing>
          <wp:inline distT="0" distB="0" distL="114300" distR="114300">
            <wp:extent cx="5481955" cy="1041400"/>
            <wp:effectExtent l="0" t="0" r="4445" b="1016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24"/>
        </w:rPr>
        <w:t>Business微服务中注入并使用Feign客户端：</w:t>
      </w:r>
    </w:p>
    <w:p w14:paraId="3D8FF40E">
      <w:r>
        <w:drawing>
          <wp:inline distT="0" distB="0" distL="114300" distR="114300">
            <wp:extent cx="5481320" cy="655955"/>
            <wp:effectExtent l="0" t="0" r="5080" b="1460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65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2"/>
        </w:rPr>
        <w:br w:type="textWrapping"/>
      </w:r>
      <w:r>
        <w:drawing>
          <wp:inline distT="0" distB="0" distL="114300" distR="114300">
            <wp:extent cx="5479415" cy="2124710"/>
            <wp:effectExtent l="0" t="0" r="6985" b="889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607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通过fallback属性指定熔断降级处理类，当food-server服务不可用时，自动触发降级逻辑。</w:t>
      </w:r>
    </w:p>
    <w:p w14:paraId="4F163931">
      <w:pPr>
        <w:rPr>
          <w:rFonts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5.3 统一响应格式CommonResult</w:t>
      </w:r>
    </w:p>
    <w:p w14:paraId="01DCCC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所有微服务接口统一返回CommonResult&lt;T&gt;对象，包含状态码code、消息message和数据result，保证前端接收格式一致。熔断降级时也返回CommonResult，code为403，message说明降级原因。</w:t>
      </w:r>
    </w:p>
    <w:p w14:paraId="650AC525">
      <w:r>
        <w:drawing>
          <wp:inline distT="0" distB="0" distL="114300" distR="114300">
            <wp:extent cx="4861560" cy="3364230"/>
            <wp:effectExtent l="0" t="0" r="0" b="381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6543D">
      <w:pPr>
        <w:rPr>
          <w:rFonts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5.4 前端访问路径的变化</w:t>
      </w:r>
    </w:p>
    <w:p w14:paraId="79A208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SpringBoot版前端直接访问各微服务端口，导致前端需要维护多个后端地址。SpringCloud版前端统一通过Gateway网关访问，只需配置一个baseURL，路由规则由后端Gateway统一管理。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66A8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50822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对比项</w:t>
            </w:r>
          </w:p>
        </w:tc>
        <w:tc>
          <w:tcPr>
            <w:tcW w:w="2880" w:type="dxa"/>
          </w:tcPr>
          <w:p w14:paraId="4474319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SpringBoot版</w:t>
            </w:r>
          </w:p>
        </w:tc>
        <w:tc>
          <w:tcPr>
            <w:tcW w:w="2880" w:type="dxa"/>
          </w:tcPr>
          <w:p w14:paraId="0FB37CB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SpringCloud版</w:t>
            </w:r>
          </w:p>
        </w:tc>
      </w:tr>
      <w:tr w14:paraId="5655A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226DE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baseURL</w:t>
            </w:r>
          </w:p>
        </w:tc>
        <w:tc>
          <w:tcPr>
            <w:tcW w:w="2880" w:type="dxa"/>
          </w:tcPr>
          <w:p w14:paraId="51E7404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http://localhost:10100（User微服务端口）</w:t>
            </w:r>
          </w:p>
        </w:tc>
        <w:tc>
          <w:tcPr>
            <w:tcW w:w="2880" w:type="dxa"/>
          </w:tcPr>
          <w:p w14:paraId="4F977C8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http://localhost:14000（Gateway网关端口）</w:t>
            </w:r>
          </w:p>
        </w:tc>
      </w:tr>
      <w:tr w14:paraId="176D0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0AA06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路由方式</w:t>
            </w:r>
          </w:p>
        </w:tc>
        <w:tc>
          <w:tcPr>
            <w:tcW w:w="2880" w:type="dxa"/>
          </w:tcPr>
          <w:p w14:paraId="2E134E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前端直接指定微服务端口</w:t>
            </w:r>
          </w:p>
        </w:tc>
        <w:tc>
          <w:tcPr>
            <w:tcW w:w="2880" w:type="dxa"/>
          </w:tcPr>
          <w:p w14:paraId="663D83E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前端统一请求Gateway，网关路由到对应微服务</w:t>
            </w:r>
          </w:p>
        </w:tc>
      </w:tr>
    </w:tbl>
    <w:p w14:paraId="6259130A">
      <w:r>
        <w:rPr>
          <w:rFonts w:ascii="宋体" w:hAnsi="宋体" w:eastAsia="宋体"/>
          <w:b/>
          <w:sz w:val="24"/>
        </w:rPr>
        <w:t>前端main.js配置（只需修改一处baseURL）：</w:t>
      </w:r>
    </w:p>
    <w:p w14:paraId="7E49E9ED">
      <w:r>
        <w:drawing>
          <wp:inline distT="0" distB="0" distL="114300" distR="114300">
            <wp:extent cx="5484495" cy="1898015"/>
            <wp:effectExtent l="0" t="0" r="1905" b="698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BC589">
      <w:r>
        <w:drawing>
          <wp:inline distT="0" distB="0" distL="114300" distR="114300">
            <wp:extent cx="5479415" cy="2887980"/>
            <wp:effectExtent l="0" t="0" r="6985" b="762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DFFE380">
      <w:pPr>
        <w:pStyle w:val="3"/>
        <w:rPr>
          <w:rFonts w:ascii="黑体" w:hAnsi="黑体" w:eastAsia="黑体"/>
          <w:b/>
          <w:color w:val="auto"/>
          <w:sz w:val="32"/>
          <w:szCs w:val="32"/>
        </w:rPr>
      </w:pPr>
      <w:bookmarkStart w:id="5" w:name="_Toc18847"/>
      <w:r>
        <w:rPr>
          <w:rFonts w:ascii="黑体" w:hAnsi="黑体" w:eastAsia="黑体"/>
          <w:b/>
          <w:color w:val="auto"/>
          <w:sz w:val="32"/>
          <w:szCs w:val="32"/>
        </w:rPr>
        <w:t>六、微服务集群架构</w:t>
      </w:r>
      <w:bookmarkEnd w:id="5"/>
    </w:p>
    <w:p w14:paraId="43E67B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本次项目搭建了完整的SpringCloud微服务集群架构，包括Eureka高可用注册中心集群、Gateway统一网关、Config配置中心+Bus消息总线，以及Feign+Hystrix的服务调用与熔断降级机制。</w:t>
      </w:r>
    </w:p>
    <w:p w14:paraId="23FC6641">
      <w:pPr>
        <w:rPr>
          <w:rFonts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6.1 Eureka高可用集群</w:t>
      </w:r>
    </w:p>
    <w:p w14:paraId="662019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搭建了双节点的Eureka Server集群（13000和13001），通过相互注册实现高可用。当一个节点故障时，服务提供者可以向另一个节点注册，确保服务发现不中断。</w:t>
      </w:r>
    </w:p>
    <w:p w14:paraId="5D09847A">
      <w:r>
        <w:rPr>
          <w:rFonts w:ascii="宋体" w:hAnsi="宋体" w:eastAsia="宋体"/>
          <w:b/>
          <w:sz w:val="24"/>
        </w:rPr>
        <w:t>Eureka Server 13000配置（相互注册）：</w:t>
      </w:r>
    </w:p>
    <w:p w14:paraId="66F41EEE">
      <w:r>
        <w:drawing>
          <wp:inline distT="0" distB="0" distL="114300" distR="114300">
            <wp:extent cx="5482590" cy="2792730"/>
            <wp:effectExtent l="0" t="0" r="3810" b="1143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24"/>
        </w:rPr>
        <w:t>启动注解：</w:t>
      </w:r>
    </w:p>
    <w:p w14:paraId="25377ABD">
      <w:r>
        <w:drawing>
          <wp:inline distT="0" distB="0" distL="114300" distR="114300">
            <wp:extent cx="5482590" cy="939165"/>
            <wp:effectExtent l="0" t="0" r="3810" b="571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49B3D">
      <w:pPr>
        <w:rPr>
          <w:rFonts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6.2 Gateway网关路由配置</w:t>
      </w:r>
    </w:p>
    <w:p w14:paraId="57CDA6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Gateway作为统一入口，配置跨域处理和路由规则，根据请求路径将请求转发到对应的微服务。路由使用lb://协议实现负载均衡。</w:t>
      </w:r>
    </w:p>
    <w:p w14:paraId="4508730C">
      <w:r>
        <w:rPr>
          <w:rFonts w:ascii="宋体" w:hAnsi="宋体" w:eastAsia="宋体"/>
          <w:b/>
          <w:sz w:val="24"/>
        </w:rPr>
        <w:t>gateway application.yml配置：</w:t>
      </w:r>
    </w:p>
    <w:p w14:paraId="34AE0A23">
      <w:r>
        <w:drawing>
          <wp:inline distT="0" distB="0" distL="114300" distR="114300">
            <wp:extent cx="5480685" cy="6254750"/>
            <wp:effectExtent l="0" t="0" r="5715" b="889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625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AF462">
      <w:pPr>
        <w:rPr>
          <w:rFonts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6.3 Config配置中心与Bus消息总线</w:t>
      </w:r>
    </w:p>
    <w:p w14:paraId="11F03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搭建了Config Server配置中心，从Git远程仓库集中管理所有微服务的配置文件。当配置变更时，通过Spring Cloud Bus消息总线广播刷新事件，所有微服务无需重启即可感知配置变化。</w:t>
      </w:r>
    </w:p>
    <w:p w14:paraId="5D4B5F52">
      <w:r>
        <w:rPr>
          <w:rFonts w:ascii="宋体" w:hAnsi="宋体" w:eastAsia="宋体"/>
          <w:b/>
          <w:sz w:val="24"/>
        </w:rPr>
        <w:t>Config Server主类（启用配置服务端）：</w:t>
      </w:r>
    </w:p>
    <w:p w14:paraId="55609FD2">
      <w:r>
        <w:drawing>
          <wp:inline distT="0" distB="0" distL="114300" distR="114300">
            <wp:extent cx="5478145" cy="863600"/>
            <wp:effectExtent l="0" t="0" r="8255" b="5080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24"/>
        </w:rPr>
        <w:t>Config Server application.yml（连接Git仓库）：</w:t>
      </w:r>
    </w:p>
    <w:p w14:paraId="778AA86D">
      <w:r>
        <w:drawing>
          <wp:inline distT="0" distB="0" distL="114300" distR="114300">
            <wp:extent cx="5485765" cy="4384675"/>
            <wp:effectExtent l="0" t="0" r="635" b="4445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38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35633">
      <w:r>
        <w:drawing>
          <wp:inline distT="0" distB="0" distL="114300" distR="114300">
            <wp:extent cx="5482590" cy="1734820"/>
            <wp:effectExtent l="0" t="0" r="3810" b="2540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84990">
      <w:r>
        <w:drawing>
          <wp:inline distT="0" distB="0" distL="114300" distR="114300">
            <wp:extent cx="5478780" cy="3507105"/>
            <wp:effectExtent l="0" t="0" r="7620" b="1333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24"/>
        </w:rPr>
        <w:t>微服务bootstrap.yml（连接Config Server）：</w:t>
      </w:r>
    </w:p>
    <w:p w14:paraId="1DD117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宋体" w:hAnsi="宋体" w:eastAsia="宋体"/>
          <w:b w:val="0"/>
          <w:sz w:val="24"/>
        </w:rPr>
      </w:pPr>
      <w:r>
        <w:drawing>
          <wp:inline distT="0" distB="0" distL="114300" distR="114300">
            <wp:extent cx="5482590" cy="3119120"/>
            <wp:effectExtent l="0" t="0" r="3810" b="5080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动态刷新：当Git仓库中的配置变更后，调用POST http://localhost:15000/actuator/bus-refresh，即可触发所有微服务配置刷新。</w:t>
      </w:r>
    </w:p>
    <w:p w14:paraId="42B03D2F">
      <w:pPr>
        <w:pStyle w:val="3"/>
        <w:rPr>
          <w:rFonts w:ascii="黑体" w:hAnsi="黑体" w:eastAsia="黑体"/>
          <w:b/>
          <w:color w:val="auto"/>
          <w:sz w:val="32"/>
          <w:szCs w:val="32"/>
        </w:rPr>
      </w:pPr>
      <w:bookmarkStart w:id="6" w:name="_Toc25820"/>
      <w:r>
        <w:rPr>
          <w:rFonts w:ascii="黑体" w:hAnsi="黑体" w:eastAsia="黑体"/>
          <w:b/>
          <w:color w:val="auto"/>
          <w:sz w:val="32"/>
          <w:szCs w:val="32"/>
        </w:rPr>
        <w:t>七、项目测试</w:t>
      </w:r>
      <w:bookmarkEnd w:id="6"/>
    </w:p>
    <w:p w14:paraId="55D45092">
      <w:pPr>
        <w:rPr>
          <w:rFonts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1. 服务注册测试</w:t>
      </w:r>
    </w:p>
    <w:p w14:paraId="487B14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访问Eureka控制台（http://localhost:13000），查看各微服务是否成功注册到Eureka集群。</w:t>
      </w:r>
    </w:p>
    <w:p w14:paraId="6A3C8051">
      <w:pPr>
        <w:rPr>
          <w:rFonts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2. 网关路由测试</w:t>
      </w:r>
    </w:p>
    <w:p w14:paraId="3FB45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通过Gateway网关访问各微服务接口：</w:t>
      </w:r>
    </w:p>
    <w:p w14:paraId="1185D731">
      <w:r>
        <w:rPr>
          <w:rFonts w:ascii="宋体" w:hAnsi="宋体" w:eastAsia="宋体"/>
          <w:b w:val="0"/>
          <w:sz w:val="24"/>
        </w:rPr>
        <w:t>• http://localhost:14000/UserController/getUserById/1001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http://localhost:14000/FoodController/listFoodByBusinessId/1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http://localhost:14000/BusinessController/listBusinessByOrderTypeId/1</w:t>
      </w:r>
    </w:p>
    <w:p w14:paraId="7F6026FE">
      <w:pPr>
        <w:rPr>
          <w:rFonts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3. Feign调用测试</w:t>
      </w:r>
    </w:p>
    <w:p w14:paraId="575307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访问商家详情接口，验证Feign能否成功调用Food微服务获取菜品列表。</w:t>
      </w:r>
    </w:p>
    <w:p w14:paraId="2F4180C4">
      <w:pPr>
        <w:rPr>
          <w:rFonts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4. 熔断降级测试</w:t>
      </w:r>
    </w:p>
    <w:p w14:paraId="50DEAE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停止Food微服务，再次访问商家详情接口，验证是否返回降级响应。</w:t>
      </w:r>
    </w:p>
    <w:p w14:paraId="5F7C1089">
      <w:pPr>
        <w:numPr>
          <w:ilvl w:val="0"/>
          <w:numId w:val="7"/>
        </w:numPr>
        <w:rPr>
          <w:rFonts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配置动态刷新测试</w:t>
      </w:r>
    </w:p>
    <w:p w14:paraId="3C3704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修改Git仓库中的配置文件后，调用POST http://localhost:15000/actuator/bus-refresh，验证配置是否自动刷新。</w:t>
      </w:r>
    </w:p>
    <w:p w14:paraId="71E935F1">
      <w:pPr>
        <w:pStyle w:val="3"/>
        <w:rPr>
          <w:rFonts w:ascii="黑体" w:hAnsi="黑体" w:eastAsia="黑体"/>
          <w:b/>
          <w:color w:val="auto"/>
          <w:sz w:val="32"/>
          <w:szCs w:val="32"/>
        </w:rPr>
      </w:pPr>
      <w:bookmarkStart w:id="7" w:name="_Toc14199"/>
      <w:r>
        <w:rPr>
          <w:rFonts w:ascii="黑体" w:hAnsi="黑体" w:eastAsia="黑体"/>
          <w:b/>
          <w:color w:val="auto"/>
          <w:sz w:val="32"/>
          <w:szCs w:val="32"/>
        </w:rPr>
        <w:t>八、总结</w:t>
      </w:r>
      <w:bookmarkEnd w:id="7"/>
    </w:p>
    <w:p w14:paraId="239404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本项目成功将SpringBoot版饿了么外卖平台升级为SpringCloud微服务架构，主要实现了以下核心功能：</w:t>
      </w:r>
    </w:p>
    <w:p w14:paraId="2933BB85">
      <w:r>
        <w:rPr>
          <w:rFonts w:ascii="宋体" w:hAnsi="宋体" w:eastAsia="宋体"/>
          <w:b w:val="0"/>
          <w:sz w:val="24"/>
        </w:rPr>
        <w:t>• 1. 微服务拆分：将单体应用拆分为6个业务微服务+3个基础设施微服务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2. Eureka高可用集群：搭建了双节点的Eureka注册中心集群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3. Gateway网关：统一了API入口，实现了跨域处理和路由转发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4. Feign服务调用：使用声明式Feign客户端实现微服务间调用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5. Hystrix熔断降级：实现了服务熔断降级机制，防止服务雪崩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6. Config配置中心：集中管理配置文件，支持动态刷新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• 7. Bus消息总线：通过</w:t>
      </w:r>
      <w:bookmarkStart w:id="8" w:name="_GoBack"/>
      <w:bookmarkEnd w:id="8"/>
      <w:r>
        <w:rPr>
          <w:rFonts w:ascii="宋体" w:hAnsi="宋体" w:eastAsia="宋体"/>
          <w:b w:val="0"/>
          <w:sz w:val="24"/>
        </w:rPr>
        <w:t>Spring Cloud Bus实现配置的热更新</w:t>
      </w:r>
    </w:p>
    <w:p w14:paraId="785124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系统采用模块化设计，各微服务独立部署和扩展，通过服务注册与发现实现松耦合，为企业级应用提供了良好的微服务架构参考。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9DB61E9"/>
    <w:multiLevelType w:val="singleLevel"/>
    <w:tmpl w:val="49DB61E9"/>
    <w:lvl w:ilvl="0" w:tentative="0">
      <w:start w:val="5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983148"/>
    <w:rsid w:val="4811440B"/>
    <w:rsid w:val="489540AD"/>
    <w:rsid w:val="56913130"/>
    <w:rsid w:val="63227831"/>
    <w:rsid w:val="6930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2227</Words>
  <Characters>3711</Characters>
  <Lines>0</Lines>
  <Paragraphs>0</Paragraphs>
  <TotalTime>1</TotalTime>
  <ScaleCrop>false</ScaleCrop>
  <LinksUpToDate>false</LinksUpToDate>
  <CharactersWithSpaces>3805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</cp:lastModifiedBy>
  <dcterms:modified xsi:type="dcterms:W3CDTF">2026-05-23T10:50:54Z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eyJoZGlkIjoiNWQ0M2Y5ZjBkZDFhMjEyMzY4ZGMzZGU0N2I1N2Q5OWUiLCJ1c2VySWQiOiIxNDY0Njc2OTU1In0=</vt:lpwstr>
  </property>
  <property fmtid="{D5CDD505-2E9C-101B-9397-08002B2CF9AE}" pid="3" name="KSOProductBuildVer">
    <vt:lpwstr>2052-12.1.0.26375</vt:lpwstr>
  </property>
  <property fmtid="{D5CDD505-2E9C-101B-9397-08002B2CF9AE}" pid="4" name="ICV">
    <vt:lpwstr>C3B48A25147F4A20B38C3A4DFB6126E0_12</vt:lpwstr>
  </property>
</Properties>
</file>