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3A3D3" w14:textId="7B1DA5A5" w:rsidR="007736AC" w:rsidRDefault="00000000">
      <w:pPr>
        <w:pStyle w:val="FirstParagraph"/>
        <w:ind w:firstLineChars="0" w:firstLine="0"/>
        <w:jc w:val="center"/>
        <w:rPr>
          <w:b/>
          <w:bCs/>
          <w:sz w:val="32"/>
          <w:szCs w:val="32"/>
        </w:rPr>
      </w:pPr>
      <w:r>
        <w:rPr>
          <w:rFonts w:hint="eastAsia"/>
          <w:b/>
          <w:bCs/>
          <w:sz w:val="32"/>
          <w:szCs w:val="32"/>
        </w:rPr>
        <w:t>框型</w:t>
      </w:r>
      <w:r>
        <w:rPr>
          <w:b/>
          <w:bCs/>
          <w:sz w:val="32"/>
          <w:szCs w:val="32"/>
        </w:rPr>
        <w:t>结构</w:t>
      </w:r>
      <w:r>
        <w:rPr>
          <w:rFonts w:hint="eastAsia"/>
          <w:b/>
          <w:bCs/>
          <w:sz w:val="32"/>
          <w:szCs w:val="32"/>
        </w:rPr>
        <w:t>对</w:t>
      </w:r>
      <w:r>
        <w:rPr>
          <w:b/>
          <w:bCs/>
          <w:sz w:val="32"/>
          <w:szCs w:val="32"/>
        </w:rPr>
        <w:t>约束分工</w:t>
      </w:r>
      <w:r>
        <w:rPr>
          <w:rFonts w:hint="eastAsia"/>
          <w:b/>
          <w:bCs/>
          <w:sz w:val="32"/>
          <w:szCs w:val="32"/>
        </w:rPr>
        <w:t>的组织作用</w:t>
      </w:r>
    </w:p>
    <w:p w14:paraId="30E09232" w14:textId="2F37EE34" w:rsidR="007736AC" w:rsidRDefault="00000000">
      <w:pPr>
        <w:pStyle w:val="FirstParagraph"/>
        <w:ind w:firstLineChars="0" w:firstLine="0"/>
        <w:jc w:val="center"/>
        <w:rPr>
          <w:b/>
          <w:bCs/>
          <w:sz w:val="32"/>
          <w:szCs w:val="32"/>
        </w:rPr>
      </w:pPr>
      <w:r>
        <w:rPr>
          <w:b/>
          <w:bCs/>
          <w:sz w:val="32"/>
          <w:szCs w:val="32"/>
        </w:rPr>
        <w:t>——</w:t>
      </w:r>
      <w:r>
        <w:rPr>
          <w:b/>
          <w:bCs/>
          <w:sz w:val="32"/>
          <w:szCs w:val="32"/>
        </w:rPr>
        <w:t>基于</w:t>
      </w:r>
      <w:r>
        <w:rPr>
          <w:rFonts w:hint="eastAsia"/>
          <w:b/>
          <w:bCs/>
          <w:sz w:val="32"/>
          <w:szCs w:val="32"/>
        </w:rPr>
        <w:t>德语“</w:t>
      </w:r>
      <w:r>
        <w:rPr>
          <w:b/>
          <w:bCs/>
          <w:sz w:val="32"/>
          <w:szCs w:val="32"/>
        </w:rPr>
        <w:t>破框</w:t>
      </w:r>
      <w:r>
        <w:rPr>
          <w:rFonts w:hint="eastAsia"/>
          <w:b/>
          <w:bCs/>
          <w:sz w:val="32"/>
          <w:szCs w:val="32"/>
        </w:rPr>
        <w:t>”</w:t>
      </w:r>
      <w:r>
        <w:rPr>
          <w:b/>
          <w:bCs/>
          <w:sz w:val="32"/>
          <w:szCs w:val="32"/>
        </w:rPr>
        <w:t>的可解释机器学习研究</w:t>
      </w:r>
    </w:p>
    <w:p w14:paraId="32555903" w14:textId="3907D921" w:rsidR="00313C1F" w:rsidRPr="00313C1F" w:rsidRDefault="00000000" w:rsidP="00313C1F">
      <w:r>
        <w:t>摘要：破框（</w:t>
      </w:r>
      <w:r>
        <w:t>Ausklammerung</w:t>
      </w:r>
      <w:r>
        <w:t>）集中体现了德语框型结构中的多重约束交互，但其协同机制尚缺乏系统实证。本文基于汉堡依存树库（</w:t>
      </w:r>
      <w:r>
        <w:t>HDT</w:t>
      </w:r>
      <w:r>
        <w:t>）</w:t>
      </w:r>
      <w:r>
        <w:t>153,03</w:t>
      </w:r>
      <w:r>
        <w:rPr>
          <w:rFonts w:hint="eastAsia"/>
        </w:rPr>
        <w:t>5</w:t>
      </w:r>
      <w:r>
        <w:t>句科技新闻语料，运用可解释机器学习发现：各约束以信息负荷与拓扑条件的非线性协同为核心，</w:t>
      </w:r>
      <w:r>
        <w:rPr>
          <w:rFonts w:hint="eastAsia"/>
        </w:rPr>
        <w:t>分化为“</w:t>
      </w:r>
      <w:r>
        <w:t>驱动</w:t>
      </w:r>
      <w:r>
        <w:t>—</w:t>
      </w:r>
      <w:r>
        <w:t>传导</w:t>
      </w:r>
      <w:r>
        <w:t>—</w:t>
      </w:r>
      <w:r>
        <w:t>边界</w:t>
      </w:r>
      <w:r>
        <w:rPr>
          <w:rFonts w:hint="eastAsia"/>
        </w:rPr>
        <w:t>”</w:t>
      </w:r>
      <w:r>
        <w:t>三重角色</w:t>
      </w:r>
      <w:r>
        <w:rPr>
          <w:rFonts w:hint="eastAsia"/>
        </w:rPr>
        <w:t>。</w:t>
      </w:r>
      <w:r>
        <w:t>信息负荷连续直接驱动，认知压力经拓扑条件间接传导，配价关系构成刚性边界。德语</w:t>
      </w:r>
      <w:r>
        <w:t>V2/VL</w:t>
      </w:r>
      <w:r>
        <w:t>配置对短语与从句产生相反调节；荷兰语及三种非框型北日耳曼语的对比进一步表明，传导路径随框型结构有无而出现或消失，驱动与边界跨语言稳定。本文将破框解释单位由单个约束转向框型结构所组织的约束分工，为</w:t>
      </w:r>
      <w:r>
        <w:rPr>
          <w:rFonts w:hint="eastAsia"/>
        </w:rPr>
        <w:t>“</w:t>
      </w:r>
      <w:r>
        <w:t>人驱复杂适应系统</w:t>
      </w:r>
      <w:r>
        <w:rPr>
          <w:rFonts w:hint="eastAsia"/>
        </w:rPr>
        <w:t>”</w:t>
      </w:r>
      <w:r>
        <w:t>所论生物普遍性与语言特殊性的区分提供</w:t>
      </w:r>
      <w:r>
        <w:rPr>
          <w:rFonts w:hint="eastAsia"/>
        </w:rPr>
        <w:t>句法</w:t>
      </w:r>
      <w:r>
        <w:t>实证</w:t>
      </w:r>
      <w:r>
        <w:rPr>
          <w:rFonts w:hint="eastAsia"/>
        </w:rPr>
        <w:t>。</w:t>
      </w:r>
    </w:p>
    <w:p w14:paraId="0F44A18F" w14:textId="77777777" w:rsidR="007736AC" w:rsidRPr="00313C1F" w:rsidRDefault="007736AC">
      <w:pPr>
        <w:pStyle w:val="a0"/>
        <w:ind w:firstLineChars="0" w:firstLine="0"/>
      </w:pPr>
    </w:p>
    <w:p w14:paraId="56F699C7" w14:textId="34A93F7D" w:rsidR="007736AC" w:rsidRPr="00F17C8A" w:rsidRDefault="00000000">
      <w:pPr>
        <w:pStyle w:val="a0"/>
        <w:ind w:firstLineChars="0" w:firstLine="0"/>
        <w:rPr>
          <w:lang w:val="en-US"/>
        </w:rPr>
      </w:pPr>
      <w:r>
        <w:t>关键词：德语破框；框型结构；约束分工；作用路径；可解释机器</w:t>
      </w:r>
      <w:r>
        <w:rPr>
          <w:rFonts w:hint="eastAsia"/>
        </w:rPr>
        <w:t>学习</w:t>
      </w:r>
    </w:p>
    <w:p w14:paraId="4D76554A" w14:textId="77777777" w:rsidR="007736AC" w:rsidRDefault="007736AC">
      <w:pPr>
        <w:pStyle w:val="a0"/>
        <w:ind w:firstLineChars="0" w:firstLine="0"/>
      </w:pPr>
    </w:p>
    <w:p w14:paraId="4FB2C43C" w14:textId="77777777" w:rsidR="007736AC" w:rsidRDefault="00000000" w:rsidP="00B86D8F">
      <w:pPr>
        <w:pStyle w:val="a0"/>
        <w:spacing w:before="0" w:after="0"/>
        <w:ind w:firstLineChars="0" w:firstLine="0"/>
        <w:rPr>
          <w:b/>
          <w:bCs/>
          <w:sz w:val="28"/>
          <w:szCs w:val="28"/>
        </w:rPr>
      </w:pPr>
      <w:r>
        <w:rPr>
          <w:rFonts w:hint="eastAsia"/>
          <w:b/>
          <w:bCs/>
          <w:sz w:val="28"/>
          <w:szCs w:val="28"/>
        </w:rPr>
        <w:t>一、引言</w:t>
      </w:r>
    </w:p>
    <w:p w14:paraId="181F0F29" w14:textId="77777777" w:rsidR="007736AC" w:rsidRDefault="007736AC" w:rsidP="00B86D8F">
      <w:pPr>
        <w:pStyle w:val="a0"/>
        <w:spacing w:before="0" w:after="0"/>
        <w:ind w:firstLineChars="0" w:firstLine="0"/>
      </w:pPr>
    </w:p>
    <w:p w14:paraId="7A9557CE" w14:textId="716B7AB2" w:rsidR="007736AC" w:rsidRDefault="00000000" w:rsidP="00B86D8F">
      <w:pPr>
        <w:pStyle w:val="a0"/>
        <w:spacing w:before="0" w:after="0"/>
      </w:pPr>
      <w:r>
        <w:t>德语拓扑场域模型以框型结构为核心：限定动词与非限定部分分居左、右句框，并围成中场（</w:t>
      </w:r>
      <w:r>
        <w:t>Thurmair</w:t>
      </w:r>
      <w:r>
        <w:t>，</w:t>
      </w:r>
      <w:r>
        <w:t>1991</w:t>
      </w:r>
      <w:r>
        <w:t>；</w:t>
      </w:r>
      <w:r>
        <w:t>Zifonun et al.</w:t>
      </w:r>
      <w:r>
        <w:t>，</w:t>
      </w:r>
      <w:r>
        <w:t>1997</w:t>
      </w:r>
      <w:r>
        <w:t>：</w:t>
      </w:r>
      <w:r>
        <w:t>1500</w:t>
      </w:r>
      <w:r>
        <w:t>）。</w:t>
      </w:r>
      <w:r>
        <w:rPr>
          <w:rFonts w:hint="eastAsia"/>
        </w:rPr>
        <w:t>当</w:t>
      </w:r>
      <w:r>
        <w:t>中场成分移至右句框之后的后场，句框被打破，即</w:t>
      </w:r>
      <w:r>
        <w:rPr>
          <w:rFonts w:hint="eastAsia"/>
        </w:rPr>
        <w:t>“</w:t>
      </w:r>
      <w:r>
        <w:t>破框</w:t>
      </w:r>
      <w:r>
        <w:rPr>
          <w:rFonts w:hint="eastAsia"/>
        </w:rPr>
        <w:t>”</w:t>
      </w:r>
      <w:r>
        <w:t>（</w:t>
      </w:r>
      <w:r>
        <w:t>Altmann</w:t>
      </w:r>
      <w:r>
        <w:t>，</w:t>
      </w:r>
      <w:r>
        <w:t>1981</w:t>
      </w:r>
      <w:r>
        <w:t>：</w:t>
      </w:r>
      <w:r>
        <w:t>65-70</w:t>
      </w:r>
      <w:r>
        <w:t>；</w:t>
      </w:r>
      <w:r>
        <w:t>Makovec</w:t>
      </w:r>
      <w:r>
        <w:t>，</w:t>
      </w:r>
      <w:r>
        <w:t>1983</w:t>
      </w:r>
      <w:r>
        <w:t>：</w:t>
      </w:r>
      <w:r>
        <w:t>266</w:t>
      </w:r>
      <w:r>
        <w:t>）</w:t>
      </w:r>
      <w:r>
        <w:rPr>
          <w:rStyle w:val="ae"/>
        </w:rPr>
        <w:footnoteReference w:id="1"/>
      </w:r>
      <w:r>
        <w:t>。</w:t>
      </w:r>
    </w:p>
    <w:p w14:paraId="4E5677B7" w14:textId="77777777" w:rsidR="007736AC" w:rsidRDefault="00000000" w:rsidP="00B86D8F">
      <w:pPr>
        <w:pStyle w:val="a0"/>
        <w:spacing w:before="0" w:after="0"/>
      </w:pPr>
      <w:r>
        <w:t>如图</w:t>
      </w:r>
      <w:r>
        <w:t>1</w:t>
      </w:r>
      <w:r>
        <w:t>所示，该例中关系从句被置于右句框</w:t>
      </w:r>
      <w:r>
        <w:t xml:space="preserve"> liegen </w:t>
      </w:r>
      <w:r>
        <w:t>之后，突破了句框结构</w:t>
      </w:r>
      <w:r>
        <w:rPr>
          <w:rFonts w:hint="eastAsia"/>
        </w:rPr>
        <w:t>：</w:t>
      </w:r>
    </w:p>
    <w:p w14:paraId="663B8750" w14:textId="77777777" w:rsidR="007736AC" w:rsidRDefault="00000000" w:rsidP="00B86D8F">
      <w:pPr>
        <w:pStyle w:val="a0"/>
        <w:spacing w:before="0" w:after="0"/>
      </w:pPr>
      <w:r>
        <w:rPr>
          <w:noProof/>
        </w:rPr>
        <w:drawing>
          <wp:inline distT="0" distB="0" distL="0" distR="0" wp14:anchorId="3172D4E5" wp14:editId="1D5E1183">
            <wp:extent cx="5334000" cy="1739900"/>
            <wp:effectExtent l="0" t="0" r="0" b="0"/>
            <wp:docPr id="2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pic:cNvPicPr>
                      <a:picLocks noChangeAspect="1" noChangeArrowheads="1"/>
                    </pic:cNvPicPr>
                  </pic:nvPicPr>
                  <pic:blipFill>
                    <a:blip r:embed="rId7"/>
                    <a:stretch>
                      <a:fillRect/>
                    </a:stretch>
                  </pic:blipFill>
                  <pic:spPr>
                    <a:xfrm>
                      <a:off x="0" y="0"/>
                      <a:ext cx="5334000" cy="1740270"/>
                    </a:xfrm>
                    <a:prstGeom prst="rect">
                      <a:avLst/>
                    </a:prstGeom>
                    <a:noFill/>
                    <a:ln w="9525">
                      <a:noFill/>
                    </a:ln>
                  </pic:spPr>
                </pic:pic>
              </a:graphicData>
            </a:graphic>
          </wp:inline>
        </w:drawing>
      </w:r>
    </w:p>
    <w:p w14:paraId="14C2EE1E" w14:textId="38859ABA" w:rsidR="007736AC" w:rsidRDefault="00000000" w:rsidP="00B86D8F">
      <w:pPr>
        <w:pStyle w:val="a0"/>
        <w:spacing w:before="0" w:after="0"/>
      </w:pPr>
      <w:r>
        <w:t>译文：这两家公司之间商定的费用应</w:t>
      </w:r>
      <w:r>
        <w:rPr>
          <w:rFonts w:hint="eastAsia"/>
        </w:rPr>
        <w:t>“</w:t>
      </w:r>
      <w:r>
        <w:t>明显</w:t>
      </w:r>
      <w:r>
        <w:rPr>
          <w:rFonts w:hint="eastAsia"/>
        </w:rPr>
        <w:t>”</w:t>
      </w:r>
      <w:r>
        <w:t>低于目前电信公司为同等服务向德国电信支付的现行监管价格</w:t>
      </w:r>
      <w:r>
        <w:rPr>
          <w:rFonts w:hint="eastAsia"/>
        </w:rPr>
        <w:t>。</w:t>
      </w:r>
    </w:p>
    <w:p w14:paraId="1535B783" w14:textId="77777777" w:rsidR="007736AC" w:rsidRDefault="00000000" w:rsidP="00B86D8F">
      <w:pPr>
        <w:pStyle w:val="a0"/>
        <w:spacing w:before="0" w:after="0"/>
        <w:ind w:firstLineChars="0" w:firstLine="0"/>
        <w:jc w:val="center"/>
      </w:pPr>
      <w:r>
        <w:t>图</w:t>
      </w:r>
      <w:r>
        <w:t xml:space="preserve">1 </w:t>
      </w:r>
      <w:r>
        <w:t>破框拓扑结构示例（</w:t>
      </w:r>
      <w:r>
        <w:t>HDT</w:t>
      </w:r>
      <w:r>
        <w:t>第</w:t>
      </w:r>
      <w:r>
        <w:t>20071</w:t>
      </w:r>
      <w:r>
        <w:t>句）</w:t>
      </w:r>
    </w:p>
    <w:p w14:paraId="48CDE26C" w14:textId="51BBFC85" w:rsidR="00A32E9B" w:rsidRDefault="00790BD6" w:rsidP="00B86D8F">
      <w:pPr>
        <w:pStyle w:val="a0"/>
        <w:spacing w:before="0" w:after="0"/>
      </w:pPr>
      <w:r>
        <w:t>破框曾被视为语法偏误（</w:t>
      </w:r>
      <w:r>
        <w:t>Glinz</w:t>
      </w:r>
      <w:r>
        <w:t>，</w:t>
      </w:r>
      <w:r>
        <w:t>1952</w:t>
      </w:r>
      <w:r>
        <w:t>；</w:t>
      </w:r>
      <w:r>
        <w:t>Boost</w:t>
      </w:r>
      <w:r>
        <w:t>，</w:t>
      </w:r>
      <w:r>
        <w:t>1956</w:t>
      </w:r>
      <w:r>
        <w:t>），此后转而被理解为框型结构下受多重因素制约的结构调整（</w:t>
      </w:r>
      <w:r>
        <w:t>Beneš</w:t>
      </w:r>
      <w:r>
        <w:t>，</w:t>
      </w:r>
      <w:r>
        <w:t>1968</w:t>
      </w:r>
      <w:r>
        <w:t>）。作为语序选择，破框并非由单一因素决定。既有研究</w:t>
      </w:r>
      <w:r>
        <w:rPr>
          <w:rFonts w:hint="eastAsia"/>
        </w:rPr>
        <w:t>已从语篇策略（</w:t>
      </w:r>
      <w:r>
        <w:rPr>
          <w:rFonts w:hint="eastAsia"/>
        </w:rPr>
        <w:t>Vinckel</w:t>
      </w:r>
      <w:r>
        <w:rPr>
          <w:rFonts w:hint="eastAsia"/>
        </w:rPr>
        <w:t>，</w:t>
      </w:r>
      <w:r>
        <w:rPr>
          <w:rFonts w:hint="eastAsia"/>
        </w:rPr>
        <w:t>2006</w:t>
      </w:r>
      <w:r>
        <w:rPr>
          <w:rFonts w:hint="eastAsia"/>
        </w:rPr>
        <w:t>）、信息密度（</w:t>
      </w:r>
      <w:r>
        <w:rPr>
          <w:rFonts w:hint="eastAsia"/>
        </w:rPr>
        <w:t>Voigtmann &amp; Speyer</w:t>
      </w:r>
      <w:r>
        <w:rPr>
          <w:rFonts w:hint="eastAsia"/>
        </w:rPr>
        <w:t>，</w:t>
      </w:r>
      <w:r>
        <w:rPr>
          <w:rFonts w:hint="eastAsia"/>
        </w:rPr>
        <w:t>2021</w:t>
      </w:r>
      <w:r>
        <w:rPr>
          <w:rFonts w:hint="eastAsia"/>
        </w:rPr>
        <w:t>）、认知负担（李媛等，</w:t>
      </w:r>
      <w:r>
        <w:rPr>
          <w:rFonts w:hint="eastAsia"/>
        </w:rPr>
        <w:t>2021</w:t>
      </w:r>
      <w:r>
        <w:rPr>
          <w:rFonts w:hint="eastAsia"/>
        </w:rPr>
        <w:t>）等角度识别了若干发生因素，但停留于“哪些因素显著”，较少追问因素如何共同作用。同时，现有多因素研究也多采用线性模型（</w:t>
      </w:r>
      <w:r>
        <w:rPr>
          <w:rFonts w:hint="eastAsia"/>
        </w:rPr>
        <w:t>Strunk</w:t>
      </w:r>
      <w:r>
        <w:rPr>
          <w:rFonts w:hint="eastAsia"/>
        </w:rPr>
        <w:t>，</w:t>
      </w:r>
      <w:r>
        <w:rPr>
          <w:rFonts w:hint="eastAsia"/>
        </w:rPr>
        <w:t>2014</w:t>
      </w:r>
      <w:r>
        <w:rPr>
          <w:rFonts w:hint="eastAsia"/>
        </w:rPr>
        <w:t>；</w:t>
      </w:r>
      <w:r>
        <w:rPr>
          <w:rFonts w:hint="eastAsia"/>
        </w:rPr>
        <w:t>Voigtmann &amp; Speyer</w:t>
      </w:r>
      <w:r>
        <w:rPr>
          <w:rFonts w:hint="eastAsia"/>
        </w:rPr>
        <w:t>，</w:t>
      </w:r>
      <w:r>
        <w:rPr>
          <w:rFonts w:hint="eastAsia"/>
        </w:rPr>
        <w:t>2021</w:t>
      </w:r>
      <w:r>
        <w:rPr>
          <w:rFonts w:hint="eastAsia"/>
        </w:rPr>
        <w:t>、</w:t>
      </w:r>
      <w:r>
        <w:rPr>
          <w:rFonts w:hint="eastAsia"/>
        </w:rPr>
        <w:t>2023</w:t>
      </w:r>
      <w:r>
        <w:rPr>
          <w:rFonts w:hint="eastAsia"/>
        </w:rPr>
        <w:t>），默认各因素独立叠加，难以呈现可能的非线性协同。</w:t>
      </w:r>
    </w:p>
    <w:p w14:paraId="1D742E2A" w14:textId="7BDAD2BF" w:rsidR="007736AC" w:rsidRPr="00DB09BA" w:rsidRDefault="00000000" w:rsidP="00B86D8F">
      <w:pPr>
        <w:pStyle w:val="a0"/>
        <w:spacing w:before="0" w:after="0"/>
        <w:rPr>
          <w:lang w:val="en-US"/>
        </w:rPr>
      </w:pPr>
      <w:r>
        <w:t>空缺同时指向理论框架：约束分类研究聚焦于何种压力驱动语序选择（</w:t>
      </w:r>
      <w:r>
        <w:t>Hawkins</w:t>
      </w:r>
      <w:r>
        <w:t>，</w:t>
      </w:r>
      <w:r>
        <w:t>2004</w:t>
      </w:r>
      <w:r>
        <w:t>；</w:t>
      </w:r>
      <w:r>
        <w:t>Jaeger</w:t>
      </w:r>
      <w:r>
        <w:t>，</w:t>
      </w:r>
      <w:r>
        <w:t>2010</w:t>
      </w:r>
      <w:r>
        <w:t>），却未具体考察这些压力经由何种结构传导。前者构成约束来源，后者关乎作用路径</w:t>
      </w:r>
      <w:r>
        <w:rPr>
          <w:rStyle w:val="ae"/>
        </w:rPr>
        <w:footnoteReference w:id="2"/>
      </w:r>
      <w:r>
        <w:t>。制约语序的压力根植于普遍认知机制（</w:t>
      </w:r>
      <w:r>
        <w:t>Gibson</w:t>
      </w:r>
      <w:r>
        <w:t>，</w:t>
      </w:r>
      <w:r>
        <w:t>1998</w:t>
      </w:r>
      <w:r>
        <w:t>：</w:t>
      </w:r>
      <w:r>
        <w:t>11</w:t>
      </w:r>
      <w:r>
        <w:t>；刘海涛，</w:t>
      </w:r>
      <w:r>
        <w:t>2025</w:t>
      </w:r>
      <w:r>
        <w:t>）</w:t>
      </w:r>
      <w:r w:rsidR="00053220">
        <w:rPr>
          <w:rFonts w:hint="eastAsia"/>
        </w:rPr>
        <w:t>，</w:t>
      </w:r>
      <w:r>
        <w:t>跨语言稳定（</w:t>
      </w:r>
      <w:r>
        <w:t>Hahn &amp; Xu</w:t>
      </w:r>
      <w:r>
        <w:t>，</w:t>
      </w:r>
      <w:r>
        <w:t>2022</w:t>
      </w:r>
      <w:r>
        <w:t>），但其到达语序的路径可能因结构配置而异。这</w:t>
      </w:r>
      <w:r>
        <w:lastRenderedPageBreak/>
        <w:t>一差异源于约束与结构层的耦合程度（即各约束在多大程度上依赖句法结构）：从独立于结构（如信息密度；</w:t>
      </w:r>
      <w:r>
        <w:t>Hahn &amp; Xu</w:t>
      </w:r>
      <w:r>
        <w:t>，</w:t>
      </w:r>
      <w:r>
        <w:t>2022</w:t>
      </w:r>
      <w:r>
        <w:t>），到依赖结构配置（如依存距离；李媛等，</w:t>
      </w:r>
      <w:r>
        <w:t>2021</w:t>
      </w:r>
      <w:r>
        <w:t>），再到构成结构本身（</w:t>
      </w:r>
      <w:r>
        <w:rPr>
          <w:rFonts w:hint="eastAsia"/>
        </w:rPr>
        <w:t>如</w:t>
      </w:r>
      <w:r>
        <w:t>配价关系；</w:t>
      </w:r>
      <w:r>
        <w:t>Tesnière</w:t>
      </w:r>
      <w:r>
        <w:t>，</w:t>
      </w:r>
      <w:r>
        <w:t>1959</w:t>
      </w:r>
      <w:r>
        <w:t>）</w:t>
      </w:r>
      <w:r>
        <w:rPr>
          <w:rFonts w:hint="eastAsia"/>
        </w:rPr>
        <w:t>。</w:t>
      </w:r>
      <w:r>
        <w:t>三者耦合程度依次递增，但不同约束是否因此发生功能角色分化，现有文献尚未系统考察。</w:t>
      </w:r>
    </w:p>
    <w:p w14:paraId="0D1BCE70" w14:textId="3B355947" w:rsidR="007736AC" w:rsidRDefault="00AB2729" w:rsidP="00B86D8F">
      <w:pPr>
        <w:pStyle w:val="a0"/>
        <w:spacing w:before="0" w:after="0"/>
      </w:pPr>
      <w:r>
        <w:rPr>
          <w:rFonts w:hint="eastAsia"/>
        </w:rPr>
        <w:t>若</w:t>
      </w:r>
      <w:r>
        <w:t>角色分化存在，其根源应在结构层而非加工系统本身。制约压力虽源于普遍认知机制，但须经由句法编码或韵律等结构层才能转化为语序选择，不从概念层直接投射（</w:t>
      </w:r>
      <w:r>
        <w:t>Levelt</w:t>
      </w:r>
      <w:r>
        <w:t>，</w:t>
      </w:r>
      <w:r>
        <w:t>1989</w:t>
      </w:r>
      <w:r>
        <w:t>：</w:t>
      </w:r>
      <w:r>
        <w:t>11-12</w:t>
      </w:r>
      <w:r>
        <w:t>；</w:t>
      </w:r>
      <w:r>
        <w:t>Bock &amp; Levelt</w:t>
      </w:r>
      <w:r>
        <w:t>，</w:t>
      </w:r>
      <w:r>
        <w:t>1994</w:t>
      </w:r>
      <w:r>
        <w:t>：</w:t>
      </w:r>
      <w:r>
        <w:t>974</w:t>
      </w:r>
      <w:r>
        <w:t>；</w:t>
      </w:r>
      <w:r>
        <w:t>Fanselow</w:t>
      </w:r>
      <w:r>
        <w:t>，</w:t>
      </w:r>
      <w:r>
        <w:t>2008</w:t>
      </w:r>
      <w:r>
        <w:t>）。结构层的差异</w:t>
      </w:r>
      <w:r>
        <w:rPr>
          <w:rFonts w:hint="eastAsia"/>
        </w:rPr>
        <w:t>进而可使同一压力产生不同甚至相反的语序效果（</w:t>
      </w:r>
      <w:r>
        <w:rPr>
          <w:rFonts w:hint="eastAsia"/>
        </w:rPr>
        <w:t>Yamashita &amp; Chang</w:t>
      </w:r>
      <w:r>
        <w:rPr>
          <w:rFonts w:hint="eastAsia"/>
        </w:rPr>
        <w:t>，</w:t>
      </w:r>
      <w:r>
        <w:rPr>
          <w:rFonts w:hint="eastAsia"/>
        </w:rPr>
        <w:t>2001</w:t>
      </w:r>
      <w:r>
        <w:rPr>
          <w:rFonts w:hint="eastAsia"/>
        </w:rPr>
        <w:t>；</w:t>
      </w:r>
      <w:r>
        <w:rPr>
          <w:rFonts w:hint="eastAsia"/>
        </w:rPr>
        <w:t>Jing et al.</w:t>
      </w:r>
      <w:r>
        <w:rPr>
          <w:rFonts w:hint="eastAsia"/>
        </w:rPr>
        <w:t>，</w:t>
      </w:r>
      <w:r>
        <w:rPr>
          <w:rFonts w:hint="eastAsia"/>
        </w:rPr>
        <w:t>2021</w:t>
      </w:r>
      <w:r>
        <w:rPr>
          <w:rFonts w:hint="eastAsia"/>
        </w:rPr>
        <w:t>；</w:t>
      </w:r>
      <w:r>
        <w:rPr>
          <w:rFonts w:hint="eastAsia"/>
        </w:rPr>
        <w:t>Levy &amp; Keller</w:t>
      </w:r>
      <w:r>
        <w:rPr>
          <w:rFonts w:hint="eastAsia"/>
        </w:rPr>
        <w:t>，</w:t>
      </w:r>
      <w:r>
        <w:rPr>
          <w:rFonts w:hint="eastAsia"/>
        </w:rPr>
        <w:t>2013</w:t>
      </w:r>
      <w:r>
        <w:rPr>
          <w:rFonts w:hint="eastAsia"/>
        </w:rPr>
        <w:t>）。由此，来源与路径构成两个独立层面：前者属于加工系统的普遍属性；后者依托语言特有的结构配置。这一分工对应“人驱复杂适应系统”所概括的生物普遍性与语言特殊性（刘海涛，</w:t>
      </w:r>
      <w:r>
        <w:rPr>
          <w:rFonts w:hint="eastAsia"/>
        </w:rPr>
        <w:t>2025</w:t>
      </w:r>
      <w:r>
        <w:rPr>
          <w:rFonts w:hint="eastAsia"/>
        </w:rPr>
        <w:t>）</w:t>
      </w:r>
      <w:r>
        <w:rPr>
          <w:rStyle w:val="ae"/>
        </w:rPr>
        <w:footnoteReference w:id="3"/>
      </w:r>
      <w:r>
        <w:t>。</w:t>
      </w:r>
      <w:r>
        <w:rPr>
          <w:rFonts w:hint="eastAsia"/>
        </w:rPr>
        <w:t>若</w:t>
      </w:r>
      <w:r>
        <w:t>角色分工由特定句法结构塑造，传导方式应随结构配置而变，</w:t>
      </w:r>
      <w:r>
        <w:rPr>
          <w:rFonts w:hint="eastAsia"/>
        </w:rPr>
        <w:t>并</w:t>
      </w:r>
      <w:r>
        <w:t>随结构存否而出现或消失。</w:t>
      </w:r>
    </w:p>
    <w:p w14:paraId="7ECB559B" w14:textId="5884FD27" w:rsidR="007736AC" w:rsidRDefault="00000000" w:rsidP="00B86D8F">
      <w:pPr>
        <w:pStyle w:val="a0"/>
        <w:spacing w:before="0" w:after="0"/>
      </w:pPr>
      <w:r>
        <w:t>德语框型结构正适合检验这一问题：信息负荷在线性序列</w:t>
      </w:r>
      <w:r>
        <w:rPr>
          <w:rFonts w:hint="eastAsia"/>
        </w:rPr>
        <w:t>中体现</w:t>
      </w:r>
      <w:r>
        <w:t>，认知压力受拓扑结构制约，配价关系则生成句框。三者覆盖从相对独立于结构到构成结构本身的耦合梯度。加之形式边界清晰、变体可稳定识别，适于大规模语料考察。本文据此提出三个递进问题，聚焦框型结构是否不仅提供破框发生的背景，更充当约束分工的组织者：</w:t>
      </w:r>
    </w:p>
    <w:p w14:paraId="59A020FB" w14:textId="388BBCF9" w:rsidR="007736AC" w:rsidRDefault="00000000" w:rsidP="00B86D8F">
      <w:pPr>
        <w:pStyle w:val="a0"/>
        <w:spacing w:before="0" w:after="0"/>
        <w:ind w:firstLineChars="0"/>
      </w:pPr>
      <w:r>
        <w:t>1.</w:t>
      </w:r>
      <w:r>
        <w:rPr>
          <w:rFonts w:hint="eastAsia"/>
        </w:rPr>
        <w:t xml:space="preserve"> </w:t>
      </w:r>
      <w:r>
        <w:t>制约后场外置的各约束</w:t>
      </w:r>
      <w:r>
        <w:rPr>
          <w:rFonts w:hint="eastAsia"/>
        </w:rPr>
        <w:t>之间的作用方式</w:t>
      </w:r>
      <w:r>
        <w:t>是独立叠加，还是存在非线性协同</w:t>
      </w:r>
      <w:r w:rsidR="00B06189">
        <w:rPr>
          <w:rFonts w:hint="eastAsia"/>
        </w:rPr>
        <w:t>？</w:t>
      </w:r>
      <w:r>
        <w:t>若协同取代叠加</w:t>
      </w:r>
      <w:r>
        <w:rPr>
          <w:rFonts w:hint="eastAsia"/>
        </w:rPr>
        <w:t>，核</w:t>
      </w:r>
      <w:r>
        <w:t>心协同集中于哪些约束之间？</w:t>
      </w:r>
    </w:p>
    <w:p w14:paraId="6F1E18D1" w14:textId="77777777" w:rsidR="007736AC" w:rsidRDefault="00000000" w:rsidP="00B86D8F">
      <w:pPr>
        <w:pStyle w:val="a0"/>
        <w:spacing w:before="0" w:after="0"/>
        <w:ind w:firstLineChars="0"/>
      </w:pPr>
      <w:r>
        <w:t xml:space="preserve">2. </w:t>
      </w:r>
      <w:r>
        <w:t>各约束的功能角色是否随其与结构层的耦合程度而分化？</w:t>
      </w:r>
      <w:r>
        <w:rPr>
          <w:rStyle w:val="ab"/>
          <w:b w:val="0"/>
          <w:bCs w:val="0"/>
        </w:rPr>
        <w:t>若分化</w:t>
      </w:r>
      <w:r>
        <w:rPr>
          <w:rStyle w:val="ab"/>
          <w:rFonts w:hint="eastAsia"/>
          <w:b w:val="0"/>
          <w:bCs w:val="0"/>
        </w:rPr>
        <w:t>存在</w:t>
      </w:r>
      <w:r>
        <w:t>，各约束担当何种功能角色？</w:t>
      </w:r>
    </w:p>
    <w:p w14:paraId="70AB0FBF" w14:textId="5667E7DB" w:rsidR="008717AB" w:rsidRDefault="00000000" w:rsidP="00B86D8F">
      <w:pPr>
        <w:pStyle w:val="a0"/>
        <w:spacing w:before="0" w:after="0"/>
        <w:ind w:firstLineChars="0"/>
      </w:pPr>
      <w:r>
        <w:t xml:space="preserve">3. </w:t>
      </w:r>
      <w:r>
        <w:t>角色分工是否由框型结构所组织？若</w:t>
      </w:r>
      <w:r>
        <w:rPr>
          <w:rFonts w:hint="eastAsia"/>
        </w:rPr>
        <w:t>这一</w:t>
      </w:r>
      <w:r>
        <w:t>关系成立，该分工应如何随句框配置而变，并随框型结构有无而出现或消失？</w:t>
      </w:r>
    </w:p>
    <w:p w14:paraId="6D87FBF5" w14:textId="09E052B1" w:rsidR="0077695F" w:rsidRPr="00AB2729" w:rsidRDefault="005D65DD" w:rsidP="00B86D8F">
      <w:pPr>
        <w:spacing w:after="0"/>
        <w:ind w:firstLine="420"/>
        <w:rPr>
          <w:lang w:val="en-US"/>
        </w:rPr>
      </w:pPr>
      <w:r>
        <w:t>为系统回答上述问题，本文借助梯度提升（</w:t>
      </w:r>
      <w:r>
        <w:t>Chen &amp; Guestrin</w:t>
      </w:r>
      <w:r>
        <w:t>，</w:t>
      </w:r>
      <w:r>
        <w:t>2016</w:t>
      </w:r>
      <w:r>
        <w:t>）与路径归因（</w:t>
      </w:r>
      <w:r>
        <w:t>Causal SHAP</w:t>
      </w:r>
      <w:r>
        <w:t>；</w:t>
      </w:r>
      <w:r>
        <w:t>Ng et al.</w:t>
      </w:r>
      <w:r>
        <w:t>，</w:t>
      </w:r>
      <w:r>
        <w:t>2025</w:t>
      </w:r>
      <w:r>
        <w:t>）等可解释机器学习方法，</w:t>
      </w:r>
      <w:r>
        <w:rPr>
          <w:rFonts w:hint="eastAsia"/>
        </w:rPr>
        <w:t>在大规模语料上识别非线性协同并分解约束作用方式；进而通过德语内部句型与跨语言对照，考察分工如何随句框配置分化、随框型结构存否重组。</w:t>
      </w:r>
    </w:p>
    <w:p w14:paraId="14D9E3A9" w14:textId="77777777" w:rsidR="007736AC" w:rsidRDefault="007736AC" w:rsidP="00B86D8F">
      <w:pPr>
        <w:pStyle w:val="a0"/>
        <w:spacing w:before="0" w:after="0"/>
        <w:ind w:firstLineChars="0" w:firstLine="0"/>
        <w:rPr>
          <w:lang w:val="en-US"/>
        </w:rPr>
      </w:pPr>
    </w:p>
    <w:p w14:paraId="05FF9567" w14:textId="77777777" w:rsidR="007736AC" w:rsidRDefault="00000000" w:rsidP="00B86D8F">
      <w:pPr>
        <w:pStyle w:val="a0"/>
        <w:spacing w:before="0" w:after="0"/>
        <w:ind w:firstLineChars="0" w:firstLine="0"/>
        <w:rPr>
          <w:b/>
          <w:bCs/>
          <w:sz w:val="28"/>
          <w:szCs w:val="28"/>
        </w:rPr>
      </w:pPr>
      <w:r>
        <w:rPr>
          <w:b/>
          <w:bCs/>
          <w:sz w:val="28"/>
          <w:szCs w:val="28"/>
        </w:rPr>
        <w:t>二、研究设计</w:t>
      </w:r>
    </w:p>
    <w:p w14:paraId="39133D13" w14:textId="77777777" w:rsidR="007736AC" w:rsidRDefault="007736AC" w:rsidP="00B86D8F">
      <w:pPr>
        <w:pStyle w:val="a0"/>
        <w:spacing w:before="0" w:after="0"/>
        <w:ind w:firstLineChars="0" w:firstLine="0"/>
      </w:pPr>
    </w:p>
    <w:p w14:paraId="321AE5A2" w14:textId="77777777" w:rsidR="007736AC" w:rsidRDefault="00000000" w:rsidP="00B86D8F">
      <w:pPr>
        <w:pStyle w:val="a0"/>
        <w:spacing w:before="0" w:after="0"/>
        <w:ind w:firstLineChars="0" w:firstLine="0"/>
      </w:pPr>
      <w:r>
        <w:rPr>
          <w:b/>
          <w:bCs/>
          <w:sz w:val="24"/>
          <w:szCs w:val="24"/>
        </w:rPr>
        <w:t>1.</w:t>
      </w:r>
      <w:r>
        <w:rPr>
          <w:b/>
          <w:bCs/>
          <w:sz w:val="24"/>
          <w:szCs w:val="24"/>
        </w:rPr>
        <w:t>语料与破框识别</w:t>
      </w:r>
    </w:p>
    <w:p w14:paraId="4CE848A0" w14:textId="77777777" w:rsidR="006F122C" w:rsidRDefault="006F122C" w:rsidP="00B86D8F">
      <w:pPr>
        <w:pStyle w:val="a0"/>
        <w:spacing w:before="0" w:after="0"/>
        <w:ind w:firstLineChars="0" w:firstLine="0"/>
      </w:pPr>
    </w:p>
    <w:p w14:paraId="0636F4A0" w14:textId="43FE2914" w:rsidR="007736AC" w:rsidRDefault="0087112E" w:rsidP="00B86D8F">
      <w:pPr>
        <w:pStyle w:val="a0"/>
        <w:spacing w:before="0" w:after="0"/>
      </w:pPr>
      <w:r>
        <w:t>本研究采用汉堡依存树库（</w:t>
      </w:r>
      <w:r>
        <w:t>UD_German-HDT 2.13</w:t>
      </w:r>
      <w:r>
        <w:t>；</w:t>
      </w:r>
      <w:r>
        <w:t>Borges Völker et al.</w:t>
      </w:r>
      <w:r>
        <w:t>，</w:t>
      </w:r>
      <w:r>
        <w:t>2019</w:t>
      </w:r>
      <w:r>
        <w:t>）的</w:t>
      </w:r>
      <w:r>
        <w:t>153,035</w:t>
      </w:r>
      <w:r>
        <w:t>条科技新闻句例。该树库是</w:t>
      </w:r>
      <w:r>
        <w:t>UD</w:t>
      </w:r>
      <w:r>
        <w:t>框架下规模最大的德语树库</w:t>
      </w:r>
      <w:r>
        <w:rPr>
          <w:rFonts w:hint="eastAsia"/>
        </w:rPr>
        <w:t>。新闻</w:t>
      </w:r>
      <w:r>
        <w:t>语言兼顾标准性与时代特征，适于反映破框在当代书面语中的使用情况（李媛等，</w:t>
      </w:r>
      <w:r>
        <w:t>2021</w:t>
      </w:r>
      <w:r>
        <w:t>）。</w:t>
      </w:r>
      <w:r>
        <w:rPr>
          <w:rFonts w:hint="eastAsia"/>
        </w:rPr>
        <w:t>本文</w:t>
      </w:r>
      <w:r>
        <w:t>依据拓扑场域模型（</w:t>
      </w:r>
      <w:r>
        <w:t>Thurmair</w:t>
      </w:r>
      <w:r>
        <w:t>，</w:t>
      </w:r>
      <w:r>
        <w:t>1991</w:t>
      </w:r>
      <w:r>
        <w:t>；</w:t>
      </w:r>
      <w:r>
        <w:t>Zifonun et al.</w:t>
      </w:r>
      <w:r>
        <w:t>，</w:t>
      </w:r>
      <w:r>
        <w:t>1997</w:t>
      </w:r>
      <w:r>
        <w:t>：</w:t>
      </w:r>
      <w:r>
        <w:t>1500</w:t>
      </w:r>
      <w:r>
        <w:t>），以右句框为锚点识别后场成分，分层随机核验通过率</w:t>
      </w:r>
      <w:r>
        <w:rPr>
          <w:rFonts w:hint="eastAsia"/>
        </w:rPr>
        <w:t>为</w:t>
      </w:r>
      <w:r>
        <w:t>97.5%</w:t>
      </w:r>
      <w:r>
        <w:rPr>
          <w:rStyle w:val="ae"/>
        </w:rPr>
        <w:footnoteReference w:id="4"/>
      </w:r>
      <w:r>
        <w:t>。</w:t>
      </w:r>
    </w:p>
    <w:p w14:paraId="05535115" w14:textId="77777777" w:rsidR="006F122C" w:rsidRDefault="006F122C" w:rsidP="00B86D8F">
      <w:pPr>
        <w:pStyle w:val="a0"/>
        <w:spacing w:before="0" w:after="0"/>
        <w:ind w:firstLineChars="0" w:firstLine="0"/>
      </w:pPr>
    </w:p>
    <w:p w14:paraId="685A3385" w14:textId="77777777" w:rsidR="007736AC" w:rsidRDefault="00000000" w:rsidP="00B86D8F">
      <w:pPr>
        <w:pStyle w:val="a0"/>
        <w:spacing w:before="0" w:after="0"/>
        <w:ind w:firstLineChars="0" w:firstLine="0"/>
      </w:pPr>
      <w:r>
        <w:rPr>
          <w:b/>
          <w:bCs/>
          <w:sz w:val="24"/>
          <w:szCs w:val="24"/>
        </w:rPr>
        <w:t>2.</w:t>
      </w:r>
      <w:r>
        <w:rPr>
          <w:b/>
          <w:bCs/>
          <w:sz w:val="24"/>
          <w:szCs w:val="24"/>
        </w:rPr>
        <w:t>特征体系</w:t>
      </w:r>
    </w:p>
    <w:p w14:paraId="67776B8D" w14:textId="77777777" w:rsidR="006F122C" w:rsidRDefault="006F122C" w:rsidP="00B86D8F">
      <w:pPr>
        <w:pStyle w:val="a0"/>
        <w:spacing w:before="0" w:after="0"/>
        <w:ind w:firstLineChars="0" w:firstLine="0"/>
      </w:pPr>
    </w:p>
    <w:p w14:paraId="0252B3E6" w14:textId="77777777" w:rsidR="00AB2729" w:rsidRDefault="00AB2729" w:rsidP="00B86D8F">
      <w:pPr>
        <w:pStyle w:val="a0"/>
        <w:spacing w:before="0" w:after="0"/>
      </w:pPr>
      <w:r>
        <w:t>围绕上述研究问题，本文构建涵盖五个理论维度的特征体系，从结构环境、信息驱动力与成分属性三个层面切入。</w:t>
      </w:r>
    </w:p>
    <w:p w14:paraId="4108FFD7" w14:textId="4E83F2B1" w:rsidR="0087112E" w:rsidRDefault="0087112E" w:rsidP="00B86D8F">
      <w:pPr>
        <w:pStyle w:val="a0"/>
        <w:spacing w:before="0" w:after="0"/>
      </w:pPr>
      <w:r>
        <w:t>句法边界条件与局部认知负担刻画成分所处的结构环境，分别依据加工域最小化原则（</w:t>
      </w:r>
      <w:r>
        <w:t>Hawkins</w:t>
      </w:r>
      <w:r>
        <w:t>，</w:t>
      </w:r>
      <w:r>
        <w:t>1994</w:t>
      </w:r>
      <w:r>
        <w:t>：</w:t>
      </w:r>
      <w:r>
        <w:t>57</w:t>
      </w:r>
      <w:r>
        <w:t>，</w:t>
      </w:r>
      <w:r>
        <w:t>2004</w:t>
      </w:r>
      <w:r>
        <w:t>：</w:t>
      </w:r>
      <w:r>
        <w:t>31</w:t>
      </w:r>
      <w:r>
        <w:t>；</w:t>
      </w:r>
      <w:r>
        <w:t>Strunk</w:t>
      </w:r>
      <w:r>
        <w:t>，</w:t>
      </w:r>
      <w:r>
        <w:t>2014</w:t>
      </w:r>
      <w:r>
        <w:t>）与依存局部性原则（</w:t>
      </w:r>
      <w:r>
        <w:t>Gibson</w:t>
      </w:r>
      <w:r>
        <w:t>，</w:t>
      </w:r>
      <w:r>
        <w:t>1998</w:t>
      </w:r>
      <w:r>
        <w:t>：</w:t>
      </w:r>
      <w:r>
        <w:t>11</w:t>
      </w:r>
      <w:r>
        <w:t>；</w:t>
      </w:r>
      <w:r>
        <w:t>Cowan</w:t>
      </w:r>
      <w:r>
        <w:t>，</w:t>
      </w:r>
      <w:r>
        <w:t>2001</w:t>
      </w:r>
      <w:r>
        <w:t>），考察宿主词位置对后场空间的限定作用，以及成分内部依存跨度施加的加工压力。语篇信息组织维度以惊奇度（</w:t>
      </w:r>
      <w:r>
        <w:t>Hale</w:t>
      </w:r>
      <w:r>
        <w:t>，</w:t>
      </w:r>
      <w:r>
        <w:t>2001</w:t>
      </w:r>
      <w:r>
        <w:t>；</w:t>
      </w:r>
      <w:r>
        <w:t>Levy</w:t>
      </w:r>
      <w:r>
        <w:t>，</w:t>
      </w:r>
      <w:r>
        <w:t>2008</w:t>
      </w:r>
      <w:r>
        <w:t>）与均匀信息密度假说（</w:t>
      </w:r>
      <w:r>
        <w:t>Jaeger</w:t>
      </w:r>
      <w:r>
        <w:t>，</w:t>
      </w:r>
      <w:r>
        <w:t>2010</w:t>
      </w:r>
      <w:r>
        <w:t>）为基础，考察信息</w:t>
      </w:r>
      <w:r>
        <w:rPr>
          <w:rFonts w:hint="eastAsia"/>
        </w:rPr>
        <w:t>负荷</w:t>
      </w:r>
      <w:r>
        <w:t>对外置的驱动作用</w:t>
      </w:r>
      <w:r>
        <w:rPr>
          <w:rStyle w:val="ae"/>
        </w:rPr>
        <w:footnoteReference w:id="5"/>
      </w:r>
      <w:r>
        <w:t>。形式承载与句法功能刻画成分属性：词汇密度与</w:t>
      </w:r>
      <w:r>
        <w:rPr>
          <w:rFonts w:hint="eastAsia"/>
        </w:rPr>
        <w:t>上下文重叠度</w:t>
      </w:r>
      <w:r>
        <w:t>反映产出难度（</w:t>
      </w:r>
      <w:r>
        <w:t>Arnold et al.</w:t>
      </w:r>
      <w:r>
        <w:t>，</w:t>
      </w:r>
      <w:r>
        <w:t>2000</w:t>
      </w:r>
      <w:r>
        <w:t>），核心论元身份则</w:t>
      </w:r>
      <w:r>
        <w:lastRenderedPageBreak/>
        <w:t>对应配价理论（</w:t>
      </w:r>
      <w:r>
        <w:t>Tesnière</w:t>
      </w:r>
      <w:r>
        <w:t>，</w:t>
      </w:r>
      <w:r>
        <w:t>1959</w:t>
      </w:r>
      <w:r>
        <w:t>）</w:t>
      </w:r>
      <w:r>
        <w:rPr>
          <w:rStyle w:val="ae"/>
        </w:rPr>
        <w:footnoteReference w:id="6"/>
      </w:r>
      <w:r>
        <w:t>与拓扑重组抗性（</w:t>
      </w:r>
      <w:r>
        <w:t>Lenerz</w:t>
      </w:r>
      <w:r>
        <w:t>，</w:t>
      </w:r>
      <w:r>
        <w:t>1984</w:t>
      </w:r>
      <w:r>
        <w:t>：</w:t>
      </w:r>
      <w:r>
        <w:t>170</w:t>
      </w:r>
      <w:r>
        <w:t>），限制外置的可行域。</w:t>
      </w:r>
    </w:p>
    <w:p w14:paraId="114BC43C" w14:textId="77777777" w:rsidR="007736AC" w:rsidRDefault="00000000" w:rsidP="00B86D8F">
      <w:pPr>
        <w:pStyle w:val="a0"/>
        <w:spacing w:before="0" w:after="0"/>
      </w:pPr>
      <w:r>
        <w:t>本文初步提取</w:t>
      </w:r>
      <w:r>
        <w:t>18</w:t>
      </w:r>
      <w:r>
        <w:t>项候选指标，经共线性剔除（</w:t>
      </w:r>
      <w:r>
        <w:t>|r| ≥ 0.70</w:t>
      </w:r>
      <w:r>
        <w:t>；</w:t>
      </w:r>
      <w:r>
        <w:t>Dormann et al.</w:t>
      </w:r>
      <w:r>
        <w:t>，</w:t>
      </w:r>
      <w:r>
        <w:t>2013</w:t>
      </w:r>
      <w:r>
        <w:t>）与互信息区分度排序（</w:t>
      </w:r>
      <w:r>
        <w:t>Cover &amp; Thomas</w:t>
      </w:r>
      <w:r>
        <w:t>，</w:t>
      </w:r>
      <w:r>
        <w:t>2006</w:t>
      </w:r>
      <w:r>
        <w:t>）后确定</w:t>
      </w:r>
      <w:r>
        <w:t>9</w:t>
      </w:r>
      <w:r>
        <w:t>项核心变量（操作化定义见表</w:t>
      </w:r>
      <w:r>
        <w:t>1</w:t>
      </w:r>
      <w:r>
        <w:t>）</w:t>
      </w:r>
      <w:r>
        <w:rPr>
          <w:rStyle w:val="ae"/>
        </w:rPr>
        <w:footnoteReference w:id="7"/>
      </w:r>
      <w:r>
        <w:t>。</w:t>
      </w:r>
    </w:p>
    <w:p w14:paraId="22B3DF35" w14:textId="1F972512" w:rsidR="007736AC" w:rsidRDefault="00000000" w:rsidP="00B86D8F">
      <w:pPr>
        <w:pStyle w:val="a0"/>
        <w:spacing w:before="0" w:after="0"/>
        <w:ind w:firstLineChars="0" w:firstLine="0"/>
        <w:jc w:val="center"/>
      </w:pPr>
      <w:r>
        <w:t>表</w:t>
      </w:r>
      <w:r>
        <w:t xml:space="preserve">1 </w:t>
      </w:r>
      <w:r>
        <w:t>各变量的操作化定义、计算方式与来源</w:t>
      </w:r>
      <w:r>
        <w:rPr>
          <w:rStyle w:val="ae"/>
        </w:rPr>
        <w:footnoteReference w:id="8"/>
      </w:r>
    </w:p>
    <w:tbl>
      <w:tblPr>
        <w:tblStyle w:val="Table"/>
        <w:tblW w:w="5000" w:type="pct"/>
        <w:tblInd w:w="0" w:type="dxa"/>
        <w:tblBorders>
          <w:top w:val="single" w:sz="12" w:space="0" w:color="000000"/>
          <w:bottom w:val="single" w:sz="12" w:space="0" w:color="000000"/>
          <w:insideH w:val="none" w:sz="0" w:space="0" w:color="000000"/>
          <w:insideV w:val="none" w:sz="0" w:space="0" w:color="000000"/>
        </w:tblBorders>
        <w:tblLayout w:type="fixed"/>
        <w:tblLook w:val="04A0" w:firstRow="1" w:lastRow="0" w:firstColumn="1" w:lastColumn="0" w:noHBand="0" w:noVBand="1"/>
      </w:tblPr>
      <w:tblGrid>
        <w:gridCol w:w="1503"/>
        <w:gridCol w:w="1908"/>
        <w:gridCol w:w="3110"/>
        <w:gridCol w:w="1785"/>
      </w:tblGrid>
      <w:tr w:rsidR="007736AC" w14:paraId="4D825342" w14:textId="77777777" w:rsidTr="00EC20D4">
        <w:trPr>
          <w:cnfStyle w:val="100000000000" w:firstRow="1" w:lastRow="0" w:firstColumn="0" w:lastColumn="0" w:oddVBand="0" w:evenVBand="0" w:oddHBand="0" w:evenHBand="0" w:firstRowFirstColumn="0" w:firstRowLastColumn="0" w:lastRowFirstColumn="0" w:lastRowLastColumn="0"/>
          <w:tblHeader/>
        </w:trPr>
        <w:tc>
          <w:tcPr>
            <w:tcW w:w="1503" w:type="dxa"/>
            <w:tcBorders>
              <w:bottom w:val="single" w:sz="6" w:space="0" w:color="000000"/>
            </w:tcBorders>
          </w:tcPr>
          <w:p w14:paraId="6986AA93" w14:textId="77777777" w:rsidR="007736AC" w:rsidRDefault="00000000" w:rsidP="00B86D8F">
            <w:pPr>
              <w:pStyle w:val="Compact"/>
              <w:spacing w:before="0" w:after="0"/>
              <w:ind w:firstLineChars="250" w:firstLine="527"/>
            </w:pPr>
            <w:r>
              <w:rPr>
                <w:b/>
                <w:bCs/>
              </w:rPr>
              <w:t>维度</w:t>
            </w:r>
          </w:p>
        </w:tc>
        <w:tc>
          <w:tcPr>
            <w:tcW w:w="1908" w:type="dxa"/>
            <w:tcBorders>
              <w:bottom w:val="single" w:sz="6" w:space="0" w:color="000000"/>
            </w:tcBorders>
          </w:tcPr>
          <w:p w14:paraId="6E4ABDB0" w14:textId="77777777" w:rsidR="007736AC" w:rsidRDefault="00000000" w:rsidP="00B86D8F">
            <w:pPr>
              <w:pStyle w:val="Compact"/>
              <w:spacing w:before="0" w:after="0"/>
              <w:ind w:firstLineChars="299" w:firstLine="630"/>
            </w:pPr>
            <w:r>
              <w:rPr>
                <w:b/>
                <w:bCs/>
              </w:rPr>
              <w:t>变量</w:t>
            </w:r>
          </w:p>
        </w:tc>
        <w:tc>
          <w:tcPr>
            <w:tcW w:w="3110" w:type="dxa"/>
            <w:tcBorders>
              <w:bottom w:val="single" w:sz="6" w:space="0" w:color="000000"/>
            </w:tcBorders>
          </w:tcPr>
          <w:p w14:paraId="445C058B" w14:textId="77777777" w:rsidR="007736AC" w:rsidRDefault="00000000" w:rsidP="00B86D8F">
            <w:pPr>
              <w:pStyle w:val="Compact"/>
              <w:spacing w:before="0" w:after="0"/>
              <w:ind w:firstLineChars="300" w:firstLine="632"/>
            </w:pPr>
            <w:r>
              <w:rPr>
                <w:b/>
                <w:bCs/>
              </w:rPr>
              <w:t>定义与计算</w:t>
            </w:r>
          </w:p>
        </w:tc>
        <w:tc>
          <w:tcPr>
            <w:tcW w:w="1785" w:type="dxa"/>
            <w:tcBorders>
              <w:bottom w:val="single" w:sz="6" w:space="0" w:color="000000"/>
            </w:tcBorders>
          </w:tcPr>
          <w:p w14:paraId="194D8209" w14:textId="77777777" w:rsidR="007736AC" w:rsidRDefault="00000000" w:rsidP="00B86D8F">
            <w:pPr>
              <w:pStyle w:val="Compact"/>
              <w:spacing w:before="0" w:after="0"/>
              <w:ind w:firstLineChars="250" w:firstLine="527"/>
            </w:pPr>
            <w:r>
              <w:rPr>
                <w:b/>
                <w:bCs/>
              </w:rPr>
              <w:t>来源</w:t>
            </w:r>
          </w:p>
        </w:tc>
      </w:tr>
      <w:tr w:rsidR="007736AC" w14:paraId="1A735D35" w14:textId="77777777" w:rsidTr="00EC20D4">
        <w:tc>
          <w:tcPr>
            <w:tcW w:w="1503" w:type="dxa"/>
          </w:tcPr>
          <w:p w14:paraId="1BC0E977" w14:textId="77777777" w:rsidR="007736AC" w:rsidRDefault="00000000" w:rsidP="00B86D8F">
            <w:pPr>
              <w:pStyle w:val="Compact"/>
              <w:spacing w:before="0" w:after="0"/>
              <w:ind w:firstLineChars="0" w:firstLine="0"/>
              <w:jc w:val="center"/>
            </w:pPr>
            <w:r>
              <w:t>句法边界条件</w:t>
            </w:r>
          </w:p>
        </w:tc>
        <w:tc>
          <w:tcPr>
            <w:tcW w:w="1908" w:type="dxa"/>
          </w:tcPr>
          <w:p w14:paraId="52C92F94" w14:textId="77777777" w:rsidR="007736AC" w:rsidRDefault="00000000" w:rsidP="00B86D8F">
            <w:pPr>
              <w:pStyle w:val="Compact"/>
              <w:spacing w:before="0" w:after="0"/>
              <w:ind w:firstLineChars="0" w:firstLine="0"/>
              <w:jc w:val="center"/>
            </w:pPr>
            <w:r>
              <w:t>宿主词位置</w:t>
            </w:r>
          </w:p>
        </w:tc>
        <w:tc>
          <w:tcPr>
            <w:tcW w:w="3110" w:type="dxa"/>
          </w:tcPr>
          <w:p w14:paraId="0B332732" w14:textId="77777777" w:rsidR="007736AC" w:rsidRDefault="00000000" w:rsidP="00B86D8F">
            <w:pPr>
              <w:pStyle w:val="Compact"/>
              <w:spacing w:before="0" w:after="0"/>
              <w:ind w:firstLineChars="0" w:firstLine="0"/>
            </w:pPr>
            <w:r>
              <w:t>宿主词在句中的绝对索引位置</w:t>
            </w:r>
            <w:r>
              <w:t>/</w:t>
            </w:r>
            <w:r>
              <w:t>句子的总长度</w:t>
            </w:r>
            <w:r>
              <w:rPr>
                <w:rStyle w:val="ae"/>
              </w:rPr>
              <w:footnoteReference w:id="9"/>
            </w:r>
          </w:p>
        </w:tc>
        <w:tc>
          <w:tcPr>
            <w:tcW w:w="1785" w:type="dxa"/>
          </w:tcPr>
          <w:p w14:paraId="44736841" w14:textId="77777777" w:rsidR="007736AC" w:rsidRDefault="00000000" w:rsidP="00B86D8F">
            <w:pPr>
              <w:pStyle w:val="Compact"/>
              <w:spacing w:before="0" w:after="0"/>
              <w:ind w:firstLineChars="0" w:firstLine="0"/>
            </w:pPr>
            <w:r>
              <w:t>Strunk</w:t>
            </w:r>
            <w:r>
              <w:t>，</w:t>
            </w:r>
            <w:r>
              <w:t>2014</w:t>
            </w:r>
          </w:p>
        </w:tc>
      </w:tr>
      <w:tr w:rsidR="007736AC" w14:paraId="6D20AC33" w14:textId="77777777" w:rsidTr="00EC20D4">
        <w:tc>
          <w:tcPr>
            <w:tcW w:w="1503" w:type="dxa"/>
          </w:tcPr>
          <w:p w14:paraId="56CB7AB1" w14:textId="77777777" w:rsidR="007736AC" w:rsidRDefault="007736AC" w:rsidP="00B86D8F">
            <w:pPr>
              <w:pStyle w:val="Compact"/>
              <w:spacing w:before="0" w:after="0"/>
              <w:jc w:val="center"/>
            </w:pPr>
          </w:p>
        </w:tc>
        <w:tc>
          <w:tcPr>
            <w:tcW w:w="1908" w:type="dxa"/>
          </w:tcPr>
          <w:p w14:paraId="572EBA3B" w14:textId="77777777" w:rsidR="007736AC" w:rsidRDefault="00000000" w:rsidP="00B86D8F">
            <w:pPr>
              <w:pStyle w:val="Compact"/>
              <w:spacing w:before="0" w:after="0"/>
              <w:ind w:firstLineChars="0" w:firstLine="0"/>
              <w:jc w:val="center"/>
            </w:pPr>
            <w:r>
              <w:t>成分至宿主距离</w:t>
            </w:r>
          </w:p>
        </w:tc>
        <w:tc>
          <w:tcPr>
            <w:tcW w:w="3110" w:type="dxa"/>
          </w:tcPr>
          <w:p w14:paraId="36AB52C9" w14:textId="77777777" w:rsidR="007736AC" w:rsidRDefault="00000000" w:rsidP="00B86D8F">
            <w:pPr>
              <w:pStyle w:val="Compact"/>
              <w:spacing w:before="0" w:after="0"/>
              <w:ind w:firstLineChars="0" w:firstLine="0"/>
            </w:pPr>
            <w:r>
              <w:t>目标成分与其依存宿主词之间的线性跨度</w:t>
            </w:r>
          </w:p>
        </w:tc>
        <w:tc>
          <w:tcPr>
            <w:tcW w:w="1785" w:type="dxa"/>
          </w:tcPr>
          <w:p w14:paraId="6593AB54" w14:textId="77777777" w:rsidR="007736AC" w:rsidRDefault="00000000" w:rsidP="00B86D8F">
            <w:pPr>
              <w:pStyle w:val="Compact"/>
              <w:spacing w:before="0" w:after="0"/>
              <w:ind w:firstLineChars="0" w:firstLine="0"/>
            </w:pPr>
            <w:r>
              <w:t>Patocka</w:t>
            </w:r>
            <w:r>
              <w:t>，</w:t>
            </w:r>
            <w:r>
              <w:t>1997</w:t>
            </w:r>
          </w:p>
        </w:tc>
      </w:tr>
      <w:tr w:rsidR="007736AC" w14:paraId="3DB86F6F" w14:textId="77777777" w:rsidTr="00EC20D4">
        <w:tc>
          <w:tcPr>
            <w:tcW w:w="1503" w:type="dxa"/>
          </w:tcPr>
          <w:p w14:paraId="197B15F1" w14:textId="77777777" w:rsidR="007736AC" w:rsidRDefault="00000000" w:rsidP="00B86D8F">
            <w:pPr>
              <w:pStyle w:val="Compact"/>
              <w:spacing w:before="0" w:after="0"/>
              <w:ind w:firstLineChars="0" w:firstLine="0"/>
              <w:jc w:val="center"/>
            </w:pPr>
            <w:r>
              <w:t>局部认知负担</w:t>
            </w:r>
          </w:p>
        </w:tc>
        <w:tc>
          <w:tcPr>
            <w:tcW w:w="1908" w:type="dxa"/>
          </w:tcPr>
          <w:p w14:paraId="22058A4E" w14:textId="77777777" w:rsidR="007736AC" w:rsidRDefault="00000000" w:rsidP="00B86D8F">
            <w:pPr>
              <w:pStyle w:val="Compact"/>
              <w:spacing w:before="0" w:after="0"/>
              <w:ind w:firstLineChars="0" w:firstLine="0"/>
              <w:jc w:val="center"/>
            </w:pPr>
            <w:r>
              <w:t>内部平均依存距离</w:t>
            </w:r>
          </w:p>
        </w:tc>
        <w:tc>
          <w:tcPr>
            <w:tcW w:w="3110" w:type="dxa"/>
          </w:tcPr>
          <w:p w14:paraId="49979E50" w14:textId="77777777" w:rsidR="007736AC" w:rsidRDefault="00000000" w:rsidP="00B86D8F">
            <w:pPr>
              <w:pStyle w:val="Compact"/>
              <w:spacing w:before="0" w:after="0"/>
              <w:ind w:firstLineChars="0" w:firstLine="0"/>
            </w:pPr>
            <w:r>
              <w:t>目标成分内部所有节点间依存距离的平均值</w:t>
            </w:r>
            <w:r>
              <w:rPr>
                <w:rStyle w:val="ae"/>
              </w:rPr>
              <w:footnoteReference w:id="10"/>
            </w:r>
          </w:p>
        </w:tc>
        <w:tc>
          <w:tcPr>
            <w:tcW w:w="1785" w:type="dxa"/>
          </w:tcPr>
          <w:p w14:paraId="58A143F2" w14:textId="77777777" w:rsidR="007736AC" w:rsidRDefault="00000000" w:rsidP="00B86D8F">
            <w:pPr>
              <w:pStyle w:val="Compact"/>
              <w:spacing w:before="0" w:after="0"/>
              <w:ind w:firstLineChars="0" w:firstLine="0"/>
            </w:pPr>
            <w:r>
              <w:t>Liu et al.</w:t>
            </w:r>
            <w:r>
              <w:t>，</w:t>
            </w:r>
            <w:r>
              <w:t>2009</w:t>
            </w:r>
            <w:r>
              <w:t>；李媛等，</w:t>
            </w:r>
            <w:r>
              <w:t>2021</w:t>
            </w:r>
          </w:p>
        </w:tc>
      </w:tr>
      <w:tr w:rsidR="007736AC" w14:paraId="3EAF3953" w14:textId="77777777" w:rsidTr="00EC20D4">
        <w:tc>
          <w:tcPr>
            <w:tcW w:w="1503" w:type="dxa"/>
          </w:tcPr>
          <w:p w14:paraId="6797CAF7" w14:textId="77777777" w:rsidR="007736AC" w:rsidRDefault="007736AC" w:rsidP="00B86D8F">
            <w:pPr>
              <w:pStyle w:val="Compact"/>
              <w:spacing w:before="0" w:after="0"/>
              <w:jc w:val="center"/>
            </w:pPr>
          </w:p>
        </w:tc>
        <w:tc>
          <w:tcPr>
            <w:tcW w:w="1908" w:type="dxa"/>
          </w:tcPr>
          <w:p w14:paraId="4552572C" w14:textId="77777777" w:rsidR="007736AC" w:rsidRDefault="00000000" w:rsidP="00B86D8F">
            <w:pPr>
              <w:pStyle w:val="Compact"/>
              <w:spacing w:before="0" w:after="0"/>
              <w:ind w:firstLineChars="0" w:firstLine="0"/>
              <w:jc w:val="center"/>
            </w:pPr>
            <w:r>
              <w:t>嵌套深度</w:t>
            </w:r>
          </w:p>
        </w:tc>
        <w:tc>
          <w:tcPr>
            <w:tcW w:w="3110" w:type="dxa"/>
          </w:tcPr>
          <w:p w14:paraId="02E70CFA" w14:textId="77777777" w:rsidR="007736AC" w:rsidRDefault="00000000" w:rsidP="00B86D8F">
            <w:pPr>
              <w:pStyle w:val="Compact"/>
              <w:spacing w:before="0" w:after="0"/>
              <w:ind w:firstLineChars="0" w:firstLine="0"/>
            </w:pPr>
            <w:r>
              <w:t>自目标成分核心节点沿依存树向上溯源，路径中从句标记的层级递增总数</w:t>
            </w:r>
          </w:p>
        </w:tc>
        <w:tc>
          <w:tcPr>
            <w:tcW w:w="1785" w:type="dxa"/>
          </w:tcPr>
          <w:p w14:paraId="74E98C10" w14:textId="77777777" w:rsidR="007736AC" w:rsidRDefault="00000000" w:rsidP="00B86D8F">
            <w:pPr>
              <w:pStyle w:val="Compact"/>
              <w:spacing w:before="0" w:after="0"/>
              <w:ind w:firstLineChars="0" w:firstLine="0"/>
            </w:pPr>
            <w:r>
              <w:t>Strunk</w:t>
            </w:r>
            <w:r>
              <w:t>，</w:t>
            </w:r>
            <w:r>
              <w:t>2014</w:t>
            </w:r>
            <w:r>
              <w:t>；</w:t>
            </w:r>
            <w:r>
              <w:t>Dubenion-Smith</w:t>
            </w:r>
            <w:r>
              <w:t>，</w:t>
            </w:r>
            <w:r>
              <w:t>2024</w:t>
            </w:r>
          </w:p>
        </w:tc>
      </w:tr>
      <w:tr w:rsidR="007736AC" w14:paraId="215AF7D8" w14:textId="77777777" w:rsidTr="00EC20D4">
        <w:tc>
          <w:tcPr>
            <w:tcW w:w="1503" w:type="dxa"/>
          </w:tcPr>
          <w:p w14:paraId="63370B21" w14:textId="77777777" w:rsidR="007736AC" w:rsidRDefault="00000000" w:rsidP="00B86D8F">
            <w:pPr>
              <w:pStyle w:val="Compact"/>
              <w:spacing w:before="0" w:after="0"/>
              <w:ind w:firstLineChars="0" w:firstLine="0"/>
              <w:jc w:val="center"/>
            </w:pPr>
            <w:r>
              <w:t>语篇信息组织</w:t>
            </w:r>
          </w:p>
        </w:tc>
        <w:tc>
          <w:tcPr>
            <w:tcW w:w="1908" w:type="dxa"/>
          </w:tcPr>
          <w:p w14:paraId="51B2D2FE" w14:textId="77777777" w:rsidR="007736AC" w:rsidRDefault="00000000" w:rsidP="00B86D8F">
            <w:pPr>
              <w:pStyle w:val="Compact"/>
              <w:spacing w:before="0" w:after="0"/>
              <w:ind w:firstLineChars="0" w:firstLine="0"/>
              <w:jc w:val="center"/>
            </w:pPr>
            <w:r>
              <w:t>累积惊奇度</w:t>
            </w:r>
          </w:p>
        </w:tc>
        <w:tc>
          <w:tcPr>
            <w:tcW w:w="3110" w:type="dxa"/>
          </w:tcPr>
          <w:p w14:paraId="54554A97" w14:textId="77777777" w:rsidR="007736AC" w:rsidRDefault="00000000" w:rsidP="00B86D8F">
            <w:pPr>
              <w:pStyle w:val="Compact"/>
              <w:spacing w:before="0" w:after="0"/>
              <w:ind w:firstLineChars="0" w:firstLine="0"/>
            </w:pPr>
            <w:r>
              <w:t>目标成分内所有词汇惊奇度的总和</w:t>
            </w:r>
            <w:r>
              <w:rPr>
                <w:rStyle w:val="ae"/>
              </w:rPr>
              <w:footnoteReference w:id="11"/>
            </w:r>
          </w:p>
        </w:tc>
        <w:tc>
          <w:tcPr>
            <w:tcW w:w="1785" w:type="dxa"/>
          </w:tcPr>
          <w:p w14:paraId="671B6768" w14:textId="77777777" w:rsidR="007736AC" w:rsidRDefault="00000000" w:rsidP="00B86D8F">
            <w:pPr>
              <w:pStyle w:val="Compact"/>
              <w:spacing w:before="0" w:after="0"/>
              <w:ind w:firstLineChars="0" w:firstLine="0"/>
            </w:pPr>
            <w:r>
              <w:t>Voigtmann &amp; Speyer</w:t>
            </w:r>
            <w:r>
              <w:t>，</w:t>
            </w:r>
            <w:r>
              <w:t>2021</w:t>
            </w:r>
          </w:p>
        </w:tc>
      </w:tr>
      <w:tr w:rsidR="007736AC" w14:paraId="39E10BB7" w14:textId="77777777" w:rsidTr="00EC20D4">
        <w:tc>
          <w:tcPr>
            <w:tcW w:w="1503" w:type="dxa"/>
          </w:tcPr>
          <w:p w14:paraId="39E2E4FF" w14:textId="77777777" w:rsidR="007736AC" w:rsidRDefault="007736AC" w:rsidP="00B86D8F">
            <w:pPr>
              <w:pStyle w:val="Compact"/>
              <w:spacing w:before="0" w:after="0"/>
              <w:jc w:val="center"/>
            </w:pPr>
          </w:p>
        </w:tc>
        <w:tc>
          <w:tcPr>
            <w:tcW w:w="1908" w:type="dxa"/>
          </w:tcPr>
          <w:p w14:paraId="5077E812" w14:textId="77777777" w:rsidR="007736AC" w:rsidRDefault="00000000" w:rsidP="00B86D8F">
            <w:pPr>
              <w:pStyle w:val="Compact"/>
              <w:spacing w:before="0" w:after="0"/>
              <w:ind w:firstLineChars="0" w:firstLine="0"/>
              <w:jc w:val="center"/>
            </w:pPr>
            <w:r>
              <w:t>平均惊奇度</w:t>
            </w:r>
          </w:p>
        </w:tc>
        <w:tc>
          <w:tcPr>
            <w:tcW w:w="3110" w:type="dxa"/>
          </w:tcPr>
          <w:p w14:paraId="230EE7C9" w14:textId="77777777" w:rsidR="007736AC" w:rsidRDefault="00000000" w:rsidP="00B86D8F">
            <w:pPr>
              <w:pStyle w:val="Compact"/>
              <w:spacing w:before="0" w:after="0"/>
              <w:ind w:firstLineChars="0" w:firstLine="0"/>
            </w:pPr>
            <w:r>
              <w:t>目标成分内所有词汇惊奇度的平均值</w:t>
            </w:r>
            <w:r>
              <w:rPr>
                <w:rStyle w:val="ae"/>
              </w:rPr>
              <w:footnoteReference w:id="12"/>
            </w:r>
          </w:p>
        </w:tc>
        <w:tc>
          <w:tcPr>
            <w:tcW w:w="1785" w:type="dxa"/>
          </w:tcPr>
          <w:p w14:paraId="0DDEDD6B" w14:textId="77777777" w:rsidR="007736AC" w:rsidRDefault="00000000" w:rsidP="00B86D8F">
            <w:pPr>
              <w:pStyle w:val="Compact"/>
              <w:spacing w:before="0" w:after="0"/>
              <w:ind w:firstLineChars="0" w:firstLine="0"/>
            </w:pPr>
            <w:r>
              <w:t>Voigtmann &amp; Speyer</w:t>
            </w:r>
            <w:r>
              <w:t>，</w:t>
            </w:r>
            <w:r>
              <w:t>2021</w:t>
            </w:r>
          </w:p>
        </w:tc>
      </w:tr>
      <w:tr w:rsidR="007736AC" w14:paraId="780D7B72" w14:textId="77777777" w:rsidTr="00EC20D4">
        <w:tc>
          <w:tcPr>
            <w:tcW w:w="1503" w:type="dxa"/>
          </w:tcPr>
          <w:p w14:paraId="098B4E04" w14:textId="77777777" w:rsidR="007736AC" w:rsidRDefault="00000000" w:rsidP="00B86D8F">
            <w:pPr>
              <w:pStyle w:val="Compact"/>
              <w:spacing w:before="0" w:after="0"/>
              <w:ind w:firstLineChars="0" w:firstLine="0"/>
              <w:jc w:val="center"/>
            </w:pPr>
            <w:r>
              <w:t>形式承载</w:t>
            </w:r>
          </w:p>
        </w:tc>
        <w:tc>
          <w:tcPr>
            <w:tcW w:w="1908" w:type="dxa"/>
          </w:tcPr>
          <w:p w14:paraId="403C9D76" w14:textId="77777777" w:rsidR="007736AC" w:rsidRDefault="00000000" w:rsidP="00B86D8F">
            <w:pPr>
              <w:pStyle w:val="Compact"/>
              <w:spacing w:before="0" w:after="0"/>
              <w:ind w:firstLineChars="0" w:firstLine="0"/>
              <w:jc w:val="center"/>
            </w:pPr>
            <w:r>
              <w:t>词汇密度</w:t>
            </w:r>
          </w:p>
        </w:tc>
        <w:tc>
          <w:tcPr>
            <w:tcW w:w="3110" w:type="dxa"/>
          </w:tcPr>
          <w:p w14:paraId="70717F92" w14:textId="77777777" w:rsidR="007736AC" w:rsidRDefault="00000000" w:rsidP="00B86D8F">
            <w:pPr>
              <w:pStyle w:val="Compact"/>
              <w:spacing w:before="0" w:after="0"/>
              <w:ind w:firstLineChars="0" w:firstLine="0"/>
            </w:pPr>
            <w:r>
              <w:t>实词（名词、动词、形容词、副词）占成分总词数的比例</w:t>
            </w:r>
          </w:p>
        </w:tc>
        <w:tc>
          <w:tcPr>
            <w:tcW w:w="1785" w:type="dxa"/>
          </w:tcPr>
          <w:p w14:paraId="4D37FDB9" w14:textId="77777777" w:rsidR="007736AC" w:rsidRDefault="00000000" w:rsidP="00B86D8F">
            <w:pPr>
              <w:pStyle w:val="Compact"/>
              <w:spacing w:before="0" w:after="0"/>
              <w:ind w:firstLineChars="0" w:firstLine="0"/>
            </w:pPr>
            <w:r>
              <w:t>Arnold et al.</w:t>
            </w:r>
            <w:r>
              <w:t>，</w:t>
            </w:r>
            <w:r>
              <w:t>2000</w:t>
            </w:r>
          </w:p>
        </w:tc>
      </w:tr>
      <w:tr w:rsidR="007736AC" w14:paraId="01E684F1" w14:textId="77777777" w:rsidTr="00EC20D4">
        <w:tc>
          <w:tcPr>
            <w:tcW w:w="1503" w:type="dxa"/>
          </w:tcPr>
          <w:p w14:paraId="3845AB11" w14:textId="77777777" w:rsidR="007736AC" w:rsidRDefault="007736AC" w:rsidP="00B86D8F">
            <w:pPr>
              <w:pStyle w:val="Compact"/>
              <w:spacing w:before="0" w:after="0"/>
              <w:jc w:val="center"/>
            </w:pPr>
          </w:p>
        </w:tc>
        <w:tc>
          <w:tcPr>
            <w:tcW w:w="1908" w:type="dxa"/>
          </w:tcPr>
          <w:p w14:paraId="63C07F2B" w14:textId="77777777" w:rsidR="007736AC" w:rsidRDefault="00000000" w:rsidP="00B86D8F">
            <w:pPr>
              <w:pStyle w:val="Compact"/>
              <w:spacing w:before="0" w:after="0"/>
              <w:ind w:firstLineChars="0" w:firstLine="0"/>
              <w:jc w:val="center"/>
            </w:pPr>
            <w:r>
              <w:t>上下文重叠度</w:t>
            </w:r>
          </w:p>
        </w:tc>
        <w:tc>
          <w:tcPr>
            <w:tcW w:w="3110" w:type="dxa"/>
          </w:tcPr>
          <w:p w14:paraId="6ADB8636" w14:textId="39551B91" w:rsidR="007736AC" w:rsidRDefault="00000000" w:rsidP="00B86D8F">
            <w:pPr>
              <w:pStyle w:val="Compact"/>
              <w:spacing w:before="0" w:after="0"/>
              <w:ind w:firstLineChars="0" w:firstLine="0"/>
            </w:pPr>
            <w:r>
              <w:t>目标成分与先行上下文</w:t>
            </w:r>
            <w:r>
              <w:rPr>
                <w:rFonts w:hint="eastAsia"/>
              </w:rPr>
              <w:t>的词汇重叠率</w:t>
            </w:r>
            <w:r>
              <w:rPr>
                <w:rStyle w:val="ae"/>
              </w:rPr>
              <w:footnoteReference w:id="13"/>
            </w:r>
          </w:p>
        </w:tc>
        <w:tc>
          <w:tcPr>
            <w:tcW w:w="1785" w:type="dxa"/>
          </w:tcPr>
          <w:p w14:paraId="02B8AD8C" w14:textId="77777777" w:rsidR="007736AC" w:rsidRDefault="00000000" w:rsidP="00B86D8F">
            <w:pPr>
              <w:pStyle w:val="Compact"/>
              <w:spacing w:before="0" w:after="0"/>
              <w:ind w:firstLineChars="0" w:firstLine="0"/>
            </w:pPr>
            <w:r>
              <w:t>Vinckel</w:t>
            </w:r>
            <w:r>
              <w:t>，</w:t>
            </w:r>
            <w:r>
              <w:t>2006</w:t>
            </w:r>
            <w:r>
              <w:t>；</w:t>
            </w:r>
            <w:r>
              <w:t>Schneider-Wiejowski</w:t>
            </w:r>
            <w:r>
              <w:t>，</w:t>
            </w:r>
            <w:r>
              <w:t>2010</w:t>
            </w:r>
          </w:p>
        </w:tc>
      </w:tr>
      <w:tr w:rsidR="007736AC" w14:paraId="3D2431E9" w14:textId="77777777" w:rsidTr="00EC20D4">
        <w:tc>
          <w:tcPr>
            <w:tcW w:w="1503" w:type="dxa"/>
          </w:tcPr>
          <w:p w14:paraId="0386C40F" w14:textId="77777777" w:rsidR="007736AC" w:rsidRDefault="00000000" w:rsidP="00B86D8F">
            <w:pPr>
              <w:pStyle w:val="Compact"/>
              <w:spacing w:before="0" w:after="0"/>
              <w:ind w:firstLineChars="0" w:firstLine="0"/>
              <w:jc w:val="center"/>
            </w:pPr>
            <w:r>
              <w:t>句法功能</w:t>
            </w:r>
          </w:p>
        </w:tc>
        <w:tc>
          <w:tcPr>
            <w:tcW w:w="1908" w:type="dxa"/>
          </w:tcPr>
          <w:p w14:paraId="641C27E4" w14:textId="77777777" w:rsidR="007736AC" w:rsidRDefault="00000000" w:rsidP="00B86D8F">
            <w:pPr>
              <w:pStyle w:val="Compact"/>
              <w:spacing w:before="0" w:after="0"/>
              <w:ind w:firstLineChars="0" w:firstLine="0"/>
              <w:jc w:val="center"/>
            </w:pPr>
            <w:r>
              <w:t>是否核心论元</w:t>
            </w:r>
          </w:p>
        </w:tc>
        <w:tc>
          <w:tcPr>
            <w:tcW w:w="3110" w:type="dxa"/>
          </w:tcPr>
          <w:p w14:paraId="27335419" w14:textId="77777777" w:rsidR="007736AC" w:rsidRDefault="00000000" w:rsidP="00B86D8F">
            <w:pPr>
              <w:pStyle w:val="Compact"/>
              <w:spacing w:before="0" w:after="0"/>
              <w:ind w:firstLineChars="0" w:firstLine="0"/>
            </w:pPr>
            <w:r>
              <w:t>目标成分是否充当核心论元（二元变量）</w:t>
            </w:r>
          </w:p>
        </w:tc>
        <w:tc>
          <w:tcPr>
            <w:tcW w:w="1785" w:type="dxa"/>
          </w:tcPr>
          <w:p w14:paraId="772E0FE1" w14:textId="77777777" w:rsidR="007736AC" w:rsidRDefault="00000000" w:rsidP="00B86D8F">
            <w:pPr>
              <w:pStyle w:val="Compact"/>
              <w:spacing w:before="0" w:after="0"/>
              <w:ind w:firstLineChars="0" w:firstLine="0"/>
            </w:pPr>
            <w:r>
              <w:t>Strunk</w:t>
            </w:r>
            <w:r>
              <w:t>，</w:t>
            </w:r>
            <w:r>
              <w:t>2014</w:t>
            </w:r>
            <w:r>
              <w:t>；</w:t>
            </w:r>
            <w:r>
              <w:t>Lenerz</w:t>
            </w:r>
            <w:r>
              <w:t>，</w:t>
            </w:r>
            <w:r>
              <w:t>1984</w:t>
            </w:r>
          </w:p>
        </w:tc>
      </w:tr>
    </w:tbl>
    <w:p w14:paraId="5951A8ED" w14:textId="77777777" w:rsidR="006F122C" w:rsidRDefault="006F122C" w:rsidP="00B86D8F">
      <w:pPr>
        <w:pStyle w:val="a0"/>
        <w:spacing w:before="0" w:after="0"/>
        <w:ind w:firstLineChars="0" w:firstLine="0"/>
      </w:pPr>
    </w:p>
    <w:p w14:paraId="2CCA7D2A" w14:textId="77777777" w:rsidR="007736AC" w:rsidRDefault="00000000" w:rsidP="00B86D8F">
      <w:pPr>
        <w:spacing w:after="0"/>
        <w:jc w:val="left"/>
        <w:rPr>
          <w:rFonts w:cs="宋体"/>
          <w:sz w:val="24"/>
          <w:szCs w:val="24"/>
          <w:lang w:val="en-US"/>
        </w:rPr>
      </w:pPr>
      <w:r>
        <w:rPr>
          <w:rFonts w:cs="宋体"/>
          <w:b/>
          <w:bCs/>
          <w:sz w:val="24"/>
          <w:szCs w:val="24"/>
          <w:lang w:val="en-US"/>
        </w:rPr>
        <w:t>3.</w:t>
      </w:r>
      <w:r>
        <w:rPr>
          <w:rFonts w:cs="宋体"/>
          <w:b/>
          <w:bCs/>
          <w:sz w:val="24"/>
          <w:szCs w:val="24"/>
          <w:lang w:val="en-US"/>
        </w:rPr>
        <w:t>分析框架</w:t>
      </w:r>
    </w:p>
    <w:p w14:paraId="6F3091C4" w14:textId="77777777" w:rsidR="006F122C" w:rsidRDefault="006F122C" w:rsidP="00B86D8F">
      <w:pPr>
        <w:pStyle w:val="a0"/>
        <w:spacing w:before="0" w:after="0"/>
        <w:ind w:firstLineChars="0" w:firstLine="0"/>
      </w:pPr>
    </w:p>
    <w:p w14:paraId="3555006B" w14:textId="5D527D98" w:rsidR="007736AC" w:rsidRDefault="00AB2729" w:rsidP="00B86D8F">
      <w:pPr>
        <w:pStyle w:val="a0"/>
        <w:spacing w:before="0" w:after="0"/>
      </w:pPr>
      <w:r>
        <w:t>本文采用三步分析设计，对应引言提出的三个问题：</w:t>
      </w:r>
    </w:p>
    <w:p w14:paraId="18FDD839" w14:textId="78367BA1" w:rsidR="007736AC" w:rsidRDefault="00AB2729" w:rsidP="00B86D8F">
      <w:pPr>
        <w:pStyle w:val="a0"/>
        <w:spacing w:before="0" w:after="0"/>
      </w:pPr>
      <w:r>
        <w:t>第一步检验各约束更接近独立叠加还是非线性协同。本文以五个理论维度为模块进行穷尽式消融，比较不同维度组合的预测增益，并以模型比较与交互项实验检验其稳定性</w:t>
      </w:r>
      <w:r>
        <w:rPr>
          <w:rStyle w:val="ae"/>
        </w:rPr>
        <w:footnoteReference w:id="14"/>
      </w:r>
      <w:r>
        <w:t>。</w:t>
      </w:r>
    </w:p>
    <w:p w14:paraId="5D5CC3E5" w14:textId="68DDB50E" w:rsidR="007736AC" w:rsidRDefault="00AB2729" w:rsidP="00B86D8F">
      <w:pPr>
        <w:spacing w:after="0"/>
        <w:ind w:firstLineChars="200" w:firstLine="420"/>
      </w:pPr>
      <w:r>
        <w:t>第二步检验各约束是否承担不同功能角色。本文在理论限定的</w:t>
      </w:r>
      <w:r>
        <w:t>DAG</w:t>
      </w:r>
      <w:r>
        <w:t>框架下进行路径分解（</w:t>
      </w:r>
      <w:r>
        <w:t>Ng et al.</w:t>
      </w:r>
      <w:r>
        <w:t>，</w:t>
      </w:r>
      <w:r>
        <w:t>2025</w:t>
      </w:r>
      <w:r>
        <w:t>），依据约束与句法层级的先验关系指定图结构：信息与词汇层变量置于上游，拓扑与认知加工变量居中，破框为结果节点（</w:t>
      </w:r>
      <w:r>
        <w:t>Slaats</w:t>
      </w:r>
      <w:r>
        <w:rPr>
          <w:lang w:val="en-US"/>
        </w:rPr>
        <w:t xml:space="preserve"> et al.</w:t>
      </w:r>
      <w:r>
        <w:t>，</w:t>
      </w:r>
      <w:r>
        <w:t>2024</w:t>
      </w:r>
      <w:r>
        <w:t>）。据此将特征贡献区分为直接部分与经其他特征传导的间接部分</w:t>
      </w:r>
      <w:r>
        <w:rPr>
          <w:rStyle w:val="ae"/>
        </w:rPr>
        <w:footnoteReference w:id="15"/>
      </w:r>
      <w:r>
        <w:t>。</w:t>
      </w:r>
    </w:p>
    <w:p w14:paraId="4AD40314" w14:textId="71AE0B31" w:rsidR="007736AC" w:rsidRDefault="00AB2729" w:rsidP="00B86D8F">
      <w:pPr>
        <w:spacing w:after="0"/>
        <w:ind w:firstLineChars="200" w:firstLine="420"/>
      </w:pPr>
      <w:r>
        <w:t>第三步检验角色分工是否由框型结构组织。若分工由特定句法结构塑造，其形态应随结构配置而变，并随结构存否而重组</w:t>
      </w:r>
      <w:r>
        <w:rPr>
          <w:rFonts w:hint="eastAsia"/>
        </w:rPr>
        <w:t>。</w:t>
      </w:r>
      <w:r>
        <w:t>若分工源于一般加工系统，则应在有无框型结构的语言中保持一致。本文先分拆短语与从句，比较</w:t>
      </w:r>
      <w:r>
        <w:t>V2</w:t>
      </w:r>
      <w:r>
        <w:t>（限定动词居第二位，右句框由前缀或助动词构成）与</w:t>
      </w:r>
      <w:r>
        <w:t>VL</w:t>
      </w:r>
      <w:r>
        <w:t>（限定动词末位，与非限定部分合并为动词簇；</w:t>
      </w:r>
      <w:r>
        <w:t>Zifonun et al.</w:t>
      </w:r>
      <w:r>
        <w:t>，</w:t>
      </w:r>
      <w:r>
        <w:t>1997</w:t>
      </w:r>
      <w:r>
        <w:t>：</w:t>
      </w:r>
      <w:r>
        <w:t>1671</w:t>
      </w:r>
      <w:r>
        <w:t>）两种句框配置下约束方向与权重分布是否系统分化</w:t>
      </w:r>
      <w:r>
        <w:rPr>
          <w:rFonts w:hint="eastAsia"/>
        </w:rPr>
        <w:t>；</w:t>
      </w:r>
      <w:r>
        <w:t>再以瑞典语、丹麦语、挪威语</w:t>
      </w:r>
      <w:r>
        <w:lastRenderedPageBreak/>
        <w:t>三种非框型</w:t>
      </w:r>
      <w:r>
        <w:t>V2</w:t>
      </w:r>
      <w:r>
        <w:t>语言和荷兰语这一框型结构较松的语言作为梯度对照，检验传导路径是否与框型结构的存在相关（</w:t>
      </w:r>
      <w:r>
        <w:t>Vikner</w:t>
      </w:r>
      <w:r>
        <w:t>，</w:t>
      </w:r>
      <w:r>
        <w:t>1995</w:t>
      </w:r>
      <w:r>
        <w:t>：</w:t>
      </w:r>
      <w:r>
        <w:t>48</w:t>
      </w:r>
      <w:r>
        <w:t>）</w:t>
      </w:r>
      <w:r>
        <w:rPr>
          <w:rStyle w:val="ae"/>
        </w:rPr>
        <w:footnoteReference w:id="16"/>
      </w:r>
      <w:r>
        <w:t>。</w:t>
      </w:r>
    </w:p>
    <w:p w14:paraId="4286FCC5" w14:textId="77777777" w:rsidR="007736AC" w:rsidRDefault="007736AC" w:rsidP="00B86D8F">
      <w:pPr>
        <w:spacing w:after="0"/>
        <w:jc w:val="left"/>
        <w:rPr>
          <w:rFonts w:cs="宋体"/>
          <w:sz w:val="24"/>
          <w:szCs w:val="24"/>
          <w:lang w:val="en-US"/>
        </w:rPr>
      </w:pPr>
    </w:p>
    <w:p w14:paraId="4F9BD7A0" w14:textId="77777777" w:rsidR="007736AC" w:rsidRDefault="00000000" w:rsidP="00B86D8F">
      <w:pPr>
        <w:pStyle w:val="a0"/>
        <w:spacing w:before="0" w:after="0"/>
        <w:ind w:firstLineChars="0" w:firstLine="0"/>
        <w:rPr>
          <w:b/>
          <w:bCs/>
          <w:sz w:val="28"/>
          <w:szCs w:val="28"/>
        </w:rPr>
      </w:pPr>
      <w:r>
        <w:rPr>
          <w:b/>
          <w:bCs/>
          <w:sz w:val="28"/>
          <w:szCs w:val="28"/>
        </w:rPr>
        <w:t>三、结果与讨论</w:t>
      </w:r>
    </w:p>
    <w:p w14:paraId="28ABE899" w14:textId="77777777" w:rsidR="007736AC" w:rsidRDefault="007736AC" w:rsidP="00B86D8F">
      <w:pPr>
        <w:pStyle w:val="a0"/>
        <w:spacing w:before="0" w:after="0"/>
        <w:ind w:firstLineChars="0" w:firstLine="0"/>
      </w:pPr>
    </w:p>
    <w:p w14:paraId="6606F665" w14:textId="77777777" w:rsidR="007736AC" w:rsidRDefault="00000000" w:rsidP="00B86D8F">
      <w:pPr>
        <w:pStyle w:val="a0"/>
        <w:spacing w:before="0" w:after="0"/>
        <w:ind w:firstLineChars="0" w:firstLine="0"/>
      </w:pPr>
      <w:r>
        <w:rPr>
          <w:b/>
          <w:bCs/>
          <w:sz w:val="24"/>
          <w:szCs w:val="24"/>
        </w:rPr>
        <w:t>1.</w:t>
      </w:r>
      <w:r>
        <w:rPr>
          <w:b/>
          <w:bCs/>
          <w:sz w:val="24"/>
          <w:szCs w:val="24"/>
        </w:rPr>
        <w:t>约束之间的非线性协同</w:t>
      </w:r>
    </w:p>
    <w:p w14:paraId="34275F1A" w14:textId="77777777" w:rsidR="006F122C" w:rsidRDefault="006F122C" w:rsidP="00B86D8F">
      <w:pPr>
        <w:pStyle w:val="a0"/>
        <w:spacing w:before="0" w:after="0"/>
        <w:ind w:firstLineChars="0" w:firstLine="0"/>
      </w:pPr>
    </w:p>
    <w:p w14:paraId="65783D30" w14:textId="1EFEBC83" w:rsidR="00424798" w:rsidRPr="00424798" w:rsidRDefault="00424798" w:rsidP="00B86D8F">
      <w:pPr>
        <w:spacing w:after="0"/>
        <w:ind w:firstLineChars="200" w:firstLine="420"/>
        <w:rPr>
          <w:rFonts w:cs="宋体"/>
          <w:sz w:val="24"/>
          <w:szCs w:val="24"/>
          <w:lang w:val="en-US"/>
        </w:rPr>
      </w:pPr>
      <w:r>
        <w:t>既有研究已识别出影响破框的多个因素，但这些因素究竟是独立叠加，还是存在条件依赖？逐维度消融显示，维度组合的预测增益高度不均衡（图</w:t>
      </w:r>
      <w:r>
        <w:t>2</w:t>
      </w:r>
      <w:r>
        <w:t>）。</w:t>
      </w:r>
    </w:p>
    <w:p w14:paraId="50D044FC" w14:textId="77777777" w:rsidR="00080D9A" w:rsidRDefault="00000000" w:rsidP="00B86D8F">
      <w:pPr>
        <w:spacing w:after="0"/>
        <w:jc w:val="center"/>
      </w:pPr>
      <w:r>
        <w:rPr>
          <w:noProof/>
        </w:rPr>
        <w:drawing>
          <wp:inline distT="0" distB="0" distL="0" distR="0" wp14:anchorId="2527F1E3" wp14:editId="08775E0C">
            <wp:extent cx="5274000" cy="2822071"/>
            <wp:effectExtent l="0" t="0" r="0" b="0"/>
            <wp:docPr id="200" name="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3"/>
                    <pic:cNvPicPr/>
                  </pic:nvPicPr>
                  <pic:blipFill>
                    <a:blip r:embed="rId8"/>
                    <a:stretch>
                      <a:fillRect/>
                    </a:stretch>
                  </pic:blipFill>
                  <pic:spPr>
                    <a:xfrm>
                      <a:off x="0" y="0"/>
                      <a:ext cx="5274000" cy="2822071"/>
                    </a:xfrm>
                    <a:prstGeom prst="rect">
                      <a:avLst/>
                    </a:prstGeom>
                  </pic:spPr>
                </pic:pic>
              </a:graphicData>
            </a:graphic>
          </wp:inline>
        </w:drawing>
      </w:r>
    </w:p>
    <w:p w14:paraId="60F35CA0" w14:textId="77777777" w:rsidR="00080D9A" w:rsidRDefault="00000000" w:rsidP="00B86D8F">
      <w:pPr>
        <w:spacing w:after="0"/>
        <w:jc w:val="center"/>
      </w:pPr>
      <w:r>
        <w:t>图</w:t>
      </w:r>
      <w:r>
        <w:t xml:space="preserve">2 </w:t>
      </w:r>
      <w:r>
        <w:t>非线性协同的定位：单维度、二维组合与多维扩展的</w:t>
      </w:r>
      <w:r>
        <w:t>PR-AUC</w:t>
      </w:r>
      <w:r>
        <w:t>对比</w:t>
      </w:r>
    </w:p>
    <w:p w14:paraId="7335413C" w14:textId="00F09EC2" w:rsidR="00E81720" w:rsidRDefault="00530063" w:rsidP="00B86D8F">
      <w:pPr>
        <w:spacing w:after="0"/>
        <w:ind w:firstLineChars="200" w:firstLine="420"/>
      </w:pPr>
      <w:r>
        <w:t>不均衡主要集中在信息与拓扑两个维度上：二者单独的</w:t>
      </w:r>
      <w:r>
        <w:t>PR-AUC</w:t>
      </w:r>
      <w:r>
        <w:rPr>
          <w:rStyle w:val="ae"/>
        </w:rPr>
        <w:footnoteReference w:id="17"/>
      </w:r>
      <w:r>
        <w:t>分别为</w:t>
      </w:r>
      <w:r>
        <w:t xml:space="preserve"> 0.46 </w:t>
      </w:r>
      <w:r>
        <w:t>与</w:t>
      </w:r>
      <w:r>
        <w:t xml:space="preserve"> 0.32</w:t>
      </w:r>
      <w:r>
        <w:t>，联合后跃升至</w:t>
      </w:r>
      <w:r>
        <w:t xml:space="preserve"> 0.80</w:t>
      </w:r>
      <w:r>
        <w:t>，达到全集模型预测力的约</w:t>
      </w:r>
      <w:r>
        <w:t>89%</w:t>
      </w:r>
      <w:r>
        <w:rPr>
          <w:rFonts w:hint="eastAsia"/>
        </w:rPr>
        <w:t>。</w:t>
      </w:r>
      <w:r>
        <w:t>其余任何二维组合均未达到这一水平。</w:t>
      </w:r>
    </w:p>
    <w:p w14:paraId="5D149634" w14:textId="5C008AC7" w:rsidR="00530063" w:rsidRDefault="00E81720" w:rsidP="00B86D8F">
      <w:pPr>
        <w:spacing w:after="0"/>
        <w:ind w:firstLineChars="200" w:firstLine="420"/>
      </w:pPr>
      <w:r>
        <w:t>协同仍可能来自两种机制：一是两个维度各自贡献较强，联合后近似相加；二是二者之间存在条件依赖，只有同时满足时才显著推高破框概率。</w:t>
      </w:r>
      <w:r>
        <w:rPr>
          <w:rFonts w:hint="eastAsia"/>
        </w:rPr>
        <w:t>图</w:t>
      </w:r>
      <w:r>
        <w:rPr>
          <w:rFonts w:hint="eastAsia"/>
        </w:rPr>
        <w:t>3</w:t>
      </w:r>
      <w:r>
        <w:t>的联合分布形态支持后一种解释。</w:t>
      </w:r>
    </w:p>
    <w:p w14:paraId="79D32905" w14:textId="77777777" w:rsidR="007736AC" w:rsidRDefault="00000000" w:rsidP="00B86D8F">
      <w:pPr>
        <w:spacing w:after="0"/>
        <w:ind w:firstLineChars="200" w:firstLine="420"/>
        <w:jc w:val="center"/>
      </w:pPr>
      <w:r>
        <w:rPr>
          <w:noProof/>
        </w:rPr>
        <w:drawing>
          <wp:inline distT="0" distB="0" distL="0" distR="0" wp14:anchorId="3CD28A88" wp14:editId="5F5EA09A">
            <wp:extent cx="3559628" cy="2982686"/>
            <wp:effectExtent l="0" t="0" r="0" b="1905"/>
            <wp:docPr id="414" name="图5"/>
            <wp:cNvGraphicFramePr/>
            <a:graphic xmlns:a="http://schemas.openxmlformats.org/drawingml/2006/main">
              <a:graphicData uri="http://schemas.openxmlformats.org/drawingml/2006/picture">
                <pic:pic xmlns:pic="http://schemas.openxmlformats.org/drawingml/2006/picture">
                  <pic:nvPicPr>
                    <pic:cNvPr id="414" name="图5"/>
                    <pic:cNvPicPr/>
                  </pic:nvPicPr>
                  <pic:blipFill>
                    <a:blip r:embed="rId9"/>
                    <a:stretch>
                      <a:fillRect/>
                    </a:stretch>
                  </pic:blipFill>
                  <pic:spPr>
                    <a:xfrm>
                      <a:off x="0" y="0"/>
                      <a:ext cx="3569130" cy="2990648"/>
                    </a:xfrm>
                    <a:prstGeom prst="rect">
                      <a:avLst/>
                    </a:prstGeom>
                  </pic:spPr>
                </pic:pic>
              </a:graphicData>
            </a:graphic>
          </wp:inline>
        </w:drawing>
      </w:r>
    </w:p>
    <w:p w14:paraId="34D9A6BE" w14:textId="77777777" w:rsidR="007736AC" w:rsidRDefault="00000000" w:rsidP="00B86D8F">
      <w:pPr>
        <w:pStyle w:val="a0"/>
        <w:spacing w:before="0" w:after="0"/>
        <w:ind w:firstLineChars="0" w:firstLine="0"/>
        <w:jc w:val="center"/>
      </w:pPr>
      <w:r>
        <w:lastRenderedPageBreak/>
        <w:t>图</w:t>
      </w:r>
      <w:r>
        <w:t xml:space="preserve">3 </w:t>
      </w:r>
      <w:r>
        <w:t>信息负荷</w:t>
      </w:r>
      <w:r>
        <w:t>×</w:t>
      </w:r>
      <w:r>
        <w:t>拓扑条件联合破框率热力图</w:t>
      </w:r>
    </w:p>
    <w:p w14:paraId="1CDE9F84" w14:textId="100D9BE4" w:rsidR="00530063" w:rsidRDefault="00530063" w:rsidP="00B86D8F">
      <w:pPr>
        <w:spacing w:after="0"/>
        <w:ind w:firstLine="420"/>
      </w:pPr>
      <w:r>
        <w:t>图</w:t>
      </w:r>
      <w:r>
        <w:t>3</w:t>
      </w:r>
      <w:r>
        <w:rPr>
          <w:rFonts w:hint="eastAsia"/>
        </w:rPr>
        <w:t>显示</w:t>
      </w:r>
      <w:r>
        <w:t>，破框率显著升高仅出现在信息负荷与拓扑条件同时处于高位的区间。换言之，信息负荷并非在任何位置上都直接推动外置，拓扑条件也并非单独决定破框；只有当高信息负荷成分同时获得足够后场空间时，外置倾向才显著上升</w:t>
      </w:r>
      <w:r>
        <w:rPr>
          <w:rStyle w:val="ae"/>
        </w:rPr>
        <w:footnoteReference w:id="18"/>
      </w:r>
      <w:r>
        <w:t>。行为实验亦报告了同向的联合决定效应（</w:t>
      </w:r>
      <w:r>
        <w:t>Cortés Rodríguez et al.</w:t>
      </w:r>
      <w:r>
        <w:t>，</w:t>
      </w:r>
      <w:r>
        <w:t>2024</w:t>
      </w:r>
      <w:r>
        <w:t>）。</w:t>
      </w:r>
      <w:r>
        <w:t>HDT</w:t>
      </w:r>
      <w:r>
        <w:rPr>
          <w:rFonts w:hint="eastAsia"/>
        </w:rPr>
        <w:t>第</w:t>
      </w:r>
      <w:r>
        <w:t xml:space="preserve">33842 </w:t>
      </w:r>
      <w:r>
        <w:t>句即为一例：</w:t>
      </w:r>
    </w:p>
    <w:p w14:paraId="239A5249" w14:textId="77777777" w:rsidR="007736AC" w:rsidRDefault="00000000" w:rsidP="00B86D8F">
      <w:pPr>
        <w:spacing w:after="0"/>
        <w:ind w:firstLine="420"/>
        <w:jc w:val="left"/>
      </w:pPr>
      <w:r>
        <w:rPr>
          <w:i/>
        </w:rPr>
        <w:t>In mehreren Fällen deuten</w:t>
      </w:r>
      <w:r>
        <w:rPr>
          <w:vertAlign w:val="subscript"/>
        </w:rPr>
        <w:t>(LB)</w:t>
      </w:r>
      <w:r>
        <w:rPr>
          <w:i/>
        </w:rPr>
        <w:t xml:space="preserve"> Bestandteile auf die Benutzung von E-Mail-Accounts deutscher Hochschulen hin</w:t>
      </w:r>
      <w:r>
        <w:rPr>
          <w:vertAlign w:val="subscript"/>
        </w:rPr>
        <w:t>(RB)</w:t>
      </w:r>
      <w:r>
        <w:rPr>
          <w:i/>
        </w:rPr>
        <w:t>, etwa von Universitäten in Berlin, Bremen, Hamburg, Konstanz, Tübingen, Stuttgart und Münster</w:t>
      </w:r>
      <w:r>
        <w:rPr>
          <w:vertAlign w:val="subscript"/>
        </w:rPr>
        <w:t>(NF)</w:t>
      </w:r>
      <w:r>
        <w:t>.</w:t>
      </w:r>
      <w:r>
        <w:t>（</w:t>
      </w:r>
      <w:r>
        <w:t>HDT</w:t>
      </w:r>
      <w:r>
        <w:t>，第</w:t>
      </w:r>
      <w:r>
        <w:t>33842</w:t>
      </w:r>
      <w:r>
        <w:t>句）</w:t>
      </w:r>
    </w:p>
    <w:p w14:paraId="7253915C" w14:textId="77777777" w:rsidR="007736AC" w:rsidRDefault="00000000" w:rsidP="005A67C6">
      <w:pPr>
        <w:pStyle w:val="a0"/>
        <w:spacing w:before="0" w:after="0"/>
      </w:pPr>
      <w:r>
        <w:t>译文：多个案例中的痕迹表明（犯罪者）使用了德国高校的电子邮箱账户</w:t>
      </w:r>
      <w:r>
        <w:t>——</w:t>
      </w:r>
      <w:r>
        <w:t>例如来自柏林、不来梅、汉堡、康斯坦茨、蒂宾根、斯图加特和明斯特等地的大学。</w:t>
      </w:r>
    </w:p>
    <w:p w14:paraId="0AFC6445" w14:textId="20FBB39A" w:rsidR="00530063" w:rsidRDefault="00AB2729" w:rsidP="00B86D8F">
      <w:pPr>
        <w:spacing w:after="0"/>
        <w:ind w:firstLine="420"/>
        <w:rPr>
          <w:rFonts w:cs="宋体"/>
          <w:lang w:val="en-US"/>
        </w:rPr>
      </w:pPr>
      <w:r>
        <w:t>该句中，</w:t>
      </w:r>
      <w:r>
        <w:rPr>
          <w:rFonts w:cs="宋体"/>
          <w:lang w:val="en-US"/>
        </w:rPr>
        <w:t xml:space="preserve">deuten……hin </w:t>
      </w:r>
      <w:r>
        <w:rPr>
          <w:rFonts w:cs="宋体"/>
          <w:lang w:val="en-US"/>
        </w:rPr>
        <w:t>构成句框，宿主词</w:t>
      </w:r>
      <w:r>
        <w:t>位置靠前</w:t>
      </w:r>
      <w:r>
        <w:rPr>
          <w:rFonts w:cs="宋体"/>
          <w:lang w:val="en-US"/>
        </w:rPr>
        <w:t>，为后场留出充裕空间；</w:t>
      </w:r>
      <w:r>
        <w:t>后场成分则列举七所大学，承载高度不可预测的新</w:t>
      </w:r>
      <w:r>
        <w:rPr>
          <w:rFonts w:hint="eastAsia"/>
        </w:rPr>
        <w:t>信息</w:t>
      </w:r>
      <w:r>
        <w:rPr>
          <w:rFonts w:cs="宋体" w:hint="eastAsia"/>
          <w:lang w:val="en-US"/>
        </w:rPr>
        <w:t>。</w:t>
      </w:r>
      <w:r>
        <w:rPr>
          <w:rFonts w:cs="宋体"/>
          <w:lang w:val="en-US"/>
        </w:rPr>
        <w:t>信息负荷与</w:t>
      </w:r>
      <w:r>
        <w:t>拓扑空间</w:t>
      </w:r>
      <w:r>
        <w:rPr>
          <w:rFonts w:cs="宋体"/>
          <w:lang w:val="en-US"/>
        </w:rPr>
        <w:t>同时充裕，</w:t>
      </w:r>
      <w:r>
        <w:t>破框由此发生</w:t>
      </w:r>
      <w:r>
        <w:rPr>
          <w:rStyle w:val="ae"/>
          <w:rFonts w:cs="宋体"/>
          <w:lang w:val="en-US"/>
        </w:rPr>
        <w:footnoteReference w:id="19"/>
      </w:r>
      <w:r>
        <w:rPr>
          <w:rFonts w:cs="宋体"/>
          <w:lang w:val="en-US"/>
        </w:rPr>
        <w:t>。</w:t>
      </w:r>
    </w:p>
    <w:p w14:paraId="0F9F697C" w14:textId="0823F526" w:rsidR="00EB7797" w:rsidRPr="00AB2729" w:rsidRDefault="00AB2729" w:rsidP="00B86D8F">
      <w:pPr>
        <w:spacing w:after="0"/>
        <w:ind w:firstLine="420"/>
        <w:rPr>
          <w:rFonts w:cs="宋体"/>
          <w:lang w:val="en-US"/>
        </w:rPr>
      </w:pPr>
      <w:r>
        <w:t>因此，制约破框的各约束并非独立叠加，而是以信息负荷与拓扑条件的非线性协同为组织核心。下一步问题是：在这一协同结构中，其他约束如何参与外置决策，并分别承担何种功能角色？</w:t>
      </w:r>
    </w:p>
    <w:p w14:paraId="719E7949" w14:textId="77777777" w:rsidR="006F122C" w:rsidRDefault="006F122C" w:rsidP="00B86D8F">
      <w:pPr>
        <w:pStyle w:val="a0"/>
        <w:spacing w:before="0" w:after="0"/>
        <w:ind w:firstLineChars="0" w:firstLine="0"/>
      </w:pPr>
    </w:p>
    <w:p w14:paraId="679FCB0C" w14:textId="77777777" w:rsidR="007736AC" w:rsidRDefault="00000000" w:rsidP="00B86D8F">
      <w:pPr>
        <w:pStyle w:val="a0"/>
        <w:spacing w:before="0" w:after="0"/>
        <w:ind w:firstLineChars="0" w:firstLine="0"/>
      </w:pPr>
      <w:r>
        <w:rPr>
          <w:b/>
          <w:bCs/>
          <w:sz w:val="24"/>
          <w:szCs w:val="24"/>
        </w:rPr>
        <w:t>2.</w:t>
      </w:r>
      <w:r>
        <w:rPr>
          <w:b/>
          <w:bCs/>
          <w:sz w:val="24"/>
          <w:szCs w:val="24"/>
        </w:rPr>
        <w:t>约束角色的三重分化</w:t>
      </w:r>
    </w:p>
    <w:p w14:paraId="783D69FE" w14:textId="77777777" w:rsidR="006F122C" w:rsidRDefault="006F122C" w:rsidP="00B86D8F">
      <w:pPr>
        <w:pStyle w:val="a0"/>
        <w:spacing w:before="0" w:after="0"/>
        <w:ind w:firstLineChars="0" w:firstLine="0"/>
      </w:pPr>
    </w:p>
    <w:p w14:paraId="236721EC" w14:textId="257A7A18" w:rsidR="00E02A59" w:rsidRPr="00EB7797" w:rsidRDefault="00445B5C" w:rsidP="00B86D8F">
      <w:pPr>
        <w:spacing w:after="0"/>
        <w:ind w:firstLine="420"/>
        <w:rPr>
          <w:rFonts w:cs="宋体"/>
        </w:rPr>
      </w:pPr>
      <w:r>
        <w:t>若耦合程度确会带来作用方式分化，这一差异应表现为直接贡献与间接贡献的不同分布。路径分解显示，各特征的直接项与间接项占比并不均衡（图</w:t>
      </w:r>
      <w:r>
        <w:t>4d-f</w:t>
      </w:r>
      <w:r>
        <w:t>），由此形成三种功能角色。</w:t>
      </w:r>
    </w:p>
    <w:p w14:paraId="468D1A93" w14:textId="77777777" w:rsidR="007736AC" w:rsidRDefault="00000000" w:rsidP="00B86D8F">
      <w:pPr>
        <w:pStyle w:val="a0"/>
        <w:spacing w:before="0" w:after="0"/>
        <w:jc w:val="center"/>
      </w:pPr>
      <w:r>
        <w:rPr>
          <w:noProof/>
        </w:rPr>
        <w:drawing>
          <wp:inline distT="0" distB="0" distL="0" distR="0" wp14:anchorId="4A246646" wp14:editId="70E924C3">
            <wp:extent cx="4953000" cy="3230218"/>
            <wp:effectExtent l="0" t="0" r="0" b="0"/>
            <wp:docPr id="3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pic:cNvPicPr>
                      <a:picLocks noChangeAspect="1"/>
                    </pic:cNvPicPr>
                  </pic:nvPicPr>
                  <pic:blipFill>
                    <a:blip r:embed="rId10" cstate="print">
                      <a:extLst>
                        <a:ext uri="{28A0092B-C50C-407E-A947-70E740481C1C}">
                          <a14:useLocalDpi xmlns:a14="http://schemas.microsoft.com/office/drawing/2010/main" val="0"/>
                        </a:ext>
                      </a:extLst>
                    </a:blip>
                    <a:srcRect t="2046" b="2046"/>
                    <a:stretch>
                      <a:fillRect/>
                    </a:stretch>
                  </pic:blipFill>
                  <pic:spPr>
                    <a:xfrm>
                      <a:off x="0" y="0"/>
                      <a:ext cx="4999317" cy="3260425"/>
                    </a:xfrm>
                    <a:prstGeom prst="rect">
                      <a:avLst/>
                    </a:prstGeom>
                    <a:noFill/>
                    <a:ln>
                      <a:noFill/>
                    </a:ln>
                  </pic:spPr>
                </pic:pic>
              </a:graphicData>
            </a:graphic>
          </wp:inline>
        </w:drawing>
      </w:r>
    </w:p>
    <w:p w14:paraId="2E4149F4" w14:textId="77777777" w:rsidR="007736AC" w:rsidRDefault="00000000" w:rsidP="00B86D8F">
      <w:pPr>
        <w:pStyle w:val="a0"/>
        <w:spacing w:before="0" w:after="0"/>
        <w:ind w:firstLineChars="0" w:firstLine="0"/>
        <w:jc w:val="center"/>
      </w:pPr>
      <w:r>
        <w:t>图</w:t>
      </w:r>
      <w:r>
        <w:t xml:space="preserve">4 </w:t>
      </w:r>
      <w:r>
        <w:t>各特征的直接贡献与间接贡献拆解</w:t>
      </w:r>
    </w:p>
    <w:p w14:paraId="19BED33C" w14:textId="013401B9" w:rsidR="007736AC" w:rsidRPr="004A6C8F" w:rsidRDefault="00AB2729" w:rsidP="00B86D8F">
      <w:pPr>
        <w:pStyle w:val="a0"/>
        <w:spacing w:before="0" w:after="0"/>
        <w:rPr>
          <w:rFonts w:cs="宋体"/>
          <w:lang w:val="en-US"/>
        </w:rPr>
      </w:pPr>
      <w:r>
        <w:rPr>
          <w:rFonts w:cs="宋体" w:hint="eastAsia"/>
          <w:lang w:val="en-US"/>
        </w:rPr>
        <w:t>首先，</w:t>
      </w:r>
      <w:r>
        <w:rPr>
          <w:rFonts w:cs="宋体"/>
          <w:lang w:val="en-US"/>
        </w:rPr>
        <w:t>信息与拓扑表现为</w:t>
      </w:r>
      <w:r>
        <w:t>直接主导型变量</w:t>
      </w:r>
      <w:r>
        <w:rPr>
          <w:rFonts w:cs="宋体"/>
          <w:lang w:val="en-US"/>
        </w:rPr>
        <w:t>。累积惊奇度与宿主词位置均平滑单调地抬升外置倾向（图</w:t>
      </w:r>
      <w:r>
        <w:rPr>
          <w:rFonts w:cs="宋体"/>
          <w:lang w:val="en-US"/>
        </w:rPr>
        <w:t>4a</w:t>
      </w:r>
      <w:r>
        <w:rPr>
          <w:rFonts w:cs="宋体"/>
          <w:lang w:val="en-US"/>
        </w:rPr>
        <w:t>）；其贡献不经其他中间变量中介（图</w:t>
      </w:r>
      <w:r>
        <w:rPr>
          <w:rFonts w:cs="宋体"/>
          <w:lang w:val="en-US"/>
        </w:rPr>
        <w:t>4d</w:t>
      </w:r>
      <w:r>
        <w:rPr>
          <w:rFonts w:cs="宋体"/>
          <w:lang w:val="en-US"/>
        </w:rPr>
        <w:t>，直接占比均超</w:t>
      </w:r>
      <w:r>
        <w:rPr>
          <w:rFonts w:cs="宋体"/>
          <w:lang w:val="en-US"/>
        </w:rPr>
        <w:t xml:space="preserve"> 94%</w:t>
      </w:r>
      <w:r>
        <w:rPr>
          <w:rFonts w:cs="宋体"/>
          <w:lang w:val="en-US"/>
        </w:rPr>
        <w:t>）。</w:t>
      </w:r>
      <w:r>
        <w:t>这表明，信息负荷与后场空间直接构成破框决策的主要驱动条件</w:t>
      </w:r>
      <w:r>
        <w:rPr>
          <w:rFonts w:hint="eastAsia"/>
        </w:rPr>
        <w:t>。</w:t>
      </w:r>
    </w:p>
    <w:p w14:paraId="48BA641C" w14:textId="7F923C08" w:rsidR="00EB7797" w:rsidRDefault="00EB7797" w:rsidP="00B86D8F">
      <w:pPr>
        <w:spacing w:after="0"/>
        <w:ind w:firstLine="420"/>
      </w:pPr>
      <w:r>
        <w:t>然而，能否响应这一驱动还受成分句法身份限制。最刚性的限制来自配价层，是否核心论元属直接作用（图</w:t>
      </w:r>
      <w:r>
        <w:t>4f</w:t>
      </w:r>
      <w:r>
        <w:t>，直接占比</w:t>
      </w:r>
      <w:r>
        <w:t xml:space="preserve"> 99%</w:t>
      </w:r>
      <w:r>
        <w:t>），并使核心论元与非核心论元形成鲜明对立（图</w:t>
      </w:r>
      <w:r>
        <w:t>4c</w:t>
      </w:r>
      <w:r>
        <w:t>）。</w:t>
      </w:r>
      <w:r>
        <w:rPr>
          <w:rFonts w:hint="eastAsia"/>
        </w:rPr>
        <w:t>核心论元</w:t>
      </w:r>
      <w:r>
        <w:t>格位由动词向左决定（</w:t>
      </w:r>
      <w:r>
        <w:t>Frey</w:t>
      </w:r>
      <w:r>
        <w:t>，</w:t>
      </w:r>
      <w:r>
        <w:t>2015</w:t>
      </w:r>
      <w:r>
        <w:t>：</w:t>
      </w:r>
      <w:r>
        <w:t>61</w:t>
      </w:r>
      <w:r>
        <w:t>），因此被锁定于中前场；非</w:t>
      </w:r>
      <w:r>
        <w:lastRenderedPageBreak/>
        <w:t>核心论元却无此依赖，位置调整空间更大。信息结构压力可利用已有位置，但难以突破核心论元的结构边界（</w:t>
      </w:r>
      <w:r>
        <w:t>Haider</w:t>
      </w:r>
      <w:r>
        <w:t>，</w:t>
      </w:r>
      <w:r>
        <w:t>2010</w:t>
      </w:r>
      <w:r>
        <w:t>：</w:t>
      </w:r>
      <w:r>
        <w:t>145-146</w:t>
      </w:r>
      <w:r>
        <w:t>）。图</w:t>
      </w:r>
      <w:r>
        <w:t>5</w:t>
      </w:r>
      <w:r>
        <w:t>从全语料层面刻画了这一对照：</w:t>
      </w:r>
    </w:p>
    <w:p w14:paraId="319F72AB" w14:textId="77777777" w:rsidR="00EB7797" w:rsidRDefault="00EB7797" w:rsidP="00B86D8F">
      <w:pPr>
        <w:spacing w:after="0"/>
        <w:jc w:val="center"/>
      </w:pPr>
      <w:r>
        <w:rPr>
          <w:noProof/>
        </w:rPr>
        <w:drawing>
          <wp:inline distT="0" distB="0" distL="0" distR="0" wp14:anchorId="20ACD132" wp14:editId="6F60AEF7">
            <wp:extent cx="5007429" cy="3287395"/>
            <wp:effectExtent l="0" t="0" r="0" b="1905"/>
            <wp:docPr id="600" name="图3"/>
            <wp:cNvGraphicFramePr/>
            <a:graphic xmlns:a="http://schemas.openxmlformats.org/drawingml/2006/main">
              <a:graphicData uri="http://schemas.openxmlformats.org/drawingml/2006/picture">
                <pic:pic xmlns:pic="http://schemas.openxmlformats.org/drawingml/2006/picture">
                  <pic:nvPicPr>
                    <pic:cNvPr id="600" name="图3"/>
                    <pic:cNvPicPr/>
                  </pic:nvPicPr>
                  <pic:blipFill>
                    <a:blip r:embed="rId11"/>
                    <a:stretch>
                      <a:fillRect/>
                    </a:stretch>
                  </pic:blipFill>
                  <pic:spPr>
                    <a:xfrm>
                      <a:off x="0" y="0"/>
                      <a:ext cx="5039355" cy="3308354"/>
                    </a:xfrm>
                    <a:prstGeom prst="rect">
                      <a:avLst/>
                    </a:prstGeom>
                  </pic:spPr>
                </pic:pic>
              </a:graphicData>
            </a:graphic>
          </wp:inline>
        </w:drawing>
      </w:r>
    </w:p>
    <w:p w14:paraId="4CFEE48F" w14:textId="77777777" w:rsidR="00EB7797" w:rsidRPr="00EB7797" w:rsidRDefault="00EB7797" w:rsidP="00B86D8F">
      <w:pPr>
        <w:pStyle w:val="a0"/>
        <w:spacing w:before="0" w:after="0"/>
        <w:ind w:firstLineChars="0" w:firstLine="0"/>
        <w:jc w:val="center"/>
      </w:pPr>
      <w:r>
        <w:t>图</w:t>
      </w:r>
      <w:r>
        <w:t xml:space="preserve">5 </w:t>
      </w:r>
      <w:r>
        <w:t>核心论元与非核心论元的破框率对信息负荷的响应</w:t>
      </w:r>
    </w:p>
    <w:p w14:paraId="69932501" w14:textId="4ED00333" w:rsidR="00EB7797" w:rsidRDefault="00AB2729" w:rsidP="00B86D8F">
      <w:pPr>
        <w:pStyle w:val="a0"/>
        <w:spacing w:before="0" w:after="0"/>
      </w:pPr>
      <w:r>
        <w:t>随信息负荷递增，非核心论元的外置概率显著上升；核心论元虽呈同向变化，却始终被压在极低基线上，整体水平不足前者的一半。二者差异说明，信息负荷能够连续调节非核心成分的外置概率，但在核心论元处受到配价边界的强约束</w:t>
      </w:r>
      <w:r>
        <w:rPr>
          <w:rStyle w:val="ae"/>
        </w:rPr>
        <w:footnoteReference w:id="20"/>
      </w:r>
      <w:r>
        <w:t>。</w:t>
      </w:r>
      <w:r>
        <w:t>HDT</w:t>
      </w:r>
      <w:r>
        <w:rPr>
          <w:rFonts w:hint="eastAsia"/>
        </w:rPr>
        <w:t>第</w:t>
      </w:r>
      <w:r>
        <w:t xml:space="preserve">35053 </w:t>
      </w:r>
      <w:r>
        <w:t>句即为具体印证：</w:t>
      </w:r>
    </w:p>
    <w:p w14:paraId="4CFF7626" w14:textId="77777777" w:rsidR="007736AC" w:rsidRDefault="00000000" w:rsidP="00B86D8F">
      <w:pPr>
        <w:pStyle w:val="a0"/>
        <w:spacing w:before="0" w:after="0"/>
      </w:pPr>
      <w:r>
        <w:rPr>
          <w:i/>
        </w:rPr>
        <w:t>Die für Mitte Juni geplante letzte Anhörung ausgewählter Industrievertreter</w:t>
      </w:r>
      <w:r>
        <w:rPr>
          <w:vertAlign w:val="subscript"/>
        </w:rPr>
        <w:t>(VF)</w:t>
      </w:r>
      <w:r>
        <w:rPr>
          <w:i/>
        </w:rPr>
        <w:t xml:space="preserve"> sagte</w:t>
      </w:r>
      <w:r>
        <w:rPr>
          <w:vertAlign w:val="subscript"/>
        </w:rPr>
        <w:t>(LB)</w:t>
      </w:r>
      <w:r>
        <w:rPr>
          <w:i/>
        </w:rPr>
        <w:t xml:space="preserve"> das BMWi kurzfristig ab</w:t>
      </w:r>
      <w:r>
        <w:rPr>
          <w:vertAlign w:val="subscript"/>
        </w:rPr>
        <w:t>(RB)</w:t>
      </w:r>
      <w:r>
        <w:t>.</w:t>
      </w:r>
      <w:r>
        <w:t>（</w:t>
      </w:r>
      <w:r>
        <w:t>HDT</w:t>
      </w:r>
      <w:r>
        <w:t>，第</w:t>
      </w:r>
      <w:r>
        <w:t>35053</w:t>
      </w:r>
      <w:r>
        <w:t>句）</w:t>
      </w:r>
    </w:p>
    <w:p w14:paraId="7F646106" w14:textId="77777777" w:rsidR="007736AC" w:rsidRDefault="00000000" w:rsidP="00B86D8F">
      <w:pPr>
        <w:pStyle w:val="a0"/>
        <w:spacing w:before="0" w:after="0"/>
        <w:jc w:val="center"/>
      </w:pPr>
      <w:r>
        <w:t>译文：联邦经济部临时取消了原定于六月中旬举行的最后一场行业代表听证会。</w:t>
      </w:r>
    </w:p>
    <w:p w14:paraId="48EB1F7C" w14:textId="198D239E" w:rsidR="00E02A59" w:rsidRDefault="00AB2729" w:rsidP="00B86D8F">
      <w:pPr>
        <w:pStyle w:val="a0"/>
        <w:spacing w:before="0" w:after="0"/>
      </w:pPr>
      <w:r>
        <w:t>该句宾语名词短语长达</w:t>
      </w:r>
      <w:r>
        <w:t xml:space="preserve"> 9 </w:t>
      </w:r>
      <w:r>
        <w:t>词，信息负荷与线性跨度</w:t>
      </w:r>
      <w:r>
        <w:rPr>
          <w:rFonts w:hint="eastAsia"/>
        </w:rPr>
        <w:t>均</w:t>
      </w:r>
      <w:r>
        <w:t>处于高位区间；但它作为动词的核心论元，并未移至后场，而是留守前场。这说明成分重量或信息压力本身不足以触发核心论元外置，配价边界仍然优先限制其拓扑位置</w:t>
      </w:r>
      <w:r>
        <w:rPr>
          <w:rStyle w:val="ae"/>
        </w:rPr>
        <w:footnoteReference w:id="21"/>
      </w:r>
      <w:r>
        <w:rPr>
          <w:rFonts w:hint="eastAsia"/>
        </w:rPr>
        <w:t>。</w:t>
      </w:r>
    </w:p>
    <w:p w14:paraId="7F23BF12" w14:textId="44E8CBE0" w:rsidR="007736AC" w:rsidRDefault="00000000" w:rsidP="00B86D8F">
      <w:pPr>
        <w:pStyle w:val="a0"/>
        <w:spacing w:before="0" w:after="0"/>
      </w:pPr>
      <w:r>
        <w:t>驱动与边界约束均以直接作用为主，认知加工则呈现第三种方式。内部平均依存距离的总贡献并不突出（图</w:t>
      </w:r>
      <w:r>
        <w:t>4d</w:t>
      </w:r>
      <w:r>
        <w:t>与</w:t>
      </w:r>
      <w:r>
        <w:t>4e</w:t>
      </w:r>
      <w:r>
        <w:t>对照），但其主要贡献经由拓扑特征传导而非直接作用于破框结果（图</w:t>
      </w:r>
      <w:r>
        <w:t>4e</w:t>
      </w:r>
      <w:r>
        <w:t>，传导占比</w:t>
      </w:r>
      <w:r>
        <w:t xml:space="preserve"> 66%</w:t>
      </w:r>
      <w:r>
        <w:t>）。这一分类还得到不依赖</w:t>
      </w:r>
      <w:r>
        <w:t>DAG</w:t>
      </w:r>
      <w:r>
        <w:t>结构的偏相关检验支持：控制拓扑后，仅内部</w:t>
      </w:r>
      <w:r>
        <w:rPr>
          <w:rFonts w:hint="eastAsia"/>
        </w:rPr>
        <w:t>平均</w:t>
      </w:r>
      <w:r>
        <w:t>依存距离的关联强度出现显著跃升，其余非拓扑特征基本不变（表</w:t>
      </w:r>
      <w:r>
        <w:t>2</w:t>
      </w:r>
      <w:r>
        <w:t>）。</w:t>
      </w:r>
    </w:p>
    <w:p w14:paraId="19660C61" w14:textId="77777777" w:rsidR="00716996" w:rsidRDefault="00000000" w:rsidP="00B86D8F">
      <w:pPr>
        <w:spacing w:after="0"/>
        <w:jc w:val="center"/>
      </w:pPr>
      <w:r>
        <w:t>表</w:t>
      </w:r>
      <w:r>
        <w:t xml:space="preserve">2 </w:t>
      </w:r>
      <w:r>
        <w:t>核心特征在两种独立方法下的分类对照</w:t>
      </w:r>
    </w:p>
    <w:p w14:paraId="7AF59BDC" w14:textId="77777777" w:rsidR="00716996" w:rsidRDefault="00000000" w:rsidP="00B86D8F">
      <w:pPr>
        <w:spacing w:after="0"/>
        <w:jc w:val="center"/>
      </w:pPr>
      <w:r>
        <w:rPr>
          <w:noProof/>
        </w:rPr>
        <w:drawing>
          <wp:inline distT="0" distB="0" distL="0" distR="0" wp14:anchorId="32522D22" wp14:editId="7C2F2C4F">
            <wp:extent cx="4637314" cy="1713082"/>
            <wp:effectExtent l="0" t="0" r="0" b="1905"/>
            <wp:docPr id="100" name="表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表3"/>
                    <pic:cNvPicPr/>
                  </pic:nvPicPr>
                  <pic:blipFill>
                    <a:blip r:embed="rId12"/>
                    <a:stretch>
                      <a:fillRect/>
                    </a:stretch>
                  </pic:blipFill>
                  <pic:spPr>
                    <a:xfrm>
                      <a:off x="0" y="0"/>
                      <a:ext cx="4651389" cy="1718281"/>
                    </a:xfrm>
                    <a:prstGeom prst="rect">
                      <a:avLst/>
                    </a:prstGeom>
                  </pic:spPr>
                </pic:pic>
              </a:graphicData>
            </a:graphic>
          </wp:inline>
        </w:drawing>
      </w:r>
    </w:p>
    <w:p w14:paraId="3B6930B9" w14:textId="600D5772" w:rsidR="007736AC" w:rsidRDefault="00AB2729" w:rsidP="00B86D8F">
      <w:pPr>
        <w:pStyle w:val="a0"/>
        <w:spacing w:before="0" w:after="0"/>
      </w:pPr>
      <w:r>
        <w:lastRenderedPageBreak/>
        <w:t>这一结果符合语言产出架构的基本预期：句法框架是认知压力进入语序系统的必经环节（</w:t>
      </w:r>
      <w:r>
        <w:t>Levelt</w:t>
      </w:r>
      <w:r>
        <w:t>，</w:t>
      </w:r>
      <w:r>
        <w:t>1989</w:t>
      </w:r>
      <w:r>
        <w:t>：</w:t>
      </w:r>
      <w:r>
        <w:t>11-12</w:t>
      </w:r>
      <w:r>
        <w:t>；</w:t>
      </w:r>
      <w:r>
        <w:t>Bock &amp; Levelt</w:t>
      </w:r>
      <w:r>
        <w:t>，</w:t>
      </w:r>
      <w:r>
        <w:t>1994</w:t>
      </w:r>
      <w:r>
        <w:t>）。</w:t>
      </w:r>
    </w:p>
    <w:p w14:paraId="4D7EEEF7" w14:textId="3E2CE139" w:rsidR="007736AC" w:rsidRPr="00EB7797" w:rsidRDefault="00AB2729" w:rsidP="00B86D8F">
      <w:pPr>
        <w:pStyle w:val="a0"/>
        <w:spacing w:before="0" w:after="0"/>
      </w:pPr>
      <w:r>
        <w:t>至此</w:t>
      </w:r>
      <w:r>
        <w:rPr>
          <w:rFonts w:hint="eastAsia"/>
        </w:rPr>
        <w:t>，</w:t>
      </w:r>
      <w:r>
        <w:t>制约破框的各约束可区分为三种作用方式（图</w:t>
      </w:r>
      <w:r>
        <w:t>4</w:t>
      </w:r>
      <w:r>
        <w:t>）：信息负荷连续直接驱动，配价关系构成刚性边界，认知压力</w:t>
      </w:r>
      <w:r>
        <w:rPr>
          <w:rFonts w:hint="eastAsia"/>
        </w:rPr>
        <w:t>则</w:t>
      </w:r>
      <w:r>
        <w:t>经拓扑条件间接传导</w:t>
      </w:r>
      <w:r>
        <w:rPr>
          <w:rFonts w:hint="eastAsia"/>
        </w:rPr>
        <w:t>，</w:t>
      </w:r>
      <w:r>
        <w:t>三者</w:t>
      </w:r>
      <w:r>
        <w:rPr>
          <w:rFonts w:hint="eastAsia"/>
        </w:rPr>
        <w:t>共同构成“</w:t>
      </w:r>
      <w:r>
        <w:t>驱动</w:t>
      </w:r>
      <w:r>
        <w:t>—</w:t>
      </w:r>
      <w:r>
        <w:t>传导</w:t>
      </w:r>
      <w:r>
        <w:t>—</w:t>
      </w:r>
      <w:r>
        <w:t>边界</w:t>
      </w:r>
      <w:r>
        <w:rPr>
          <w:rFonts w:hint="eastAsia"/>
        </w:rPr>
        <w:t>”</w:t>
      </w:r>
      <w:r>
        <w:t>的功能分工。下一节</w:t>
      </w:r>
      <w:r>
        <w:rPr>
          <w:rFonts w:hint="eastAsia"/>
        </w:rPr>
        <w:t>将</w:t>
      </w:r>
      <w:r>
        <w:t>进一步检验，这一分工究竟由德语框型结构组织，还是源于更一般的加工系统。</w:t>
      </w:r>
    </w:p>
    <w:p w14:paraId="19A257B1" w14:textId="77777777" w:rsidR="006F122C" w:rsidRDefault="006F122C" w:rsidP="00B86D8F">
      <w:pPr>
        <w:pStyle w:val="a0"/>
        <w:spacing w:before="0" w:after="0"/>
        <w:ind w:firstLineChars="0" w:firstLine="0"/>
      </w:pPr>
    </w:p>
    <w:p w14:paraId="040AF29A" w14:textId="77777777" w:rsidR="007736AC" w:rsidRDefault="00000000" w:rsidP="00B86D8F">
      <w:pPr>
        <w:pStyle w:val="a0"/>
        <w:spacing w:before="0" w:after="0"/>
        <w:ind w:firstLineChars="0" w:firstLine="0"/>
      </w:pPr>
      <w:r>
        <w:rPr>
          <w:b/>
          <w:bCs/>
          <w:sz w:val="24"/>
          <w:szCs w:val="24"/>
        </w:rPr>
        <w:t>3.</w:t>
      </w:r>
      <w:r>
        <w:rPr>
          <w:b/>
          <w:bCs/>
          <w:sz w:val="24"/>
          <w:szCs w:val="24"/>
        </w:rPr>
        <w:t>角色分工的框型组织</w:t>
      </w:r>
    </w:p>
    <w:p w14:paraId="3309B47F" w14:textId="77777777" w:rsidR="006F122C" w:rsidRDefault="006F122C" w:rsidP="00B86D8F">
      <w:pPr>
        <w:pStyle w:val="a0"/>
        <w:spacing w:before="0" w:after="0"/>
        <w:ind w:firstLineChars="0" w:firstLine="0"/>
      </w:pPr>
    </w:p>
    <w:p w14:paraId="43356134" w14:textId="77777777" w:rsidR="00AB2729" w:rsidRDefault="00AB2729" w:rsidP="00B86D8F">
      <w:pPr>
        <w:pStyle w:val="a0"/>
        <w:spacing w:before="0" w:after="0"/>
      </w:pPr>
      <w:r>
        <w:t>判断这一问题需要两个互补判据：首先，在德语内部，若框型结构确实组织约束分工，</w:t>
      </w:r>
      <w:r>
        <w:t>V2/VL</w:t>
      </w:r>
      <w:r>
        <w:t>配置差异应系统调节各约束的作用方向与权重分布；其次，在跨语言层面，若传导路径依赖框型结构，则无严格框型结构的</w:t>
      </w:r>
      <w:r>
        <w:t>V2</w:t>
      </w:r>
      <w:r>
        <w:t>语言中，该路径应不复存在。本节分别通过德语</w:t>
      </w:r>
      <w:r>
        <w:t>V2/VL</w:t>
      </w:r>
      <w:r>
        <w:t>配置对比和日耳曼语跨语言对比检验这两项预测。</w:t>
      </w:r>
    </w:p>
    <w:p w14:paraId="35488C30" w14:textId="7F781483" w:rsidR="00EB7797" w:rsidRDefault="00EB7797" w:rsidP="00B86D8F">
      <w:pPr>
        <w:pStyle w:val="a0"/>
        <w:spacing w:before="0" w:after="0"/>
      </w:pPr>
      <w:r>
        <w:t>德语句框有</w:t>
      </w:r>
      <w:r>
        <w:t>V2</w:t>
      </w:r>
      <w:r>
        <w:t>与</w:t>
      </w:r>
      <w:r>
        <w:t>VL</w:t>
      </w:r>
      <w:r>
        <w:t>两种配置。</w:t>
      </w:r>
      <w:r>
        <w:t>V2</w:t>
      </w:r>
      <w:r>
        <w:t>下</w:t>
      </w:r>
      <w:r>
        <w:rPr>
          <w:rFonts w:hint="eastAsia"/>
        </w:rPr>
        <w:t>，</w:t>
      </w:r>
      <w:r>
        <w:t>右句框通常仅由单一前缀或助动词构成，中场空间开放；</w:t>
      </w:r>
      <w:r>
        <w:t>VL</w:t>
      </w:r>
      <w:r>
        <w:t>下</w:t>
      </w:r>
      <w:r>
        <w:rPr>
          <w:rFonts w:hint="eastAsia"/>
        </w:rPr>
        <w:t>，</w:t>
      </w:r>
      <w:r>
        <w:t>限定动词移至句末</w:t>
      </w:r>
      <w:r>
        <w:rPr>
          <w:rFonts w:hint="eastAsia"/>
        </w:rPr>
        <w:t>并</w:t>
      </w:r>
      <w:r>
        <w:t>与非限定部分合并为动词簇，中场</w:t>
      </w:r>
      <w:r>
        <w:rPr>
          <w:rFonts w:hint="eastAsia"/>
        </w:rPr>
        <w:t>边界更紧</w:t>
      </w:r>
      <w:r>
        <w:t>（</w:t>
      </w:r>
      <w:r>
        <w:t>Zifonun et al.</w:t>
      </w:r>
      <w:r>
        <w:t>，</w:t>
      </w:r>
      <w:r>
        <w:t>1997</w:t>
      </w:r>
      <w:r>
        <w:t>：</w:t>
      </w:r>
      <w:r>
        <w:t>1671</w:t>
      </w:r>
      <w:r>
        <w:t>）。两种配置对中场容量的限制不同，因此可能对不同体量与形式的成分产生差异化影响。</w:t>
      </w:r>
    </w:p>
    <w:p w14:paraId="3B36EB06" w14:textId="77777777" w:rsidR="007736AC" w:rsidRDefault="00000000" w:rsidP="00B86D8F">
      <w:pPr>
        <w:pStyle w:val="a0"/>
        <w:spacing w:before="0" w:after="0"/>
      </w:pPr>
      <w:r>
        <w:rPr>
          <w:noProof/>
        </w:rPr>
        <w:drawing>
          <wp:inline distT="0" distB="0" distL="0" distR="0" wp14:anchorId="190D5D5D" wp14:editId="05FA0EAD">
            <wp:extent cx="4873342" cy="3929743"/>
            <wp:effectExtent l="0" t="0" r="3810" b="0"/>
            <wp:docPr id="4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82721" cy="3937306"/>
                    </a:xfrm>
                    <a:prstGeom prst="rect">
                      <a:avLst/>
                    </a:prstGeom>
                    <a:noFill/>
                    <a:ln w="9525">
                      <a:noFill/>
                    </a:ln>
                  </pic:spPr>
                </pic:pic>
              </a:graphicData>
            </a:graphic>
          </wp:inline>
        </w:drawing>
      </w:r>
    </w:p>
    <w:p w14:paraId="44E31A00" w14:textId="77777777" w:rsidR="00A64758" w:rsidRDefault="00000000" w:rsidP="00B86D8F">
      <w:pPr>
        <w:pStyle w:val="a0"/>
        <w:spacing w:before="0" w:after="0"/>
        <w:ind w:firstLineChars="0" w:firstLine="0"/>
        <w:jc w:val="center"/>
      </w:pPr>
      <w:r>
        <w:t>图</w:t>
      </w:r>
      <w:r>
        <w:t xml:space="preserve">6 </w:t>
      </w:r>
      <w:r>
        <w:t>句框配置对约束分工的双重调节：方向反转与权重分化</w:t>
      </w:r>
    </w:p>
    <w:p w14:paraId="57693D27" w14:textId="445B74EA" w:rsidR="00E527BA" w:rsidRPr="00E527BA" w:rsidRDefault="00AB2729" w:rsidP="00B86D8F">
      <w:pPr>
        <w:spacing w:after="0"/>
        <w:ind w:firstLineChars="200" w:firstLine="420"/>
      </w:pPr>
      <w:r>
        <w:t>图</w:t>
      </w:r>
      <w:r>
        <w:t>6</w:t>
      </w:r>
      <w:r>
        <w:t>显示，句框类型对短语和从句施加方向相反的调节</w:t>
      </w:r>
      <w:r>
        <w:rPr>
          <w:rFonts w:hint="eastAsia"/>
        </w:rPr>
        <w:t>。</w:t>
      </w:r>
      <w:r>
        <w:t>控制宿主词位置后，从句在</w:t>
      </w:r>
      <w:r>
        <w:t>VL</w:t>
      </w:r>
      <w:r>
        <w:t>句框下的破框率系统性高于</w:t>
      </w:r>
      <w:r>
        <w:t>V2</w:t>
      </w:r>
      <w:r>
        <w:t>，短语则主要在</w:t>
      </w:r>
      <w:r>
        <w:t>V2</w:t>
      </w:r>
      <w:r>
        <w:t>句框下更易外置（图</w:t>
      </w:r>
      <w:r>
        <w:t>6a</w:t>
      </w:r>
      <w:r>
        <w:t>）</w:t>
      </w:r>
      <w:r>
        <w:rPr>
          <w:vertAlign w:val="superscript"/>
        </w:rPr>
        <w:footnoteReference w:id="22"/>
      </w:r>
      <w:r>
        <w:t>。这一方向差异也伴随五维权重的重新分配：</w:t>
      </w:r>
      <w:r>
        <w:rPr>
          <w:rFonts w:hint="eastAsia"/>
        </w:rPr>
        <w:t>由</w:t>
      </w:r>
      <w:r>
        <w:t>V2</w:t>
      </w:r>
      <w:r>
        <w:t>转入</w:t>
      </w:r>
      <w:r>
        <w:t>VL</w:t>
      </w:r>
      <w:r>
        <w:t>时，短语对拓扑维度的依赖上升</w:t>
      </w:r>
      <w:r>
        <w:rPr>
          <w:rFonts w:hint="eastAsia"/>
        </w:rPr>
        <w:t>；</w:t>
      </w:r>
      <w:r>
        <w:t>从句的加工维度</w:t>
      </w:r>
      <w:r>
        <w:rPr>
          <w:rFonts w:hint="eastAsia"/>
        </w:rPr>
        <w:t>权重</w:t>
      </w:r>
      <w:r>
        <w:t>提高，且增幅在五维中最为显著（图</w:t>
      </w:r>
      <w:r>
        <w:t>6b</w:t>
      </w:r>
      <w:r>
        <w:t>）。信息维度在两类成分中均保留为主要驱动因素，</w:t>
      </w:r>
      <w:r>
        <w:rPr>
          <w:rFonts w:hint="eastAsia"/>
        </w:rPr>
        <w:t>并</w:t>
      </w:r>
      <w:r>
        <w:t>不因句框配置</w:t>
      </w:r>
      <w:r>
        <w:rPr>
          <w:rFonts w:hint="eastAsia"/>
        </w:rPr>
        <w:t>变化</w:t>
      </w:r>
      <w:r>
        <w:t>而消退。由此可见，句框配置不仅调节约束的作用方向，</w:t>
      </w:r>
      <w:r>
        <w:rPr>
          <w:rFonts w:hint="eastAsia"/>
        </w:rPr>
        <w:t>也</w:t>
      </w:r>
      <w:r>
        <w:t>改变不同约束的相对权重。</w:t>
      </w:r>
    </w:p>
    <w:p w14:paraId="7B5BE21F" w14:textId="2D70F24A" w:rsidR="00CC4F93" w:rsidRPr="00E527BA" w:rsidRDefault="00AB2729" w:rsidP="00B86D8F">
      <w:pPr>
        <w:spacing w:after="0"/>
        <w:ind w:firstLineChars="200" w:firstLine="420"/>
      </w:pPr>
      <w:r>
        <w:t>这一结果可由中场容量与成分体量的匹配关系解释。</w:t>
      </w:r>
      <w:r>
        <w:t>V2</w:t>
      </w:r>
      <w:r>
        <w:t>下中场</w:t>
      </w:r>
      <w:r>
        <w:rPr>
          <w:rFonts w:hint="eastAsia"/>
        </w:rPr>
        <w:t>相对</w:t>
      </w:r>
      <w:r>
        <w:t>开放，短语可在信息压力较高时选择性逸出，因此短语破框更多体现为开放句框中的许可性调整。</w:t>
      </w:r>
      <w:r>
        <w:t>VL</w:t>
      </w:r>
      <w:r>
        <w:t>下动词簇</w:t>
      </w:r>
      <w:r>
        <w:rPr>
          <w:rFonts w:hint="eastAsia"/>
        </w:rPr>
        <w:t>闭合</w:t>
      </w:r>
      <w:r>
        <w:t>右句框，中场容量</w:t>
      </w:r>
      <w:r>
        <w:rPr>
          <w:rFonts w:hint="eastAsia"/>
        </w:rPr>
        <w:t>收</w:t>
      </w:r>
      <w:r>
        <w:t>缩</w:t>
      </w:r>
      <w:r>
        <w:rPr>
          <w:rFonts w:hint="eastAsia"/>
        </w:rPr>
        <w:t>，</w:t>
      </w:r>
      <w:r>
        <w:t>从句因结构体量较大而更容易被推向后场</w:t>
      </w:r>
      <w:r>
        <w:rPr>
          <w:rFonts w:hint="eastAsia"/>
        </w:rPr>
        <w:t>。</w:t>
      </w:r>
      <w:r>
        <w:t>短语</w:t>
      </w:r>
      <w:r>
        <w:rPr>
          <w:rFonts w:hint="eastAsia"/>
        </w:rPr>
        <w:t>则因</w:t>
      </w:r>
      <w:r>
        <w:t>体量</w:t>
      </w:r>
      <w:r>
        <w:rPr>
          <w:rFonts w:hint="eastAsia"/>
        </w:rPr>
        <w:lastRenderedPageBreak/>
        <w:t>较</w:t>
      </w:r>
      <w:r>
        <w:t>小，在</w:t>
      </w:r>
      <w:r>
        <w:t>VL</w:t>
      </w:r>
      <w:r>
        <w:t>中并不必然被挤出，其外置更依赖剩余拓扑空间是否充分，故拓扑维度权重上升</w:t>
      </w:r>
      <w:r>
        <w:rPr>
          <w:rFonts w:hint="eastAsia"/>
        </w:rPr>
        <w:t>。</w:t>
      </w:r>
      <w:r>
        <w:t>换言之，</w:t>
      </w:r>
      <w:r>
        <w:t>V2/VL</w:t>
      </w:r>
      <w:r>
        <w:t>差异并非简单改变破框率高低，而是根据成分体量重排不同约束进入外置决策的方式。信息维度在两种配置下贡献稳定</w:t>
      </w:r>
      <w:r>
        <w:rPr>
          <w:rFonts w:hint="eastAsia"/>
        </w:rPr>
        <w:t>，</w:t>
      </w:r>
      <w:r>
        <w:t>则说明信息负荷仍是跨配置的主要驱动</w:t>
      </w:r>
      <w:r>
        <w:rPr>
          <w:rFonts w:hint="eastAsia"/>
        </w:rPr>
        <w:t>。</w:t>
      </w:r>
      <w:r>
        <w:t>这一</w:t>
      </w:r>
      <w:r>
        <w:t>V2/VL</w:t>
      </w:r>
      <w:r>
        <w:t>的加工负荷</w:t>
      </w:r>
      <w:r>
        <w:rPr>
          <w:rFonts w:hint="eastAsia"/>
        </w:rPr>
        <w:t>差异</w:t>
      </w:r>
      <w:r>
        <w:t>在加工实验中</w:t>
      </w:r>
      <w:r>
        <w:rPr>
          <w:rFonts w:hint="eastAsia"/>
        </w:rPr>
        <w:t>亦得到</w:t>
      </w:r>
      <w:r>
        <w:t>独立观察</w:t>
      </w:r>
      <w:r>
        <w:rPr>
          <w:rStyle w:val="ae"/>
        </w:rPr>
        <w:footnoteReference w:id="23"/>
      </w:r>
      <w:r>
        <w:t>（</w:t>
      </w:r>
      <w:r>
        <w:t>Levy &amp; Keller</w:t>
      </w:r>
      <w:r>
        <w:t>，</w:t>
      </w:r>
      <w:r>
        <w:t>2013</w:t>
      </w:r>
      <w:r>
        <w:t>）。</w:t>
      </w:r>
    </w:p>
    <w:p w14:paraId="0EFEC11E" w14:textId="5A345EF3" w:rsidR="00435A19" w:rsidRPr="00435A19" w:rsidRDefault="00AB2729" w:rsidP="00B86D8F">
      <w:pPr>
        <w:spacing w:after="0"/>
        <w:ind w:firstLine="420"/>
      </w:pPr>
      <w:r>
        <w:t>德语内部对比已支持第一项预测：句框配置差异调节了约束的作用方向与权重分布。但分工是否确由框型结构塑造，仍需跨语言检验。若传导路径依赖框型结构，则在无严格框型结构的</w:t>
      </w:r>
      <w:r>
        <w:t>V2</w:t>
      </w:r>
      <w:r>
        <w:t>语言中，内部依存距离不应再经由拓扑条件间接传导，而应转为直接作用。本研究据此比较德语、荷兰语与三种非框型</w:t>
      </w:r>
      <w:r>
        <w:t>V2</w:t>
      </w:r>
      <w:r>
        <w:t>日耳曼语。荷兰语保留框型结构但规则较宽松，可作为梯度对照；瑞典语、丹麦语、挪威语同属</w:t>
      </w:r>
      <w:r>
        <w:t>V2</w:t>
      </w:r>
      <w:r>
        <w:t>语言，却无严格德语式句框（</w:t>
      </w:r>
      <w:r>
        <w:t>Vikner</w:t>
      </w:r>
      <w:r>
        <w:t>，</w:t>
      </w:r>
      <w:r>
        <w:t>1995</w:t>
      </w:r>
      <w:r>
        <w:t>：</w:t>
      </w:r>
      <w:r>
        <w:t>48</w:t>
      </w:r>
      <w:r>
        <w:t>）。</w:t>
      </w:r>
    </w:p>
    <w:p w14:paraId="5E434721" w14:textId="77777777" w:rsidR="00716996" w:rsidRDefault="00000000" w:rsidP="00B86D8F">
      <w:pPr>
        <w:spacing w:after="0"/>
        <w:jc w:val="center"/>
      </w:pPr>
      <w:r>
        <w:rPr>
          <w:noProof/>
        </w:rPr>
        <w:drawing>
          <wp:inline distT="0" distB="0" distL="0" distR="0" wp14:anchorId="59AB3AD6" wp14:editId="18FD06E0">
            <wp:extent cx="5274000" cy="4066306"/>
            <wp:effectExtent l="0" t="0" r="0" b="0"/>
            <wp:docPr id="101" name="图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6"/>
                    <pic:cNvPicPr/>
                  </pic:nvPicPr>
                  <pic:blipFill>
                    <a:blip r:embed="rId14"/>
                    <a:stretch>
                      <a:fillRect/>
                    </a:stretch>
                  </pic:blipFill>
                  <pic:spPr>
                    <a:xfrm>
                      <a:off x="0" y="0"/>
                      <a:ext cx="5274000" cy="4066306"/>
                    </a:xfrm>
                    <a:prstGeom prst="rect">
                      <a:avLst/>
                    </a:prstGeom>
                  </pic:spPr>
                </pic:pic>
              </a:graphicData>
            </a:graphic>
          </wp:inline>
        </w:drawing>
      </w:r>
    </w:p>
    <w:p w14:paraId="40A63F47" w14:textId="0A256AC4" w:rsidR="00716996" w:rsidRDefault="00000000" w:rsidP="005A67C6">
      <w:pPr>
        <w:spacing w:after="0"/>
        <w:jc w:val="center"/>
      </w:pPr>
      <w:r>
        <w:t>图</w:t>
      </w:r>
      <w:r>
        <w:t xml:space="preserve">7 </w:t>
      </w:r>
      <w:r>
        <w:t>五种日耳曼语言中内部平均依存距离的传导占比及五维贡献结构</w:t>
      </w:r>
      <w:r>
        <w:rPr>
          <w:rStyle w:val="ae"/>
        </w:rPr>
        <w:footnoteReference w:id="24"/>
      </w:r>
    </w:p>
    <w:p w14:paraId="44D6522C" w14:textId="55F59E2F" w:rsidR="00EB7797" w:rsidRDefault="003F16CF" w:rsidP="00B86D8F">
      <w:pPr>
        <w:spacing w:after="0"/>
        <w:ind w:firstLine="420"/>
      </w:pPr>
      <w:r>
        <w:t>图</w:t>
      </w:r>
      <w:r>
        <w:t>7</w:t>
      </w:r>
      <w:r>
        <w:t>显示，内部平均依存距离的传导占比呈现清晰断点：框型语言内部梯度递减（德语</w:t>
      </w:r>
      <w:r>
        <w:t>66%</w:t>
      </w:r>
      <w:r>
        <w:t>至荷兰语</w:t>
      </w:r>
      <w:r>
        <w:t>49%</w:t>
      </w:r>
      <w:r>
        <w:t>）</w:t>
      </w:r>
      <w:r>
        <w:rPr>
          <w:rStyle w:val="ae"/>
        </w:rPr>
        <w:footnoteReference w:id="25"/>
      </w:r>
      <w:r>
        <w:t>，三种非框型</w:t>
      </w:r>
      <w:r>
        <w:t>V2</w:t>
      </w:r>
      <w:r>
        <w:t>语言则均为</w:t>
      </w:r>
      <w:r>
        <w:t>0%</w:t>
      </w:r>
      <w:r>
        <w:t>。这说明内部平均依存距离并非在所有语言中都以同一方式影响语序。在德语与荷兰语中，它主要经由拓扑条件传导；在非框型</w:t>
      </w:r>
      <w:r>
        <w:t>V2</w:t>
      </w:r>
      <w:r>
        <w:t>语言中，传导路径消失，认知压力转为直接参与语序选择</w:t>
      </w:r>
      <w:r>
        <w:rPr>
          <w:rStyle w:val="ae"/>
        </w:rPr>
        <w:footnoteReference w:id="26"/>
      </w:r>
      <w:r>
        <w:t>。</w:t>
      </w:r>
      <w:r>
        <w:rPr>
          <w:rFonts w:hint="eastAsia"/>
        </w:rPr>
        <w:t>因此，</w:t>
      </w:r>
      <w:r>
        <w:t>框型结构区分的不是加工压力是否重要，而是加工压力通过何种路径进入语序系统。</w:t>
      </w:r>
    </w:p>
    <w:p w14:paraId="6F6D69FA" w14:textId="0810D372" w:rsidR="005A67C6" w:rsidRPr="00EB7797" w:rsidRDefault="005A67C6" w:rsidP="00B86D8F">
      <w:pPr>
        <w:spacing w:after="0"/>
        <w:ind w:firstLine="420"/>
      </w:pPr>
      <w:r>
        <w:rPr>
          <w:rFonts w:hint="eastAsia"/>
        </w:rPr>
        <w:t>这一分化与既有研究对框型结构加工效应的观察相吻合。句框既以可预期性减轻加工负担、为句末动词积累预期资源（</w:t>
      </w:r>
      <w:r>
        <w:rPr>
          <w:rFonts w:hint="eastAsia"/>
        </w:rPr>
        <w:t>Thurmair</w:t>
      </w:r>
      <w:r>
        <w:rPr>
          <w:rFonts w:hint="eastAsia"/>
        </w:rPr>
        <w:t>，</w:t>
      </w:r>
      <w:r>
        <w:rPr>
          <w:rFonts w:hint="eastAsia"/>
        </w:rPr>
        <w:t>1991</w:t>
      </w:r>
      <w:r>
        <w:rPr>
          <w:rFonts w:hint="eastAsia"/>
        </w:rPr>
        <w:t>：</w:t>
      </w:r>
      <w:r>
        <w:rPr>
          <w:rFonts w:hint="eastAsia"/>
        </w:rPr>
        <w:t>192</w:t>
      </w:r>
      <w:r>
        <w:rPr>
          <w:rFonts w:hint="eastAsia"/>
        </w:rPr>
        <w:t>；</w:t>
      </w:r>
      <w:r>
        <w:rPr>
          <w:rFonts w:hint="eastAsia"/>
        </w:rPr>
        <w:t>Konieczny</w:t>
      </w:r>
      <w:r>
        <w:rPr>
          <w:rFonts w:hint="eastAsia"/>
        </w:rPr>
        <w:t>，</w:t>
      </w:r>
      <w:r>
        <w:rPr>
          <w:rFonts w:hint="eastAsia"/>
        </w:rPr>
        <w:t>2000</w:t>
      </w:r>
      <w:r>
        <w:rPr>
          <w:rFonts w:hint="eastAsia"/>
        </w:rPr>
        <w:t>；</w:t>
      </w:r>
      <w:r>
        <w:rPr>
          <w:rFonts w:hint="eastAsia"/>
        </w:rPr>
        <w:t>Konieczny &amp; Döring</w:t>
      </w:r>
      <w:r>
        <w:rPr>
          <w:rFonts w:hint="eastAsia"/>
        </w:rPr>
        <w:t>，</w:t>
      </w:r>
      <w:r>
        <w:rPr>
          <w:rFonts w:hint="eastAsia"/>
        </w:rPr>
        <w:t>2003</w:t>
      </w:r>
      <w:r>
        <w:rPr>
          <w:rFonts w:hint="eastAsia"/>
        </w:rPr>
        <w:t>），又在中场饱和时为高信息量成分提供后场出口（</w:t>
      </w:r>
      <w:r>
        <w:rPr>
          <w:rFonts w:hint="eastAsia"/>
        </w:rPr>
        <w:t>Voigtmann &amp; Speyer</w:t>
      </w:r>
      <w:r>
        <w:rPr>
          <w:rFonts w:hint="eastAsia"/>
        </w:rPr>
        <w:t>，</w:t>
      </w:r>
      <w:r>
        <w:rPr>
          <w:rFonts w:hint="eastAsia"/>
        </w:rPr>
        <w:t>2021</w:t>
      </w:r>
      <w:r>
        <w:rPr>
          <w:rFonts w:hint="eastAsia"/>
        </w:rPr>
        <w:t>），即</w:t>
      </w:r>
      <w:r>
        <w:rPr>
          <w:rFonts w:hint="eastAsia"/>
        </w:rPr>
        <w:t xml:space="preserve"> IDS</w:t>
      </w:r>
      <w:r>
        <w:rPr>
          <w:rFonts w:hint="eastAsia"/>
        </w:rPr>
        <w:t>语法所称“信息解缠”（</w:t>
      </w:r>
      <w:r>
        <w:rPr>
          <w:rFonts w:hint="eastAsia"/>
        </w:rPr>
        <w:t>Informationsentflechtung</w:t>
      </w:r>
      <w:r>
        <w:rPr>
          <w:rFonts w:hint="eastAsia"/>
        </w:rPr>
        <w:t>；</w:t>
      </w:r>
      <w:r>
        <w:rPr>
          <w:rFonts w:hint="eastAsia"/>
        </w:rPr>
        <w:t>Zifonun et al.</w:t>
      </w:r>
      <w:r>
        <w:rPr>
          <w:rFonts w:hint="eastAsia"/>
        </w:rPr>
        <w:t>，</w:t>
      </w:r>
      <w:r>
        <w:rPr>
          <w:rFonts w:hint="eastAsia"/>
        </w:rPr>
        <w:t>1997</w:t>
      </w:r>
      <w:r>
        <w:rPr>
          <w:rFonts w:hint="eastAsia"/>
        </w:rPr>
        <w:t>：</w:t>
      </w:r>
      <w:r>
        <w:rPr>
          <w:rFonts w:hint="eastAsia"/>
        </w:rPr>
        <w:t>1669</w:t>
      </w:r>
      <w:r>
        <w:rPr>
          <w:rFonts w:hint="eastAsia"/>
        </w:rPr>
        <w:t>）。</w:t>
      </w:r>
      <w:r>
        <w:t>本文的跨语言结果进一步表明，这种调节并非加工系统的一般属性，而是系于框</w:t>
      </w:r>
      <w:r>
        <w:lastRenderedPageBreak/>
        <w:t>型结构本身：框型结构存在时，认知压力可经拓扑中介传导；框型结构缺席时，传导路径随之消失。</w:t>
      </w:r>
    </w:p>
    <w:p w14:paraId="4746312C" w14:textId="3C7FA8FD" w:rsidR="003F16CF" w:rsidRPr="003F16CF" w:rsidRDefault="00AB2729" w:rsidP="00B86D8F">
      <w:pPr>
        <w:spacing w:after="0"/>
        <w:ind w:firstLine="420"/>
      </w:pPr>
      <w:r>
        <w:rPr>
          <w:rFonts w:hint="eastAsia"/>
        </w:rPr>
        <w:t>因此，德</w:t>
      </w:r>
      <w:r>
        <w:t>语内部</w:t>
      </w:r>
      <w:r>
        <w:t>V2/VL</w:t>
      </w:r>
      <w:r>
        <w:t>配置差异说明框型结构能够重排约束的方向与权重，跨语言比较则进一步</w:t>
      </w:r>
      <w:r>
        <w:rPr>
          <w:rFonts w:hint="eastAsia"/>
        </w:rPr>
        <w:t>证明</w:t>
      </w:r>
      <w:r>
        <w:t>这种传导机制依赖框型结构。两项证据共同表明，</w:t>
      </w:r>
      <w:r>
        <w:rPr>
          <w:rFonts w:hint="eastAsia"/>
        </w:rPr>
        <w:t>上一节识别出的“驱动—传导—边界”分工并非加工系统的直接产物，而是普遍约束进入特定句法结构后形成的路径分化。</w:t>
      </w:r>
    </w:p>
    <w:p w14:paraId="6AD937A1" w14:textId="77777777" w:rsidR="007736AC" w:rsidRPr="003F16CF" w:rsidRDefault="007736AC" w:rsidP="00B86D8F">
      <w:pPr>
        <w:pStyle w:val="a0"/>
        <w:spacing w:before="0" w:after="0"/>
        <w:rPr>
          <w:lang w:val="en-US"/>
        </w:rPr>
      </w:pPr>
    </w:p>
    <w:p w14:paraId="2A3802BE" w14:textId="77777777" w:rsidR="007736AC" w:rsidRDefault="00000000" w:rsidP="00B86D8F">
      <w:pPr>
        <w:pStyle w:val="a0"/>
        <w:spacing w:before="0" w:after="0"/>
        <w:ind w:firstLineChars="0" w:firstLine="0"/>
        <w:rPr>
          <w:b/>
          <w:bCs/>
          <w:sz w:val="28"/>
          <w:szCs w:val="28"/>
        </w:rPr>
      </w:pPr>
      <w:r>
        <w:rPr>
          <w:b/>
          <w:bCs/>
          <w:sz w:val="28"/>
          <w:szCs w:val="28"/>
        </w:rPr>
        <w:t>四、结论</w:t>
      </w:r>
    </w:p>
    <w:p w14:paraId="41CDF20A" w14:textId="77777777" w:rsidR="00F9143D" w:rsidRDefault="00F9143D" w:rsidP="00B86D8F">
      <w:pPr>
        <w:pStyle w:val="a0"/>
        <w:spacing w:before="0" w:after="0"/>
        <w:ind w:firstLineChars="0" w:firstLine="0"/>
      </w:pPr>
    </w:p>
    <w:p w14:paraId="5386BA89" w14:textId="6D72FDCB" w:rsidR="009D3A52" w:rsidRPr="00313C1F" w:rsidRDefault="00AB2729" w:rsidP="00B86D8F">
      <w:pPr>
        <w:pStyle w:val="a0"/>
        <w:spacing w:before="0" w:after="0"/>
      </w:pPr>
      <w:r>
        <w:t>本文围绕德语破框中的多重约束关系，回答了三个递进问题：各约束是否独立叠加，是否发生功能角色分化，以及这一分工是否由框型结构组织。结果表明，破框的基本解释单位不是</w:t>
      </w:r>
      <w:r>
        <w:rPr>
          <w:rFonts w:hint="eastAsia"/>
        </w:rPr>
        <w:t>孤立因素，而是框型结构所塑造的约束分工。模型比较与消融分析首先排除独立叠加的预设：信息负荷与拓扑条件构成非线性协同核心。路径分解进一步显示，各约束并非以同质方式参与外置决策，而是分化为“驱动—传导—边界”三类功能角色：信息负荷连续直接驱动外置，认知压力经拓扑条件间接传导</w:t>
      </w:r>
      <w:r>
        <w:rPr>
          <w:rStyle w:val="ae"/>
        </w:rPr>
        <w:footnoteReference w:id="27"/>
      </w:r>
      <w:r>
        <w:rPr>
          <w:rFonts w:hint="eastAsia"/>
        </w:rPr>
        <w:t>，配价关系构成刚性边界。德语内部</w:t>
      </w:r>
      <w:r>
        <w:rPr>
          <w:rFonts w:hint="eastAsia"/>
        </w:rPr>
        <w:t>V2/VL</w:t>
      </w:r>
      <w:r>
        <w:rPr>
          <w:rFonts w:hint="eastAsia"/>
        </w:rPr>
        <w:t>配置对短语与从句产生相反调节，跨语言比较则显示内部依存距离的传导占比随框型结构严格度递减，并在三种非框型</w:t>
      </w:r>
      <w:r>
        <w:rPr>
          <w:rFonts w:hint="eastAsia"/>
        </w:rPr>
        <w:t>V2</w:t>
      </w:r>
      <w:r>
        <w:rPr>
          <w:rFonts w:hint="eastAsia"/>
        </w:rPr>
        <w:t>语言中消失。由此可见，来源与作用路径应被区分为两个层面：认知加工与信息分布构成相对稳定的约束来源，框型结构等语言特定配置则规定其进入语序系统的路径。这一区分为“人驱复杂适应系统”（刘海涛，</w:t>
      </w:r>
      <w:r>
        <w:rPr>
          <w:rFonts w:hint="eastAsia"/>
        </w:rPr>
        <w:t>2025</w:t>
      </w:r>
      <w:r>
        <w:rPr>
          <w:rFonts w:hint="eastAsia"/>
        </w:rPr>
        <w:t>）所论生物普遍性与语言特殊性的双层关系提供了句法层面的实证支持。</w:t>
      </w:r>
    </w:p>
    <w:p w14:paraId="72AEFB53" w14:textId="3548EDB3" w:rsidR="00B91CCA" w:rsidRPr="00313C1F" w:rsidRDefault="004E18F6" w:rsidP="00B86D8F">
      <w:pPr>
        <w:pStyle w:val="a0"/>
        <w:spacing w:before="0" w:after="0"/>
      </w:pPr>
      <w:r>
        <w:rPr>
          <w:rFonts w:hint="eastAsia"/>
        </w:rPr>
        <w:t>方法论层面，本文的逐层递进分析将多约束互动的分析从“贡献大小”推进到“作用方式”，并为多约束共同制约的句法变异问题提供了一套可复用的分析路径。既有多因素研究的考察重心多停留在约束是否显著及贡献大小（</w:t>
      </w:r>
      <w:r>
        <w:rPr>
          <w:rFonts w:hint="eastAsia"/>
        </w:rPr>
        <w:t>Strunk</w:t>
      </w:r>
      <w:r>
        <w:rPr>
          <w:rFonts w:hint="eastAsia"/>
        </w:rPr>
        <w:t>，</w:t>
      </w:r>
      <w:r>
        <w:rPr>
          <w:rFonts w:hint="eastAsia"/>
        </w:rPr>
        <w:t>2014</w:t>
      </w:r>
      <w:r>
        <w:rPr>
          <w:rFonts w:hint="eastAsia"/>
        </w:rPr>
        <w:t>；</w:t>
      </w:r>
      <w:r>
        <w:rPr>
          <w:rFonts w:hint="eastAsia"/>
        </w:rPr>
        <w:t>Voigtmann &amp; Speyer</w:t>
      </w:r>
      <w:r>
        <w:rPr>
          <w:rFonts w:hint="eastAsia"/>
        </w:rPr>
        <w:t>，</w:t>
      </w:r>
      <w:r>
        <w:rPr>
          <w:rFonts w:hint="eastAsia"/>
        </w:rPr>
        <w:t>2021</w:t>
      </w:r>
      <w:r>
        <w:rPr>
          <w:rFonts w:hint="eastAsia"/>
        </w:rPr>
        <w:t>）。本文则通过“模型比较—维度消融—路径分解—跨结构验证”的递进设计，依次识别非线性协同、定位协同核心、区分直接作用与间接传导，并检验角色分工是否随结构配置重组。分析路径的稳健性经替代</w:t>
      </w:r>
      <w:r>
        <w:rPr>
          <w:rFonts w:hint="eastAsia"/>
        </w:rPr>
        <w:t>DAG</w:t>
      </w:r>
      <w:r>
        <w:rPr>
          <w:rFonts w:hint="eastAsia"/>
        </w:rPr>
        <w:t>结构、标签扰动与采样策略等多角度检验，核心结论保持稳定</w:t>
      </w:r>
      <w:r>
        <w:rPr>
          <w:rStyle w:val="ae"/>
        </w:rPr>
        <w:footnoteReference w:id="28"/>
      </w:r>
      <w:r>
        <w:rPr>
          <w:rFonts w:hint="eastAsia"/>
        </w:rPr>
        <w:t>。由此得到的“驱动—传导—边界”框架，也为句法变异研究提供了一种按作用方式而非仅按来源类别组织变量的思路。</w:t>
      </w:r>
    </w:p>
    <w:p w14:paraId="3DEC8C06" w14:textId="00784C40" w:rsidR="00B91CCA" w:rsidRPr="00313C1F" w:rsidRDefault="00B91CCA" w:rsidP="00B86D8F">
      <w:pPr>
        <w:pStyle w:val="a0"/>
        <w:spacing w:before="0" w:after="0"/>
      </w:pPr>
      <w:r>
        <w:rPr>
          <w:rFonts w:hint="eastAsia"/>
        </w:rPr>
        <w:t>在应用层面，本文发现亦具有延伸意义。篇章语言学的认知转折已确立“语言加工受多因素制约”的一般性观察（孔德明、刘鸿绅，</w:t>
      </w:r>
      <w:r>
        <w:rPr>
          <w:rFonts w:hint="eastAsia"/>
        </w:rPr>
        <w:t>1997</w:t>
      </w:r>
      <w:r>
        <w:rPr>
          <w:rFonts w:hint="eastAsia"/>
        </w:rPr>
        <w:t>）。本文也提示应修正德语教学中常见的“长成分后移”式简化说明。数据显示，物理长度并非独立的核心预测维</w:t>
      </w:r>
      <w:r>
        <w:t>度</w:t>
      </w:r>
      <w:r>
        <w:rPr>
          <w:rStyle w:val="ae"/>
        </w:rPr>
        <w:footnoteReference w:id="29"/>
      </w:r>
      <w:r>
        <w:t>；外置更取决于信息压力是否足够、拓扑空间是否允许，以及句法功能是否构成边界限制。因此，破框教学可由单因素规则转向多条件判断：高信息负荷成分更可能外置，但这一倾向须同时受到句框空间和配价关系的限制。</w:t>
      </w:r>
    </w:p>
    <w:p w14:paraId="25C837C6" w14:textId="314CC970" w:rsidR="00461582" w:rsidRDefault="00000000" w:rsidP="00B86D8F">
      <w:pPr>
        <w:pStyle w:val="a0"/>
        <w:spacing w:before="0" w:after="0"/>
      </w:pPr>
      <w:r>
        <w:t>本文仍存在一定局限性。</w:t>
      </w:r>
      <w:r>
        <w:rPr>
          <w:rFonts w:hint="eastAsia"/>
        </w:rPr>
        <w:t>首先，</w:t>
      </w:r>
      <w:r>
        <w:t>路径分解以</w:t>
      </w:r>
      <w:r>
        <w:t>DAG</w:t>
      </w:r>
      <w:r>
        <w:t>的边结构为前提，多种替代</w:t>
      </w:r>
      <w:r>
        <w:t>DAG</w:t>
      </w:r>
      <w:r>
        <w:t>下核心模式</w:t>
      </w:r>
      <w:r>
        <w:rPr>
          <w:rFonts w:hint="eastAsia"/>
        </w:rPr>
        <w:t>保持稳定</w:t>
      </w:r>
      <w:r>
        <w:rPr>
          <w:rStyle w:val="ae"/>
          <w:rFonts w:hint="eastAsia"/>
        </w:rPr>
        <w:footnoteReference w:id="30"/>
      </w:r>
      <w:r>
        <w:t>，但不能替代实验操纵。</w:t>
      </w:r>
      <w:r>
        <w:rPr>
          <w:rFonts w:hint="eastAsia"/>
        </w:rPr>
        <w:t>其次，</w:t>
      </w:r>
      <w:r>
        <w:t>拓扑特征与后场定义存在结构关联，极端位置排除实验表明条件协同不依赖于该关联，但拓扑贡献的绝对量级仍需审慎解读。</w:t>
      </w:r>
      <w:r>
        <w:rPr>
          <w:rFonts w:hint="eastAsia"/>
        </w:rPr>
        <w:t>再次，</w:t>
      </w:r>
      <w:r>
        <w:t>核心分析基于科技新闻</w:t>
      </w:r>
      <w:r>
        <w:rPr>
          <w:rFonts w:hint="eastAsia"/>
        </w:rPr>
        <w:t>语料</w:t>
      </w:r>
      <w:r>
        <w:t>，跨语体（</w:t>
      </w:r>
      <w:r>
        <w:t>GSD</w:t>
      </w:r>
      <w:r>
        <w:t>）与跨语言验证（荷兰语、瑞典语、丹麦语、挪威语）</w:t>
      </w:r>
      <w:r>
        <w:rPr>
          <w:rFonts w:hint="eastAsia"/>
        </w:rPr>
        <w:t>已初步支持了核心模式的可迁移性，但跨语言结论仍有待更多语言类型的独立验证。后续研究可从两个方向推进：一是通过阅读时间、可接受度判断或诱导产出实验检验“驱动—传导—边界”分工的认知现实性；二是将分析扩展至</w:t>
      </w:r>
      <w:r>
        <w:rPr>
          <w:rFonts w:hint="eastAsia"/>
        </w:rPr>
        <w:t>SOV</w:t>
      </w:r>
      <w:r>
        <w:rPr>
          <w:rFonts w:hint="eastAsia"/>
        </w:rPr>
        <w:t>等类型差异更大的语言，考察动词位置约束是否也会重组认知压力的传导路径。若类似路径分化在更多语言类型中成立，本文所揭示的框型组织机制可进一步扩展为关于结构配置与加工约束关系的类型学解释。</w:t>
      </w:r>
    </w:p>
    <w:p w14:paraId="0FDF60C3" w14:textId="77777777" w:rsidR="00461582" w:rsidRDefault="00461582" w:rsidP="00461582">
      <w:pPr>
        <w:pStyle w:val="a0"/>
      </w:pPr>
    </w:p>
    <w:p w14:paraId="1FAA05F5" w14:textId="77777777" w:rsidR="007736AC" w:rsidRDefault="00000000" w:rsidP="006B5581">
      <w:pPr>
        <w:pStyle w:val="a0"/>
        <w:ind w:firstLineChars="0" w:firstLine="0"/>
        <w:rPr>
          <w:b/>
          <w:bCs/>
        </w:rPr>
      </w:pPr>
      <w:r>
        <w:rPr>
          <w:b/>
          <w:bCs/>
        </w:rPr>
        <w:lastRenderedPageBreak/>
        <w:t>参考文献</w:t>
      </w:r>
    </w:p>
    <w:p w14:paraId="58B347FE" w14:textId="77777777" w:rsidR="007736AC" w:rsidRDefault="007736AC" w:rsidP="006B5581">
      <w:pPr>
        <w:pStyle w:val="a0"/>
        <w:ind w:firstLineChars="0" w:firstLine="0"/>
      </w:pPr>
    </w:p>
    <w:p w14:paraId="70DDB9C1" w14:textId="77777777" w:rsidR="007736AC" w:rsidRDefault="00000000" w:rsidP="006B5581">
      <w:pPr>
        <w:pStyle w:val="a0"/>
        <w:ind w:firstLineChars="0" w:firstLine="0"/>
      </w:pPr>
      <w:r>
        <w:t xml:space="preserve">ALTMANN H. Formen der „Herausstellung“ im Deutschen: Rechtsversetzung, Linksversetzung, Freies Thema und </w:t>
      </w:r>
      <w:r>
        <w:rPr>
          <w:rFonts w:hint="eastAsia"/>
        </w:rPr>
        <w:t>v</w:t>
      </w:r>
      <w:r>
        <w:t>erwandte Konstruktionen [M]. Tübingen: Niemeyer, 1981.</w:t>
      </w:r>
    </w:p>
    <w:p w14:paraId="052C2331" w14:textId="77777777" w:rsidR="007736AC" w:rsidRDefault="00000000" w:rsidP="006B5581">
      <w:pPr>
        <w:pStyle w:val="a0"/>
        <w:ind w:firstLineChars="0" w:firstLine="0"/>
      </w:pPr>
      <w:r>
        <w:rPr>
          <w:lang w:val="en-US"/>
        </w:rPr>
        <w:t xml:space="preserve">ARNOLD J E, WASOW T, LOSONGCO A, et al. Heaviness vs. newness: The effects of structural complexity and discourse status on constituent ordering [J]. </w:t>
      </w:r>
      <w:r>
        <w:t>Language, 2000, 76(1): 28-55.</w:t>
      </w:r>
    </w:p>
    <w:p w14:paraId="094ECEDE" w14:textId="77777777" w:rsidR="007736AC" w:rsidRDefault="00000000" w:rsidP="006B5581">
      <w:pPr>
        <w:pStyle w:val="a0"/>
        <w:ind w:firstLineChars="0" w:firstLine="0"/>
      </w:pPr>
      <w:r>
        <w:t>BENEŠ E. Die Ausklammerung im Deutschen als grammatische Norm und als stilistischer Effekt [J]. Muttersprache, 1968, 78(10): 289-298.</w:t>
      </w:r>
    </w:p>
    <w:p w14:paraId="2F62D9BD" w14:textId="77777777" w:rsidR="007736AC" w:rsidRDefault="00000000" w:rsidP="006B5581">
      <w:pPr>
        <w:pStyle w:val="a0"/>
        <w:ind w:firstLineChars="0" w:firstLine="0"/>
      </w:pPr>
      <w:r>
        <w:t>BIRNSTINGL C. Zu Verbalklammer und Ausklammerung im Deutschen: Eine Korpusanalyse anhand von Plenarsitzungen des österreichischen Nationalrats [D]. Wien: Universität Wien, 2013.</w:t>
      </w:r>
    </w:p>
    <w:p w14:paraId="7E47FF3F" w14:textId="77777777" w:rsidR="007736AC" w:rsidRDefault="00000000" w:rsidP="006B5581">
      <w:pPr>
        <w:pStyle w:val="a0"/>
        <w:ind w:firstLineChars="0" w:firstLine="0"/>
      </w:pPr>
      <w:r>
        <w:t>BOCK K, LEVELT W J M. Language production: Grammatical encoding [C] // GERNSBACHER M A. Handbook of Psycholinguistics. San Diego: Academic Press, 1994: 945-977.</w:t>
      </w:r>
    </w:p>
    <w:p w14:paraId="2B18210E" w14:textId="77777777" w:rsidR="007736AC" w:rsidRDefault="00000000" w:rsidP="006B5581">
      <w:pPr>
        <w:pStyle w:val="a0"/>
        <w:ind w:firstLineChars="0" w:firstLine="0"/>
      </w:pPr>
      <w:r>
        <w:t>BOOST K. Neue Untersuchungen zum Wesen und zur Struktur des deutschen Satzes: Der Satz als Spannungsfeld [M]. Berlin: Akademie-Verlag, 1956.</w:t>
      </w:r>
    </w:p>
    <w:p w14:paraId="57B8D1A7" w14:textId="77777777" w:rsidR="007736AC" w:rsidRDefault="00000000" w:rsidP="006B5581">
      <w:pPr>
        <w:pStyle w:val="a0"/>
        <w:ind w:firstLineChars="0" w:firstLine="0"/>
        <w:rPr>
          <w:lang w:val="en-US"/>
        </w:rPr>
      </w:pPr>
      <w:r>
        <w:t xml:space="preserve">BORGES VÖLKER E, WENDT M, HENNIG F, et al. </w:t>
      </w:r>
      <w:r>
        <w:rPr>
          <w:lang w:val="en-US"/>
        </w:rPr>
        <w:t>HDT-UD: A very large Universal Dependencies treebank for German [C] // Proceedings of the Third Workshop on Universal Dependencies (UDW, SyntaxFest 2019). Paris: Association for Computational Linguistics, 2019: 46-57.</w:t>
      </w:r>
    </w:p>
    <w:p w14:paraId="684FDD04" w14:textId="77777777" w:rsidR="007736AC" w:rsidRDefault="00000000" w:rsidP="006B5581">
      <w:pPr>
        <w:pStyle w:val="a0"/>
        <w:ind w:firstLineChars="0" w:firstLine="0"/>
      </w:pPr>
      <w:r>
        <w:rPr>
          <w:lang w:val="en-US"/>
        </w:rPr>
        <w:t xml:space="preserve">BOUMA G, VAN NOORD G. Increasing return on annotation investment: the automatic construction of a Universal Dependency treebank for Dutch [C] // Proceedings of the NoDaLiDa 2017 Workshop on Universal Dependencies (UDW 2017). </w:t>
      </w:r>
      <w:r>
        <w:t>Gothenburg: ACL, 2017: 19-26.</w:t>
      </w:r>
    </w:p>
    <w:p w14:paraId="5ADECB20" w14:textId="77777777" w:rsidR="007736AC" w:rsidRDefault="00000000" w:rsidP="006B5581">
      <w:pPr>
        <w:pStyle w:val="a0"/>
        <w:ind w:firstLineChars="0" w:firstLine="0"/>
        <w:rPr>
          <w:lang w:val="en-US"/>
        </w:rPr>
      </w:pPr>
      <w:r>
        <w:t xml:space="preserve">BUẞMANN H, GERSTNER-LINK C. Lexikon der Sprachwissenschaft [M]. 3. </w:t>
      </w:r>
      <w:r>
        <w:rPr>
          <w:lang w:val="en-US"/>
        </w:rPr>
        <w:t>Aufl. Stuttgart: Kröner, 2002.</w:t>
      </w:r>
    </w:p>
    <w:p w14:paraId="30238150" w14:textId="77777777" w:rsidR="007736AC" w:rsidRDefault="00000000" w:rsidP="006B5581">
      <w:pPr>
        <w:spacing w:before="100" w:beforeAutospacing="1" w:after="100" w:afterAutospacing="1"/>
        <w:rPr>
          <w:lang w:val="en-US"/>
        </w:rPr>
      </w:pPr>
      <w:r>
        <w:rPr>
          <w:lang w:val="en-US"/>
        </w:rPr>
        <w:t>CHEN T, GUESTRIN C. XGBoost: A scalable tree boosting system [C] // Proceedings of the 22nd ACM SIGKDD International Conference on Knowledge Discovery and Data Mining. New York: ACM, 2016: 785-794.</w:t>
      </w:r>
    </w:p>
    <w:p w14:paraId="5D24A91C" w14:textId="77777777" w:rsidR="007736AC" w:rsidRDefault="00000000" w:rsidP="006B5581">
      <w:pPr>
        <w:pStyle w:val="a0"/>
        <w:ind w:firstLineChars="0" w:firstLine="0"/>
        <w:rPr>
          <w:lang w:val="en-US"/>
        </w:rPr>
      </w:pPr>
      <w:r>
        <w:rPr>
          <w:lang w:val="en-US"/>
        </w:rPr>
        <w:t xml:space="preserve">CORTÉS RODRÍGUEZ Á, BOSCH S, FELSER C. Dependency length minimization in German relative clause extraposition: Evidence from speeded acceptability judgments and production choices [EB/OL]. [2024-06-28]. </w:t>
      </w:r>
      <w:hyperlink r:id="rId15" w:history="1">
        <w:r w:rsidR="007736AC">
          <w:rPr>
            <w:rStyle w:val="ad"/>
            <w:lang w:val="en-US"/>
          </w:rPr>
          <w:t>https://doi.org/10.13140/RG.2.2.28408.15369</w:t>
        </w:r>
      </w:hyperlink>
      <w:r>
        <w:rPr>
          <w:lang w:val="en-US"/>
        </w:rPr>
        <w:t>.</w:t>
      </w:r>
    </w:p>
    <w:p w14:paraId="62788936" w14:textId="77777777" w:rsidR="007736AC" w:rsidRDefault="00000000" w:rsidP="006B5581">
      <w:pPr>
        <w:pStyle w:val="a0"/>
        <w:ind w:firstLineChars="0" w:firstLine="0"/>
        <w:rPr>
          <w:lang w:val="en-US"/>
        </w:rPr>
      </w:pPr>
      <w:r>
        <w:rPr>
          <w:lang w:val="en-US"/>
        </w:rPr>
        <w:t>COVER T M, THOMAS J A. Elements of Information Theory [M]. 2nd ed. Hoboken, NJ: Wiley, 2006.</w:t>
      </w:r>
    </w:p>
    <w:p w14:paraId="4534C7FD" w14:textId="77777777" w:rsidR="007736AC" w:rsidRDefault="00000000" w:rsidP="006B5581">
      <w:pPr>
        <w:pStyle w:val="a0"/>
        <w:ind w:firstLineChars="0" w:firstLine="0"/>
        <w:rPr>
          <w:lang w:val="en-US"/>
        </w:rPr>
      </w:pPr>
      <w:r>
        <w:rPr>
          <w:lang w:val="en-US"/>
        </w:rPr>
        <w:t>COWAN N. The magical number 4 in short-term memory: A reconsideration of mental storage capacity [J]. Behavioral and Brain Sciences, 2001, 24(1): 87-114.</w:t>
      </w:r>
    </w:p>
    <w:p w14:paraId="14E919EB" w14:textId="77777777" w:rsidR="007736AC" w:rsidRDefault="00000000" w:rsidP="006B5581">
      <w:pPr>
        <w:pStyle w:val="a0"/>
        <w:ind w:firstLineChars="0" w:firstLine="0"/>
        <w:rPr>
          <w:lang w:val="en-US"/>
        </w:rPr>
      </w:pPr>
      <w:r>
        <w:rPr>
          <w:lang w:val="en-US"/>
        </w:rPr>
        <w:t>DORMANN C F, ELITH J, BACHER S, et al. Collinearity: A review of methods to deal with it and a simulation study evaluating their performance [J]. Ecography, 2013, 36(1): 27-46.</w:t>
      </w:r>
    </w:p>
    <w:p w14:paraId="4D93FA27" w14:textId="77777777" w:rsidR="007736AC" w:rsidRDefault="00000000" w:rsidP="006B5581">
      <w:pPr>
        <w:pStyle w:val="a0"/>
        <w:ind w:firstLineChars="0" w:firstLine="0"/>
        <w:rPr>
          <w:lang w:val="en-US"/>
        </w:rPr>
      </w:pPr>
      <w:r>
        <w:rPr>
          <w:lang w:val="en-US"/>
        </w:rPr>
        <w:t>DUBENION-SMITH S. Clausal Postpositioning in German Regional Language [J]. Journal of Germanic Linguistics, 2024, 36(3): 157-207.</w:t>
      </w:r>
    </w:p>
    <w:p w14:paraId="40F08355" w14:textId="77777777" w:rsidR="007736AC" w:rsidRDefault="00000000" w:rsidP="006B5581">
      <w:pPr>
        <w:pStyle w:val="a0"/>
        <w:ind w:firstLineChars="0" w:firstLine="0"/>
        <w:rPr>
          <w:lang w:val="en-US"/>
        </w:rPr>
      </w:pPr>
      <w:r>
        <w:rPr>
          <w:rFonts w:hint="eastAsia"/>
          <w:lang w:val="en-US"/>
        </w:rPr>
        <w:t>FANSELOW G. In need of mediation: The relation between syntax and information structure [J]. Acta Linguistica Hungarica, 2008, 55(3-4): 397-413.</w:t>
      </w:r>
    </w:p>
    <w:p w14:paraId="65EB338F" w14:textId="77777777" w:rsidR="007736AC" w:rsidRDefault="00000000" w:rsidP="006B5581">
      <w:pPr>
        <w:pStyle w:val="a0"/>
        <w:ind w:firstLineChars="0" w:firstLine="0"/>
      </w:pPr>
      <w:r>
        <w:rPr>
          <w:lang w:val="en-US"/>
        </w:rPr>
        <w:t xml:space="preserve">FRANCIS E J, MICHAELIS L A. Why move? How weight and discourse factors combine to predict relative clause extraposition in English [C] // MORAVCSIK E, MALCHUKOV A, MACWHINNEY B. Competing Motivations in Grammar and Usage. </w:t>
      </w:r>
      <w:r>
        <w:t>Oxford: Oxford University Press, 2014: 70-87.</w:t>
      </w:r>
    </w:p>
    <w:p w14:paraId="0B25F36F" w14:textId="77777777" w:rsidR="007736AC" w:rsidRDefault="00000000" w:rsidP="006B5581">
      <w:pPr>
        <w:pStyle w:val="a0"/>
        <w:ind w:firstLineChars="0" w:firstLine="0"/>
        <w:rPr>
          <w:lang w:val="en-US"/>
        </w:rPr>
      </w:pPr>
      <w:r>
        <w:rPr>
          <w:rFonts w:hint="eastAsia"/>
        </w:rPr>
        <w:lastRenderedPageBreak/>
        <w:t xml:space="preserve">FREY W. Zur Struktur des Nachfelds im Deutschen [C] // VINCKEL-ROISIN H. Das Nachfeld im Deutschen: Theorie und Empirie. </w:t>
      </w:r>
      <w:r>
        <w:rPr>
          <w:rFonts w:hint="eastAsia"/>
          <w:lang w:val="en-US"/>
        </w:rPr>
        <w:t>Berlin/Boston: De Gruyter, 2015: 53-75.</w:t>
      </w:r>
    </w:p>
    <w:p w14:paraId="49F88DD0" w14:textId="77777777" w:rsidR="007736AC" w:rsidRDefault="00000000" w:rsidP="006B5581">
      <w:pPr>
        <w:pStyle w:val="a0"/>
        <w:ind w:firstLineChars="0" w:firstLine="0"/>
      </w:pPr>
      <w:r>
        <w:rPr>
          <w:lang w:val="en-US"/>
        </w:rPr>
        <w:t xml:space="preserve">GIBSON E. Linguistic complexity: locality of syntactic dependencies [J]. </w:t>
      </w:r>
      <w:r>
        <w:t>Cognition, 1998, 68(1): 1-76.</w:t>
      </w:r>
    </w:p>
    <w:p w14:paraId="5F655002" w14:textId="77777777" w:rsidR="007736AC" w:rsidRDefault="00000000" w:rsidP="006B5581">
      <w:pPr>
        <w:pStyle w:val="a0"/>
        <w:ind w:firstLineChars="0" w:firstLine="0"/>
        <w:rPr>
          <w:lang w:val="en-US"/>
        </w:rPr>
      </w:pPr>
      <w:r>
        <w:t xml:space="preserve">GLINZ H. Die innere Form des Deutschen: Eine neue deutsche Grammatik [M]. </w:t>
      </w:r>
      <w:r>
        <w:rPr>
          <w:lang w:val="en-US"/>
        </w:rPr>
        <w:t>Bern: Francke, 1952.</w:t>
      </w:r>
    </w:p>
    <w:p w14:paraId="4CBB48B3" w14:textId="77777777" w:rsidR="007736AC" w:rsidRDefault="00000000" w:rsidP="006B5581">
      <w:pPr>
        <w:pStyle w:val="a0"/>
        <w:ind w:firstLineChars="0" w:firstLine="0"/>
        <w:rPr>
          <w:lang w:val="en-US"/>
        </w:rPr>
      </w:pPr>
      <w:r>
        <w:rPr>
          <w:lang w:val="en-US"/>
        </w:rPr>
        <w:t>HAHN M, XU Y. Crosslinguistic word order variation reflects evolutionary pressures of dependency and information locality [J]. Proceedings of the National Academy of Sciences, 2022, 119(24): e2122604119.</w:t>
      </w:r>
    </w:p>
    <w:p w14:paraId="47E0CB0D" w14:textId="77777777" w:rsidR="007736AC" w:rsidRDefault="00000000" w:rsidP="006B5581">
      <w:pPr>
        <w:pStyle w:val="a0"/>
        <w:ind w:firstLineChars="0" w:firstLine="0"/>
        <w:rPr>
          <w:lang w:val="en-US"/>
        </w:rPr>
      </w:pPr>
      <w:r>
        <w:rPr>
          <w:rFonts w:hint="eastAsia"/>
          <w:lang w:val="en-US"/>
        </w:rPr>
        <w:t>HAIDER H. The Syntax of German [M]. Cambridge: Cambridge University Press, 2010.</w:t>
      </w:r>
    </w:p>
    <w:p w14:paraId="15DA8B44" w14:textId="77777777" w:rsidR="007736AC" w:rsidRDefault="00000000" w:rsidP="006B5581">
      <w:pPr>
        <w:pStyle w:val="a0"/>
        <w:ind w:firstLineChars="0" w:firstLine="0"/>
        <w:rPr>
          <w:lang w:val="en-US"/>
        </w:rPr>
      </w:pPr>
      <w:r>
        <w:rPr>
          <w:lang w:val="en-US"/>
        </w:rPr>
        <w:t>HALE J. A probabilistic Earley parser as a psycholinguistic model [C] // Proceedings of the Second Meeting of the North American Chapter of the Association for Computational Linguistics (NAACL-2001). Pittsburgh, PA: ACL, 2001: 159-166.</w:t>
      </w:r>
    </w:p>
    <w:p w14:paraId="7C1D6580" w14:textId="77777777" w:rsidR="007736AC" w:rsidRDefault="00000000" w:rsidP="006B5581">
      <w:pPr>
        <w:pStyle w:val="a0"/>
        <w:ind w:firstLineChars="0" w:firstLine="0"/>
        <w:rPr>
          <w:lang w:val="en-US"/>
        </w:rPr>
      </w:pPr>
      <w:r>
        <w:rPr>
          <w:lang w:val="en-US"/>
        </w:rPr>
        <w:t>HAWKINS J A. A Performance Theory of Order and Constituency [M]. Cambridge: Cambridge University Press, 1994.</w:t>
      </w:r>
    </w:p>
    <w:p w14:paraId="0ECBC961" w14:textId="77777777" w:rsidR="007736AC" w:rsidRDefault="00000000" w:rsidP="006B5581">
      <w:pPr>
        <w:pStyle w:val="a0"/>
        <w:ind w:firstLineChars="0" w:firstLine="0"/>
        <w:rPr>
          <w:lang w:val="en-US"/>
        </w:rPr>
      </w:pPr>
      <w:r>
        <w:rPr>
          <w:lang w:val="en-US"/>
        </w:rPr>
        <w:t>HAWKINS J A. Efficiency and Complexity in Grammars [M]. Oxford: Oxford University Press, 2004.</w:t>
      </w:r>
    </w:p>
    <w:p w14:paraId="3AF934AD" w14:textId="77777777" w:rsidR="007736AC" w:rsidRDefault="00000000" w:rsidP="006B5581">
      <w:pPr>
        <w:pStyle w:val="a0"/>
        <w:ind w:firstLineChars="0" w:firstLine="0"/>
        <w:rPr>
          <w:lang w:val="en-US"/>
        </w:rPr>
      </w:pPr>
      <w:r>
        <w:rPr>
          <w:lang w:val="en-US"/>
        </w:rPr>
        <w:t>JAEGER T F. Redundancy and reduction: Speakers manage syntactic information density [J]. Cognitive Psychology, 2010, 61(1): 23-62.</w:t>
      </w:r>
    </w:p>
    <w:p w14:paraId="0566B1A9" w14:textId="77777777" w:rsidR="007736AC" w:rsidRDefault="00000000" w:rsidP="006B5581">
      <w:pPr>
        <w:pStyle w:val="a0"/>
        <w:ind w:firstLineChars="0" w:firstLine="0"/>
        <w:rPr>
          <w:lang w:val="en-US"/>
        </w:rPr>
      </w:pPr>
      <w:r>
        <w:rPr>
          <w:lang w:val="en-US"/>
        </w:rPr>
        <w:t>JING Y, WIDMER P, BICKEL B. Word order variation is partially constrained by syntactic complexity [J]. Cognitive Science, 2021, 45: e13056.</w:t>
      </w:r>
    </w:p>
    <w:p w14:paraId="4FBA4795" w14:textId="77777777" w:rsidR="007736AC" w:rsidRDefault="00000000" w:rsidP="006B5581">
      <w:pPr>
        <w:pStyle w:val="a0"/>
        <w:ind w:firstLineChars="0" w:firstLine="0"/>
        <w:rPr>
          <w:lang w:val="en-US"/>
        </w:rPr>
      </w:pPr>
      <w:r>
        <w:rPr>
          <w:lang w:val="en-US"/>
        </w:rPr>
        <w:t>JOHANNSEN A, MARTÍNEZ ALONSO H, PLANK B. Universal Dependencies for Danish [C] // Proceedings of the 14th International Workshop on Treebanks and Linguistic Theories (TLT14). Warsaw: IPIPAN, 2015: 157-167.</w:t>
      </w:r>
    </w:p>
    <w:p w14:paraId="3858F8E5" w14:textId="77777777" w:rsidR="007736AC" w:rsidRDefault="00000000" w:rsidP="006B5581">
      <w:pPr>
        <w:pStyle w:val="a0"/>
        <w:ind w:firstLineChars="0" w:firstLine="0"/>
        <w:rPr>
          <w:lang w:val="en-US"/>
        </w:rPr>
      </w:pPr>
      <w:r>
        <w:rPr>
          <w:lang w:val="en-US"/>
        </w:rPr>
        <w:t>KONIECZNY L. Locality and parsing complexity [J]. Journal of Psycholinguistic Research, 2000, 29(6): 627-645.</w:t>
      </w:r>
    </w:p>
    <w:p w14:paraId="485133E5" w14:textId="77777777" w:rsidR="007736AC" w:rsidRDefault="00000000" w:rsidP="006B5581">
      <w:pPr>
        <w:pStyle w:val="a0"/>
        <w:ind w:firstLineChars="0" w:firstLine="0"/>
      </w:pPr>
      <w:r>
        <w:rPr>
          <w:lang w:val="en-US"/>
        </w:rPr>
        <w:t xml:space="preserve">KONIECZNY L, DÖRING P. Anticipation of clause-final heads: Evidence from eye-tracking and SRNs [C] // ALTERMAN R, KIRSH D. Proceedings of the 25th Annual Conference of the Cognitive Science Society. </w:t>
      </w:r>
      <w:r>
        <w:t>Mahwah, NJ: Erlbaum, 2003: 330-335.</w:t>
      </w:r>
    </w:p>
    <w:p w14:paraId="6E40B5B3" w14:textId="77777777" w:rsidR="007736AC" w:rsidRDefault="00000000" w:rsidP="006B5581">
      <w:pPr>
        <w:pStyle w:val="a0"/>
        <w:ind w:firstLineChars="0" w:firstLine="0"/>
      </w:pPr>
      <w:r>
        <w:t>KONOPKA M. Strittige Erscheinungen der deutschen Syntax im 18. Jahrhundert [M]. Tübingen: Niemeyer, 1996.</w:t>
      </w:r>
    </w:p>
    <w:p w14:paraId="4387883E" w14:textId="77777777" w:rsidR="007736AC" w:rsidRDefault="00000000" w:rsidP="006B5581">
      <w:pPr>
        <w:pStyle w:val="a0"/>
        <w:ind w:firstLineChars="0" w:firstLine="0"/>
        <w:rPr>
          <w:lang w:val="en-US"/>
        </w:rPr>
      </w:pPr>
      <w:r>
        <w:t xml:space="preserve">LENERZ J. Syntaktischer Wandel und Grammatiktheorie [M]. </w:t>
      </w:r>
      <w:r>
        <w:rPr>
          <w:lang w:val="en-US"/>
        </w:rPr>
        <w:t>Tübingen: Niemeyer, 1984.</w:t>
      </w:r>
    </w:p>
    <w:p w14:paraId="418281DF" w14:textId="77777777" w:rsidR="007736AC" w:rsidRDefault="00000000" w:rsidP="006B5581">
      <w:pPr>
        <w:pStyle w:val="a0"/>
        <w:ind w:firstLineChars="0" w:firstLine="0"/>
        <w:rPr>
          <w:lang w:val="en-US"/>
        </w:rPr>
      </w:pPr>
      <w:r>
        <w:rPr>
          <w:lang w:val="en-US"/>
        </w:rPr>
        <w:t>LEVELT W J M. Speaking: From Intention to Articulation [M]. Cambridge, MA: MIT Press, 1989.</w:t>
      </w:r>
    </w:p>
    <w:p w14:paraId="46BD2F90" w14:textId="77777777" w:rsidR="007736AC" w:rsidRPr="00770A7F" w:rsidRDefault="00000000" w:rsidP="006B5581">
      <w:pPr>
        <w:pStyle w:val="a0"/>
        <w:ind w:firstLineChars="0" w:firstLine="0"/>
      </w:pPr>
      <w:r>
        <w:rPr>
          <w:lang w:val="en-US"/>
        </w:rPr>
        <w:t xml:space="preserve">LEVY R. Expectation-based syntactic comprehension [J]. </w:t>
      </w:r>
      <w:r>
        <w:t>Cognition, 2008, 108(1): 106-154.</w:t>
      </w:r>
    </w:p>
    <w:p w14:paraId="62D68233" w14:textId="77777777" w:rsidR="007736AC" w:rsidRDefault="00000000" w:rsidP="006B5581">
      <w:pPr>
        <w:pStyle w:val="a0"/>
        <w:ind w:firstLineChars="0" w:firstLine="0"/>
        <w:rPr>
          <w:lang w:val="en-US"/>
        </w:rPr>
      </w:pPr>
      <w:r>
        <w:t xml:space="preserve">LEVY R, FEDORENKO E, BREEN M, et al. </w:t>
      </w:r>
      <w:r>
        <w:rPr>
          <w:lang w:val="en-US"/>
        </w:rPr>
        <w:t>The processing of extraposed structures in English [J]. Cognition, 2012, 122(1): 12-36.</w:t>
      </w:r>
    </w:p>
    <w:p w14:paraId="5A4DC507" w14:textId="77777777" w:rsidR="007736AC" w:rsidRDefault="00000000" w:rsidP="006B5581">
      <w:pPr>
        <w:pStyle w:val="a0"/>
        <w:ind w:firstLineChars="0" w:firstLine="0"/>
        <w:rPr>
          <w:lang w:val="en-US"/>
        </w:rPr>
      </w:pPr>
      <w:r>
        <w:rPr>
          <w:lang w:val="en-US"/>
        </w:rPr>
        <w:t>LEVY R, KELLER F. Expectation and locality effects in German verb-final structures [J]. Journal of Memory and Language, 2013, 68(2): 199-222.</w:t>
      </w:r>
    </w:p>
    <w:p w14:paraId="748C89F6" w14:textId="77777777" w:rsidR="007736AC" w:rsidRDefault="00000000" w:rsidP="006B5581">
      <w:pPr>
        <w:pStyle w:val="a0"/>
        <w:ind w:firstLineChars="0" w:firstLine="0"/>
        <w:rPr>
          <w:lang w:val="en-US"/>
        </w:rPr>
      </w:pPr>
      <w:r>
        <w:rPr>
          <w:lang w:val="en-US"/>
        </w:rPr>
        <w:t>LIU H. Dependency distance as a metric of language comprehension difficulty [J]. Journal of Cognitive Science, 2008, 9(2): 159-191.</w:t>
      </w:r>
    </w:p>
    <w:p w14:paraId="4E959C33" w14:textId="77777777" w:rsidR="007736AC" w:rsidRDefault="00000000" w:rsidP="006B5581">
      <w:pPr>
        <w:pStyle w:val="a0"/>
        <w:ind w:firstLineChars="0" w:firstLine="0"/>
        <w:rPr>
          <w:lang w:val="en-US"/>
        </w:rPr>
      </w:pPr>
      <w:r>
        <w:rPr>
          <w:lang w:val="en-US"/>
        </w:rPr>
        <w:t>LIU H, HUDSON R, FENG Z. Using a Chinese treebank to measure dependency distance [J]. Corpus Linguistics and Linguistic Theory, 2009, 5(2): 161-174.</w:t>
      </w:r>
    </w:p>
    <w:p w14:paraId="5C9637B4" w14:textId="77777777" w:rsidR="007736AC" w:rsidRDefault="00000000" w:rsidP="006B5581">
      <w:pPr>
        <w:pStyle w:val="a0"/>
        <w:ind w:firstLineChars="0" w:firstLine="0"/>
      </w:pPr>
      <w:r>
        <w:rPr>
          <w:lang w:val="en-US"/>
        </w:rPr>
        <w:lastRenderedPageBreak/>
        <w:t xml:space="preserve">LIU H, XU C, LIANG J. Dependency distance: A new perspective on syntactic patterns in natural languages [J]. </w:t>
      </w:r>
      <w:r>
        <w:t>Physics of Life Reviews, 2017, 21: 171-193.</w:t>
      </w:r>
    </w:p>
    <w:p w14:paraId="09E3D2CE" w14:textId="77777777" w:rsidR="007736AC" w:rsidRDefault="00000000" w:rsidP="006B5581">
      <w:pPr>
        <w:pStyle w:val="a0"/>
        <w:ind w:firstLineChars="0" w:firstLine="0"/>
        <w:rPr>
          <w:lang w:val="en-US"/>
        </w:rPr>
      </w:pPr>
      <w:r>
        <w:t xml:space="preserve">MAKOVEC J. Zu Entwicklungstendenzen im Satzbau der deutschen Sprache der Gegenwart unter besonderer Berücksichtigung der Ausrahmung [J]. </w:t>
      </w:r>
      <w:r>
        <w:rPr>
          <w:lang w:val="en-US"/>
        </w:rPr>
        <w:t>Linguistica, 1983, 23(1): 257-305.</w:t>
      </w:r>
    </w:p>
    <w:p w14:paraId="041AD738" w14:textId="77777777" w:rsidR="007736AC" w:rsidRDefault="00000000" w:rsidP="006B5581">
      <w:pPr>
        <w:pStyle w:val="a0"/>
        <w:ind w:firstLineChars="0" w:firstLine="0"/>
        <w:rPr>
          <w:lang w:val="en-US"/>
        </w:rPr>
      </w:pPr>
      <w:r>
        <w:rPr>
          <w:lang w:val="en-US"/>
        </w:rPr>
        <w:t>MCDONALD R, NIVRE J, QUIRMBACH-BRUNDAGE Y, et al. Universal dependency annotation for multilingual parsing [C] // Proceedings of the 51st Annual Meeting of the Association for Computational Linguistics (ACL 2013). Sofia: ACL, 2013: 92-97.</w:t>
      </w:r>
    </w:p>
    <w:p w14:paraId="14BF4388" w14:textId="77777777" w:rsidR="007736AC" w:rsidRDefault="00000000" w:rsidP="006B5581">
      <w:pPr>
        <w:pStyle w:val="a0"/>
        <w:ind w:firstLineChars="0" w:firstLine="0"/>
        <w:rPr>
          <w:lang w:val="en-US"/>
        </w:rPr>
      </w:pPr>
      <w:r>
        <w:rPr>
          <w:lang w:val="en-US"/>
        </w:rPr>
        <w:t>NAIDU G, ZUVA T, SIBANDA E M. A review of evaluation metrics in machine learning algorithms [C] // SILHAVY R, SILHAVY P. Artificial Intelligence Application in Networks and Systems. Cham: Springer, 2023: 15-25.</w:t>
      </w:r>
    </w:p>
    <w:p w14:paraId="088E7720" w14:textId="77777777" w:rsidR="007736AC" w:rsidRDefault="00000000" w:rsidP="006B5581">
      <w:pPr>
        <w:pStyle w:val="a0"/>
        <w:ind w:firstLineChars="0" w:firstLine="0"/>
        <w:rPr>
          <w:lang w:val="en-US"/>
        </w:rPr>
      </w:pPr>
      <w:r>
        <w:rPr>
          <w:lang w:val="en-US"/>
        </w:rPr>
        <w:t>NG W, WANG L, LIU S, et al. Causal SHAP: Feature attribution with dependency awareness through causal discovery [EB/OL]. [2025-09-15]. https://doi.org/10.48550/arXiv.2509.00846.</w:t>
      </w:r>
    </w:p>
    <w:p w14:paraId="5C7CBB60" w14:textId="77777777" w:rsidR="007736AC" w:rsidRDefault="00000000" w:rsidP="006B5581">
      <w:pPr>
        <w:pStyle w:val="a0"/>
        <w:ind w:firstLineChars="0" w:firstLine="0"/>
        <w:rPr>
          <w:lang w:val="en-US"/>
        </w:rPr>
      </w:pPr>
      <w:r>
        <w:rPr>
          <w:lang w:val="en-US"/>
        </w:rPr>
        <w:t>NIVRE J, MEGYESI B. Bootstrapping a Swedish treebank using cross-corpus harmonization and annotation projection [C] // Proceedings of the 6th International Workshop on Treebanks and Linguistic Theories (TLT 2007). Bergen: Nordisk Forlag, 2007: 97-102.</w:t>
      </w:r>
    </w:p>
    <w:p w14:paraId="382D26EB" w14:textId="77777777" w:rsidR="007736AC" w:rsidRDefault="00000000" w:rsidP="006B5581">
      <w:pPr>
        <w:pStyle w:val="a0"/>
        <w:ind w:firstLineChars="0" w:firstLine="0"/>
      </w:pPr>
      <w:r>
        <w:rPr>
          <w:lang w:val="en-US"/>
        </w:rPr>
        <w:t xml:space="preserve">ØVRELID L, HOHLE P. Universal Dependencies for Norwegian [C] // Proceedings of the Tenth International Conference on Language Resources and Evaluation (LREC 2016). </w:t>
      </w:r>
      <w:r>
        <w:t>Portorož: ELRA, 2016: 1579-1585.</w:t>
      </w:r>
    </w:p>
    <w:p w14:paraId="373AE56E" w14:textId="77777777" w:rsidR="007736AC" w:rsidRDefault="00000000" w:rsidP="006B5581">
      <w:pPr>
        <w:pStyle w:val="a0"/>
        <w:ind w:firstLineChars="0" w:firstLine="0"/>
      </w:pPr>
      <w:r>
        <w:t>PATOCKA F. Satzgliedstellung in den bairischen Dialekten Österreichs [M]. Frankfurt am Main/Berlin/Bern/New York/Paris/Wien: Peter Lang, 1997.</w:t>
      </w:r>
    </w:p>
    <w:p w14:paraId="6980818E" w14:textId="77777777" w:rsidR="007736AC" w:rsidRDefault="00000000" w:rsidP="006B5581">
      <w:pPr>
        <w:pStyle w:val="a0"/>
        <w:ind w:firstLineChars="0" w:firstLine="0"/>
      </w:pPr>
      <w:r>
        <w:t>PFÜTZE M. Satzbau, Stil und Klasse - kritische Bemerkungen zur sozialen Grundlage einiger Anschauungen über Normen in der deutschen Satzstruktur [J]. Wissenschaftliche Zeitschrift der Pädagogischen Hochschule Potsdam, 1966, 10(2): 203-210.</w:t>
      </w:r>
    </w:p>
    <w:p w14:paraId="01F70134" w14:textId="77777777" w:rsidR="007736AC" w:rsidRDefault="00000000" w:rsidP="006B5581">
      <w:pPr>
        <w:pStyle w:val="a0"/>
        <w:ind w:firstLineChars="0" w:firstLine="0"/>
        <w:rPr>
          <w:lang w:val="en-US"/>
        </w:rPr>
      </w:pPr>
      <w:r>
        <w:t xml:space="preserve">POSCHMANN C, WAGNER M. Relative clause extraposition and prosody in German [J]. </w:t>
      </w:r>
      <w:r>
        <w:rPr>
          <w:lang w:val="en-US"/>
        </w:rPr>
        <w:t>Natural Language &amp; Linguistic Theory, 2016, 34(3): 975-1020.</w:t>
      </w:r>
    </w:p>
    <w:p w14:paraId="7BF5C87B" w14:textId="77777777" w:rsidR="007736AC" w:rsidRDefault="00000000" w:rsidP="006B5581">
      <w:pPr>
        <w:pStyle w:val="a0"/>
        <w:ind w:firstLineChars="0" w:firstLine="0"/>
      </w:pPr>
      <w:r>
        <w:rPr>
          <w:lang w:val="en-US"/>
        </w:rPr>
        <w:t xml:space="preserve">POWERS D M W. Evaluation: From precision, recall and F-measure to ROC, informedness, markedness and correlation [J]. </w:t>
      </w:r>
      <w:r>
        <w:t>Journal of Machine Learning Technologies, 2011, 2(1): 37-63.</w:t>
      </w:r>
    </w:p>
    <w:p w14:paraId="1F19176A" w14:textId="77777777" w:rsidR="007736AC" w:rsidRDefault="00000000" w:rsidP="006B5581">
      <w:pPr>
        <w:pStyle w:val="a0"/>
        <w:ind w:firstLineChars="0" w:firstLine="0"/>
      </w:pPr>
      <w:r>
        <w:t>RATH R. Trennbare Verben und Ausklammerung: Zur Syntax der deutschen Sprache der Gegenwart [J]. Wirkendes Wort, 1965, 15: 217-232.</w:t>
      </w:r>
    </w:p>
    <w:p w14:paraId="20A40A29" w14:textId="77777777" w:rsidR="007736AC" w:rsidRDefault="00000000" w:rsidP="006B5581">
      <w:pPr>
        <w:pStyle w:val="a0"/>
        <w:ind w:firstLineChars="0" w:firstLine="0"/>
        <w:rPr>
          <w:lang w:val="en-US"/>
        </w:rPr>
      </w:pPr>
      <w:r>
        <w:t xml:space="preserve">SCHNEIDER-WIEJOWSKI K. Komplexe syntaktische Konstruktionen nach der rechten Satzklammer: Eine Korpusstudie [J]. </w:t>
      </w:r>
      <w:r>
        <w:rPr>
          <w:lang w:val="en-US"/>
        </w:rPr>
        <w:t>Muttersprache, 2010, 120(1): 57-69.</w:t>
      </w:r>
    </w:p>
    <w:p w14:paraId="502699C4" w14:textId="77777777" w:rsidR="007736AC" w:rsidRDefault="00000000" w:rsidP="006B5581">
      <w:pPr>
        <w:pStyle w:val="a0"/>
        <w:ind w:firstLineChars="0" w:firstLine="0"/>
        <w:rPr>
          <w:lang w:val="en-US"/>
        </w:rPr>
      </w:pPr>
      <w:r>
        <w:rPr>
          <w:lang w:val="en-US"/>
        </w:rPr>
        <w:t>SHANNON C E. A mathematical theory of communication [J]. Bell System Technical Journal, 1948, 27(3): 379-423.</w:t>
      </w:r>
    </w:p>
    <w:p w14:paraId="73E5C9FE" w14:textId="77777777" w:rsidR="007736AC" w:rsidRDefault="00000000" w:rsidP="006B5581">
      <w:pPr>
        <w:pStyle w:val="a0"/>
        <w:ind w:firstLineChars="0" w:firstLine="0"/>
        <w:rPr>
          <w:lang w:val="en-US"/>
        </w:rPr>
      </w:pPr>
      <w:r>
        <w:rPr>
          <w:lang w:val="en-US"/>
        </w:rPr>
        <w:t>SHLIAZHKO O, FENOGENOVA A, TIKHONOVA M, et al. mGPT: Few-shot learners go multilingual [EB/OL]. [2022-04-14]. https://doi.org/10.48550/arXiv.2204.07580.</w:t>
      </w:r>
    </w:p>
    <w:p w14:paraId="518314A7" w14:textId="77777777" w:rsidR="007736AC" w:rsidRDefault="00000000" w:rsidP="006B5581">
      <w:pPr>
        <w:pStyle w:val="a0"/>
        <w:ind w:firstLineChars="0" w:firstLine="0"/>
        <w:rPr>
          <w:lang w:val="en-US"/>
        </w:rPr>
      </w:pPr>
      <w:r>
        <w:rPr>
          <w:lang w:val="en-US"/>
        </w:rPr>
        <w:t>SLAATS S, MEYER A S, MARTIN A E. Lexical surprisal shapes the time course of syntactic structure building [J]. Neurobiology of Language, 2024, 5(4): 942-980.</w:t>
      </w:r>
    </w:p>
    <w:p w14:paraId="2CBC1C6B" w14:textId="77777777" w:rsidR="007736AC" w:rsidRDefault="00000000" w:rsidP="006B5581">
      <w:pPr>
        <w:pStyle w:val="a0"/>
        <w:ind w:firstLineChars="0" w:firstLine="0"/>
        <w:rPr>
          <w:lang w:val="en-US"/>
        </w:rPr>
      </w:pPr>
      <w:r>
        <w:rPr>
          <w:lang w:val="en-US"/>
        </w:rPr>
        <w:t>SPIRTES P, GLYMOUR C, SCHEINES R. Causation, Prediction, and Search [M]. Cambridge, MA: MIT Press, 2001.</w:t>
      </w:r>
    </w:p>
    <w:p w14:paraId="479AEEDE" w14:textId="77777777" w:rsidR="007736AC" w:rsidRDefault="00000000" w:rsidP="006B5581">
      <w:pPr>
        <w:pStyle w:val="a0"/>
        <w:ind w:firstLineChars="0" w:firstLine="0"/>
        <w:rPr>
          <w:lang w:val="en-US"/>
        </w:rPr>
      </w:pPr>
      <w:r>
        <w:rPr>
          <w:lang w:val="en-US"/>
        </w:rPr>
        <w:t>STRUNK J. A statistical model of competing motivations affecting relative clause extraposition in German [C] // MACWHINNEY B, MALCHUKOV A, MORAVCSIK E. Competing Motivations in Grammar and Usage. Oxford: Oxford University Press, 2014: 88-106.</w:t>
      </w:r>
    </w:p>
    <w:p w14:paraId="1DCA84C1" w14:textId="77777777" w:rsidR="007736AC" w:rsidRDefault="00000000" w:rsidP="006B5581">
      <w:pPr>
        <w:pStyle w:val="a0"/>
        <w:ind w:firstLineChars="0" w:firstLine="0"/>
      </w:pPr>
      <w:r>
        <w:rPr>
          <w:lang w:val="en-US"/>
        </w:rPr>
        <w:t xml:space="preserve">TESNIÈRE L. Éléments de syntaxe structurale [M]. </w:t>
      </w:r>
      <w:r>
        <w:t>Paris: Klincksieck, 1959.</w:t>
      </w:r>
    </w:p>
    <w:p w14:paraId="7D53AC3D" w14:textId="77777777" w:rsidR="007736AC" w:rsidRDefault="00000000" w:rsidP="006B5581">
      <w:pPr>
        <w:pStyle w:val="a0"/>
        <w:ind w:firstLineChars="0" w:firstLine="0"/>
      </w:pPr>
      <w:r>
        <w:lastRenderedPageBreak/>
        <w:t>THURMAIR M. Warten auf das Verb: Die Gedächtnisrelevanz der Verbklammer im Deutschen [J]. Jahrbuch Deutsch als Fremdsprache, 1991, 17: 174-202.</w:t>
      </w:r>
    </w:p>
    <w:p w14:paraId="0E038EFC" w14:textId="77777777" w:rsidR="007736AC" w:rsidRDefault="00000000" w:rsidP="006B5581">
      <w:pPr>
        <w:pStyle w:val="a0"/>
        <w:ind w:firstLineChars="0" w:firstLine="0"/>
        <w:rPr>
          <w:lang w:val="en-US"/>
        </w:rPr>
      </w:pPr>
      <w:r>
        <w:t xml:space="preserve">USZKOREIT H, BRANTS T, DUCHIER D, et al. Studien zur performanzorientierten Linguistik: Aspekte der Relativsatzextraposition im Deutschen [J]. </w:t>
      </w:r>
      <w:r>
        <w:rPr>
          <w:lang w:val="en-US"/>
        </w:rPr>
        <w:t>Kognitionswissenschaft, 1998, 7(3): 129-133.</w:t>
      </w:r>
    </w:p>
    <w:p w14:paraId="3990FF89" w14:textId="77777777" w:rsidR="007736AC" w:rsidRDefault="00000000" w:rsidP="006B5581">
      <w:pPr>
        <w:pStyle w:val="a0"/>
        <w:ind w:firstLineChars="0" w:firstLine="0"/>
      </w:pPr>
      <w:r>
        <w:rPr>
          <w:lang w:val="en-US"/>
        </w:rPr>
        <w:t xml:space="preserve">VIKNER S. Verb Movement and Expletive Subjects in the Germanic Languages [M]. </w:t>
      </w:r>
      <w:r>
        <w:t>Oxford: Oxford University Press, 1995.</w:t>
      </w:r>
    </w:p>
    <w:p w14:paraId="0AA80822" w14:textId="77777777" w:rsidR="007736AC" w:rsidRDefault="00000000" w:rsidP="006B5581">
      <w:pPr>
        <w:pStyle w:val="a0"/>
        <w:ind w:firstLineChars="0" w:firstLine="0"/>
      </w:pPr>
      <w:r>
        <w:t>VINCKEL H. Die diskursstrategische Bedeutung des Nachfelds im Deutschen: Eine Untersuchung anhand politischer Reden der Gegenwartssprache [M]. Wiesbaden: Deutscher Universitäts-Verlag, 2006.</w:t>
      </w:r>
    </w:p>
    <w:p w14:paraId="6B4CC043" w14:textId="77777777" w:rsidR="007736AC" w:rsidRDefault="00000000" w:rsidP="006B5581">
      <w:pPr>
        <w:pStyle w:val="a0"/>
        <w:ind w:firstLineChars="0" w:firstLine="0"/>
      </w:pPr>
      <w:r>
        <w:t>VOIGTMANN S, SPEYER A. Information Density and the Extraposition of German Relative Clauses [J]. Frontiers in Psychology, 2021, 12: 650969.</w:t>
      </w:r>
    </w:p>
    <w:p w14:paraId="7A78C837" w14:textId="77777777" w:rsidR="007736AC" w:rsidRDefault="00000000" w:rsidP="006B5581">
      <w:pPr>
        <w:pStyle w:val="a0"/>
        <w:ind w:firstLineChars="0" w:firstLine="0"/>
        <w:rPr>
          <w:lang w:val="en-US"/>
        </w:rPr>
      </w:pPr>
      <w:r>
        <w:rPr>
          <w:lang w:val="en-US"/>
        </w:rPr>
        <w:t>VOIGTMANN S, SPEYER A. Where to place a phrase? An informational and generative approach to phrasal extraposition [J]. Journal of Historical Syntax, 2023, 7(19): 1-48.</w:t>
      </w:r>
    </w:p>
    <w:p w14:paraId="06A5EC2E" w14:textId="77777777" w:rsidR="007736AC" w:rsidRDefault="00000000" w:rsidP="006B5581">
      <w:pPr>
        <w:pStyle w:val="a0"/>
        <w:ind w:firstLineChars="0" w:firstLine="0"/>
        <w:rPr>
          <w:lang w:val="en-US"/>
        </w:rPr>
      </w:pPr>
      <w:r>
        <w:rPr>
          <w:lang w:val="en-US"/>
        </w:rPr>
        <w:t>WEBER S. Nominal Modification in Language Production: Extraposition of Prepositional Phrases in German [D]. Frankfurt am Main: Johann Wolfgang Goethe-Universität, 2019.</w:t>
      </w:r>
    </w:p>
    <w:p w14:paraId="2662607A" w14:textId="77777777" w:rsidR="007736AC" w:rsidRDefault="00000000" w:rsidP="006B5581">
      <w:pPr>
        <w:pStyle w:val="a0"/>
        <w:ind w:firstLineChars="0" w:firstLine="0"/>
      </w:pPr>
      <w:r>
        <w:rPr>
          <w:lang w:val="en-US"/>
        </w:rPr>
        <w:t xml:space="preserve">YAMASHITA H, CHANG F. “Long before short” preference in the production of a head-final language [J]. </w:t>
      </w:r>
      <w:r>
        <w:t>Cognition, 2001, 81: B45-B55.</w:t>
      </w:r>
    </w:p>
    <w:p w14:paraId="271BF1E7" w14:textId="77777777" w:rsidR="007736AC" w:rsidRDefault="00000000" w:rsidP="006B5581">
      <w:pPr>
        <w:pStyle w:val="a0"/>
        <w:ind w:firstLineChars="0" w:firstLine="0"/>
      </w:pPr>
      <w:r>
        <w:t>ZAHN G. Beobachtungen zur Ausklammerung und Nachfeldbesetzung in gesprochenem Deutsch [M]. Erlangen: Palm &amp; Enke, 1991.</w:t>
      </w:r>
    </w:p>
    <w:p w14:paraId="761BECA1" w14:textId="77777777" w:rsidR="007736AC" w:rsidRDefault="00000000" w:rsidP="006B5581">
      <w:pPr>
        <w:pStyle w:val="a0"/>
        <w:ind w:firstLineChars="0" w:firstLine="0"/>
      </w:pPr>
      <w:r>
        <w:t>ZIFONUN G, HOFFMANN L, STRECKER B. Grammatik der deutschen Sprache [M]. Berlin/New York: Walter de Gruyter, 1997.</w:t>
      </w:r>
    </w:p>
    <w:p w14:paraId="2851C1CB" w14:textId="77777777" w:rsidR="007736AC" w:rsidRPr="00F9143D" w:rsidRDefault="00000000" w:rsidP="006B5581">
      <w:pPr>
        <w:pStyle w:val="a0"/>
        <w:ind w:firstLineChars="0" w:firstLine="0"/>
        <w:rPr>
          <w:lang w:val="en-US"/>
        </w:rPr>
      </w:pPr>
      <w:r>
        <w:t>ZIFONUN G. Der rechte Rand in der IDS-Grammatik: Evidenzen und Probleme [C] // VINCKEL-ROISIN H. Das Nachfeld im Deutschen: Theorie und Empirie. Berlin/Boston: De Gruyter, 2015: 25-51.</w:t>
      </w:r>
    </w:p>
    <w:p w14:paraId="63845266" w14:textId="77777777" w:rsidR="007736AC" w:rsidRDefault="00000000" w:rsidP="006B5581">
      <w:pPr>
        <w:pStyle w:val="a0"/>
        <w:ind w:firstLineChars="0" w:firstLine="0"/>
      </w:pPr>
      <w:r>
        <w:t>孔德明</w:t>
      </w:r>
      <w:r>
        <w:t xml:space="preserve">, </w:t>
      </w:r>
      <w:r>
        <w:t>刘鸿绅</w:t>
      </w:r>
      <w:r>
        <w:t xml:space="preserve">. </w:t>
      </w:r>
      <w:r>
        <w:t>篇章语言学研究中的认知影响</w:t>
      </w:r>
      <w:r>
        <w:t xml:space="preserve">[J]. </w:t>
      </w:r>
      <w:r>
        <w:t>国外外语教学</w:t>
      </w:r>
      <w:r>
        <w:t>, 1997, (3): 1-7.</w:t>
      </w:r>
    </w:p>
    <w:p w14:paraId="665A0219" w14:textId="77777777" w:rsidR="007736AC" w:rsidRDefault="00000000" w:rsidP="006B5581">
      <w:pPr>
        <w:pStyle w:val="a0"/>
        <w:ind w:firstLineChars="0" w:firstLine="0"/>
      </w:pPr>
      <w:r>
        <w:t>李媛</w:t>
      </w:r>
      <w:r>
        <w:t xml:space="preserve">, </w:t>
      </w:r>
      <w:r>
        <w:t>黄含笑</w:t>
      </w:r>
      <w:r>
        <w:t xml:space="preserve">, </w:t>
      </w:r>
      <w:r>
        <w:t>刘海涛</w:t>
      </w:r>
      <w:r>
        <w:t xml:space="preserve">. </w:t>
      </w:r>
      <w:r>
        <w:t>德语书面语破框现象是特例吗？</w:t>
      </w:r>
      <w:r>
        <w:t xml:space="preserve">[J]. </w:t>
      </w:r>
      <w:r>
        <w:t>现代外语</w:t>
      </w:r>
      <w:r>
        <w:t>, 2021, 44(3): 333-345.</w:t>
      </w:r>
    </w:p>
    <w:p w14:paraId="260F5A44" w14:textId="77777777" w:rsidR="007736AC" w:rsidRDefault="00000000" w:rsidP="006B5581">
      <w:pPr>
        <w:pStyle w:val="a0"/>
        <w:ind w:firstLineChars="0" w:firstLine="0"/>
      </w:pPr>
      <w:r>
        <w:t>刘海涛</w:t>
      </w:r>
      <w:r>
        <w:t xml:space="preserve">. </w:t>
      </w:r>
      <w:r>
        <w:t>数据驱动语言学的理论基点</w:t>
      </w:r>
      <w:r>
        <w:t xml:space="preserve">[J]. </w:t>
      </w:r>
      <w:r>
        <w:t>中国社会科学</w:t>
      </w:r>
      <w:r>
        <w:t>, 2025, (4): 184-203.</w:t>
      </w:r>
    </w:p>
    <w:p w14:paraId="58B34801" w14:textId="77777777" w:rsidR="007736AC" w:rsidRDefault="007736AC" w:rsidP="006B5581">
      <w:pPr>
        <w:pStyle w:val="a0"/>
        <w:ind w:firstLineChars="0" w:firstLine="0"/>
      </w:pPr>
    </w:p>
    <w:p w14:paraId="58B34802" w14:textId="77777777" w:rsidR="007736AC" w:rsidRDefault="007736AC" w:rsidP="006B5581">
      <w:pPr>
        <w:pStyle w:val="a0"/>
        <w:ind w:firstLineChars="0" w:firstLine="0"/>
        <w:rPr>
          <w:b/>
          <w:bCs/>
        </w:rPr>
      </w:pPr>
      <w:r>
        <w:rPr>
          <w:b/>
          <w:bCs/>
        </w:rPr>
        <w:t>补充材料</w:t>
      </w:r>
    </w:p>
    <w:p w14:paraId="58B34803" w14:textId="77777777" w:rsidR="007736AC" w:rsidRDefault="007736AC" w:rsidP="006B5581">
      <w:pPr>
        <w:pStyle w:val="a0"/>
        <w:ind w:firstLineChars="0" w:firstLine="0"/>
      </w:pPr>
      <w:r>
        <w:rPr>
          <w:rFonts w:hint="eastAsia"/>
        </w:rPr>
        <w:t>本文附录材料以在线形式提供，含术语与分布讨论（</w:t>
      </w:r>
      <w:r>
        <w:rPr>
          <w:rFonts w:hint="eastAsia"/>
        </w:rPr>
        <w:t>A</w:t>
      </w:r>
      <w:r>
        <w:rPr>
          <w:rFonts w:hint="eastAsia"/>
        </w:rPr>
        <w:t>）、数据基础与方法（</w:t>
      </w:r>
      <w:r>
        <w:rPr>
          <w:rFonts w:hint="eastAsia"/>
        </w:rPr>
        <w:t>B</w:t>
      </w:r>
      <w:r>
        <w:rPr>
          <w:rFonts w:hint="eastAsia"/>
        </w:rPr>
        <w:t>）、协同结构的完整证据（</w:t>
      </w:r>
      <w:r>
        <w:rPr>
          <w:rFonts w:hint="eastAsia"/>
        </w:rPr>
        <w:t>C</w:t>
      </w:r>
      <w:r>
        <w:rPr>
          <w:rFonts w:hint="eastAsia"/>
        </w:rPr>
        <w:t>）、角色分化的完整证据（</w:t>
      </w:r>
      <w:r>
        <w:rPr>
          <w:rFonts w:hint="eastAsia"/>
        </w:rPr>
        <w:t>D</w:t>
      </w:r>
      <w:r>
        <w:rPr>
          <w:rFonts w:hint="eastAsia"/>
        </w:rPr>
        <w:t>）、框型组织的完整证据（</w:t>
      </w:r>
      <w:r>
        <w:rPr>
          <w:rFonts w:hint="eastAsia"/>
        </w:rPr>
        <w:t>E</w:t>
      </w:r>
      <w:r>
        <w:rPr>
          <w:rFonts w:hint="eastAsia"/>
        </w:rPr>
        <w:t>）。访问地址：</w:t>
      </w:r>
      <w:r>
        <w:rPr>
          <w:rFonts w:hint="eastAsia"/>
        </w:rPr>
        <w:t>https://github.com/fxc1206/ausklammerung-supplementary-materials</w:t>
      </w:r>
      <w:r>
        <w:rPr>
          <w:rFonts w:hint="eastAsia"/>
        </w:rPr>
        <w:t>。正文中“附录</w:t>
      </w:r>
      <w:r>
        <w:rPr>
          <w:rFonts w:hint="eastAsia"/>
        </w:rPr>
        <w:t>X</w:t>
      </w:r>
      <w:r>
        <w:rPr>
          <w:rFonts w:hint="eastAsia"/>
        </w:rPr>
        <w:t>”或“附表</w:t>
      </w:r>
      <w:r>
        <w:rPr>
          <w:rFonts w:hint="eastAsia"/>
        </w:rPr>
        <w:t>X</w:t>
      </w:r>
      <w:r>
        <w:rPr>
          <w:rFonts w:hint="eastAsia"/>
        </w:rPr>
        <w:t>”均指在线补充材料中的对应部分。</w:t>
      </w:r>
    </w:p>
    <w:p w14:paraId="033711EB" w14:textId="77777777" w:rsidR="007736AC" w:rsidRDefault="007736AC"/>
    <w:sectPr w:rsidR="007736AC">
      <w:pgSz w:w="11906" w:h="16838"/>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64CAD" w14:textId="77777777" w:rsidR="00DD353B" w:rsidRDefault="00DD353B">
      <w:pPr>
        <w:spacing w:after="0"/>
      </w:pPr>
      <w:r>
        <w:separator/>
      </w:r>
    </w:p>
  </w:endnote>
  <w:endnote w:type="continuationSeparator" w:id="0">
    <w:p w14:paraId="2D85480C" w14:textId="77777777" w:rsidR="00DD353B" w:rsidRDefault="00DD353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9349D" w14:textId="77777777" w:rsidR="00DD353B" w:rsidRDefault="00DD353B">
      <w:pPr>
        <w:spacing w:after="0"/>
      </w:pPr>
      <w:r>
        <w:separator/>
      </w:r>
    </w:p>
  </w:footnote>
  <w:footnote w:type="continuationSeparator" w:id="0">
    <w:p w14:paraId="01BB9BB5" w14:textId="77777777" w:rsidR="00DD353B" w:rsidRDefault="00DD353B">
      <w:pPr>
        <w:spacing w:after="0"/>
      </w:pPr>
      <w:r>
        <w:continuationSeparator/>
      </w:r>
    </w:p>
  </w:footnote>
  <w:footnote w:id="1">
    <w:p w14:paraId="652DC49C" w14:textId="512E7C84" w:rsidR="007736AC" w:rsidRDefault="00000000">
      <w:pPr>
        <w:pStyle w:val="aa"/>
      </w:pPr>
      <w:r>
        <w:rPr>
          <w:rStyle w:val="ae"/>
        </w:rPr>
        <w:footnoteRef/>
      </w:r>
      <w:r>
        <w:t xml:space="preserve"> </w:t>
      </w:r>
      <w:r>
        <w:t>本文以</w:t>
      </w:r>
      <w:r>
        <w:t>“</w:t>
      </w:r>
      <w:r>
        <w:t>破框</w:t>
      </w:r>
      <w:r>
        <w:t>”</w:t>
      </w:r>
      <w:r w:rsidR="00AB2729">
        <w:t>统称</w:t>
      </w:r>
      <w:r>
        <w:t>短语后置（</w:t>
      </w:r>
      <w:r>
        <w:t>Ausklammerung</w:t>
      </w:r>
      <w:r>
        <w:t>）与从句后置（</w:t>
      </w:r>
      <w:r>
        <w:t>Extraposition</w:t>
      </w:r>
      <w:r>
        <w:t>）；两者区分见附录</w:t>
      </w:r>
      <w:r>
        <w:t>A1</w:t>
      </w:r>
      <w:r>
        <w:t>。</w:t>
      </w:r>
    </w:p>
  </w:footnote>
  <w:footnote w:id="2">
    <w:p w14:paraId="27DC734F" w14:textId="19F73CA4" w:rsidR="0062539E" w:rsidRDefault="00000000">
      <w:pPr>
        <w:pStyle w:val="aa"/>
      </w:pPr>
      <w:r>
        <w:rPr>
          <w:rStyle w:val="ae"/>
        </w:rPr>
        <w:footnoteRef/>
      </w:r>
      <w:r>
        <w:t xml:space="preserve"> </w:t>
      </w:r>
      <w:r>
        <w:t>本文后文以</w:t>
      </w:r>
      <w:r>
        <w:t>“</w:t>
      </w:r>
      <w:r>
        <w:t>来源</w:t>
      </w:r>
      <w:r>
        <w:t>”</w:t>
      </w:r>
      <w:r>
        <w:t>指</w:t>
      </w:r>
      <w:r w:rsidR="00AB2729">
        <w:t>何种压力驱动语序选择</w:t>
      </w:r>
      <w:r>
        <w:t>（</w:t>
      </w:r>
      <w:r>
        <w:t>Gibson</w:t>
      </w:r>
      <w:r>
        <w:t>，</w:t>
      </w:r>
      <w:r>
        <w:t>1998</w:t>
      </w:r>
      <w:r>
        <w:t>；</w:t>
      </w:r>
      <w:r>
        <w:t>Hawkins</w:t>
      </w:r>
      <w:r>
        <w:t>，</w:t>
      </w:r>
      <w:r>
        <w:t>2004</w:t>
      </w:r>
      <w:r>
        <w:t>），以</w:t>
      </w:r>
      <w:r>
        <w:t>“</w:t>
      </w:r>
      <w:r>
        <w:t>路径</w:t>
      </w:r>
      <w:r>
        <w:t>”</w:t>
      </w:r>
      <w:r w:rsidR="00AB2729">
        <w:t>指压力经由何种结构到达语序</w:t>
      </w:r>
      <w:r>
        <w:t>（</w:t>
      </w:r>
      <w:proofErr w:type="spellStart"/>
      <w:r>
        <w:t>Fanselow</w:t>
      </w:r>
      <w:proofErr w:type="spellEnd"/>
      <w:r>
        <w:t>，</w:t>
      </w:r>
      <w:r>
        <w:t>2008</w:t>
      </w:r>
      <w:r>
        <w:t>）；两者在既有研究</w:t>
      </w:r>
      <w:r w:rsidR="00FD0905">
        <w:rPr>
          <w:rFonts w:hint="eastAsia"/>
        </w:rPr>
        <w:t>中</w:t>
      </w:r>
      <w:r>
        <w:t>未被并置为两个相互独立的分析维度。</w:t>
      </w:r>
    </w:p>
  </w:footnote>
  <w:footnote w:id="3">
    <w:p w14:paraId="4F4060FC" w14:textId="7DD02F35" w:rsidR="00486188" w:rsidRDefault="00000000">
      <w:pPr>
        <w:pStyle w:val="aa"/>
      </w:pPr>
      <w:r>
        <w:rPr>
          <w:rStyle w:val="ae"/>
        </w:rPr>
        <w:footnoteRef/>
      </w:r>
      <w:r>
        <w:t xml:space="preserve"> </w:t>
      </w:r>
      <w:r w:rsidR="00AB2729">
        <w:t>“</w:t>
      </w:r>
      <w:r w:rsidR="00AB2729">
        <w:t>人驱复杂适应系统</w:t>
      </w:r>
      <w:r w:rsidR="00AB2729">
        <w:t>”</w:t>
      </w:r>
      <w:r w:rsidR="00AB2729">
        <w:t>强调语言规律由使用者互动涌现：人的生物学普遍性支撑语言共性，社会</w:t>
      </w:r>
      <w:r w:rsidR="00AB2729">
        <w:t>-</w:t>
      </w:r>
      <w:r w:rsidR="00AB2729">
        <w:t>生态多样性生成语言差异</w:t>
      </w:r>
      <w:r>
        <w:t>（刘海涛，</w:t>
      </w:r>
      <w:r>
        <w:t>2025</w:t>
      </w:r>
      <w:r>
        <w:t>：</w:t>
      </w:r>
      <w:r>
        <w:t>186</w:t>
      </w:r>
      <w:r>
        <w:t>、</w:t>
      </w:r>
      <w:r>
        <w:t>191</w:t>
      </w:r>
      <w:r>
        <w:t>）。</w:t>
      </w:r>
    </w:p>
  </w:footnote>
  <w:footnote w:id="4">
    <w:p w14:paraId="73D581BB" w14:textId="3ACC602A" w:rsidR="0087112E" w:rsidRPr="0087112E" w:rsidRDefault="0087112E">
      <w:pPr>
        <w:pStyle w:val="aa"/>
      </w:pPr>
      <w:r>
        <w:rPr>
          <w:rStyle w:val="ae"/>
        </w:rPr>
        <w:footnoteRef/>
      </w:r>
      <w:r>
        <w:t xml:space="preserve"> 153,035</w:t>
      </w:r>
      <w:r>
        <w:t>句中</w:t>
      </w:r>
      <w:r>
        <w:t>18,691</w:t>
      </w:r>
      <w:r>
        <w:t>句</w:t>
      </w:r>
      <w:r w:rsidR="00AB2729">
        <w:rPr>
          <w:rFonts w:hint="eastAsia"/>
        </w:rPr>
        <w:t>含</w:t>
      </w:r>
      <w:r>
        <w:t>破框（</w:t>
      </w:r>
      <w:r>
        <w:t>12.21%</w:t>
      </w:r>
      <w:r>
        <w:t>），</w:t>
      </w:r>
      <w:r w:rsidR="00AB2729">
        <w:rPr>
          <w:rFonts w:hint="eastAsia"/>
        </w:rPr>
        <w:t>共</w:t>
      </w:r>
      <w:r>
        <w:t>提取有效破框成分</w:t>
      </w:r>
      <w:r>
        <w:t>21,518</w:t>
      </w:r>
      <w:r>
        <w:t>个；识别流程与分布见附录</w:t>
      </w:r>
      <w:r>
        <w:t>B1</w:t>
      </w:r>
      <w:r>
        <w:t>，跨研究定位见附录</w:t>
      </w:r>
      <w:r>
        <w:t>A2</w:t>
      </w:r>
      <w:r>
        <w:t>。</w:t>
      </w:r>
    </w:p>
  </w:footnote>
  <w:footnote w:id="5">
    <w:p w14:paraId="60DEC922" w14:textId="77777777" w:rsidR="0087112E" w:rsidRPr="0087112E" w:rsidRDefault="0087112E">
      <w:pPr>
        <w:pStyle w:val="aa"/>
      </w:pPr>
      <w:r>
        <w:rPr>
          <w:rStyle w:val="ae"/>
        </w:rPr>
        <w:footnoteRef/>
      </w:r>
      <w:r>
        <w:t xml:space="preserve"> </w:t>
      </w:r>
      <w:r>
        <w:t>本文以惊奇度（而非词数）度量信息负荷，两者作为独立指标的可分离性见附录</w:t>
      </w:r>
      <w:r>
        <w:t>A3</w:t>
      </w:r>
      <w:r>
        <w:t>。</w:t>
      </w:r>
    </w:p>
  </w:footnote>
  <w:footnote w:id="6">
    <w:p w14:paraId="5DD71443" w14:textId="74EFF46C" w:rsidR="00486188" w:rsidRDefault="00000000">
      <w:pPr>
        <w:pStyle w:val="aa"/>
      </w:pPr>
      <w:r>
        <w:rPr>
          <w:rStyle w:val="ae"/>
        </w:rPr>
        <w:footnoteRef/>
      </w:r>
      <w:r>
        <w:t xml:space="preserve"> </w:t>
      </w:r>
      <w:r>
        <w:t>配价指动词对其论元的数量与类型的支配关系；受配价规定的论元即本文所称核心论元（</w:t>
      </w:r>
      <w:proofErr w:type="spellStart"/>
      <w:r>
        <w:t>Tesnière</w:t>
      </w:r>
      <w:proofErr w:type="spellEnd"/>
      <w:r>
        <w:t>，</w:t>
      </w:r>
      <w:r>
        <w:t>1959</w:t>
      </w:r>
      <w:r>
        <w:t>）。</w:t>
      </w:r>
    </w:p>
  </w:footnote>
  <w:footnote w:id="7">
    <w:p w14:paraId="1F31324C" w14:textId="77777777" w:rsidR="007736AC" w:rsidRDefault="00000000">
      <w:pPr>
        <w:pStyle w:val="aa"/>
      </w:pPr>
      <w:r>
        <w:rPr>
          <w:rStyle w:val="ae"/>
        </w:rPr>
        <w:footnoteRef/>
      </w:r>
      <w:r>
        <w:t xml:space="preserve"> </w:t>
      </w:r>
      <w:r>
        <w:t>完整筛选流程见附录</w:t>
      </w:r>
      <w:r>
        <w:t>B</w:t>
      </w:r>
      <w:r>
        <w:rPr>
          <w:rFonts w:hint="eastAsia"/>
        </w:rPr>
        <w:t>2</w:t>
      </w:r>
      <w:r>
        <w:rPr>
          <w:rFonts w:hint="eastAsia"/>
        </w:rPr>
        <w:t>。</w:t>
      </w:r>
    </w:p>
  </w:footnote>
  <w:footnote w:id="8">
    <w:p w14:paraId="0475E781" w14:textId="0CD4CD3E" w:rsidR="005A67C6" w:rsidRPr="005A67C6" w:rsidRDefault="005A67C6">
      <w:pPr>
        <w:pStyle w:val="aa"/>
      </w:pPr>
      <w:r>
        <w:rPr>
          <w:rStyle w:val="ae"/>
        </w:rPr>
        <w:footnoteRef/>
      </w:r>
      <w:r>
        <w:t xml:space="preserve"> </w:t>
      </w:r>
      <w:r w:rsidRPr="005A67C6">
        <w:rPr>
          <w:rFonts w:hint="eastAsia"/>
        </w:rPr>
        <w:t>来源列标注各变量的理论依据或操作化参照。下文以“拓扑”“加工”“信息”“形式”“角色”分别指代上述五维。</w:t>
      </w:r>
    </w:p>
  </w:footnote>
  <w:footnote w:id="9">
    <w:p w14:paraId="3D634CED" w14:textId="5116F605" w:rsidR="007736AC" w:rsidRDefault="00000000">
      <w:pPr>
        <w:pStyle w:val="aa"/>
      </w:pPr>
      <w:r>
        <w:rPr>
          <w:rStyle w:val="ae"/>
        </w:rPr>
        <w:footnoteRef/>
      </w:r>
      <w:r>
        <w:t xml:space="preserve"> </w:t>
      </w:r>
      <w:r w:rsidR="0087112E">
        <w:t>宿主词</w:t>
      </w:r>
      <w:r w:rsidR="00AB2729">
        <w:t>指目标成分在依存树中的直接支配词</w:t>
      </w:r>
      <w:r w:rsidR="0087112E">
        <w:t>（</w:t>
      </w:r>
      <w:r w:rsidR="0087112E">
        <w:t>Strunk</w:t>
      </w:r>
      <w:r w:rsidR="0087112E">
        <w:t>，</w:t>
      </w:r>
      <w:r w:rsidR="0087112E">
        <w:t>2014</w:t>
      </w:r>
      <w:r w:rsidR="0087112E">
        <w:t>）</w:t>
      </w:r>
      <w:r w:rsidR="00AB2729">
        <w:rPr>
          <w:rFonts w:hint="eastAsia"/>
        </w:rPr>
        <w:t>；</w:t>
      </w:r>
      <w:r w:rsidR="00AB2729">
        <w:t>本文以其归一化线性位置表示右句框位置</w:t>
      </w:r>
      <w:r w:rsidR="0087112E">
        <w:t>。</w:t>
      </w:r>
    </w:p>
  </w:footnote>
  <w:footnote w:id="10">
    <w:p w14:paraId="258AE63C" w14:textId="70B49A60" w:rsidR="007736AC" w:rsidRDefault="00000000">
      <w:pPr>
        <w:pStyle w:val="aa"/>
      </w:pPr>
      <w:r>
        <w:rPr>
          <w:rStyle w:val="ae"/>
        </w:rPr>
        <w:footnoteRef/>
      </w:r>
      <w:r>
        <w:t xml:space="preserve"> </w:t>
      </w:r>
      <w:r>
        <w:t>依存距离指支配词与从属词的线性距离，其平均值可衡量工作记忆负载（</w:t>
      </w:r>
      <w:r>
        <w:t>Liu et al.</w:t>
      </w:r>
      <w:r>
        <w:t>，</w:t>
      </w:r>
      <w:r>
        <w:t>2009</w:t>
      </w:r>
      <w:r>
        <w:t>：</w:t>
      </w:r>
      <w:r>
        <w:t>166</w:t>
      </w:r>
      <w:r>
        <w:t>；</w:t>
      </w:r>
      <w:r>
        <w:t>Liu</w:t>
      </w:r>
      <w:r>
        <w:t>，</w:t>
      </w:r>
      <w:r>
        <w:t>2008</w:t>
      </w:r>
      <w:r>
        <w:t>；</w:t>
      </w:r>
      <w:r>
        <w:t>Liu et al.</w:t>
      </w:r>
      <w:r>
        <w:t>，</w:t>
      </w:r>
      <w:r>
        <w:t>2017</w:t>
      </w:r>
      <w:r>
        <w:t>）。</w:t>
      </w:r>
    </w:p>
  </w:footnote>
  <w:footnote w:id="11">
    <w:p w14:paraId="5CAF3FDF" w14:textId="53F09A48" w:rsidR="007736AC" w:rsidRDefault="00000000">
      <w:pPr>
        <w:pStyle w:val="aa"/>
      </w:pPr>
      <w:r>
        <w:rPr>
          <w:rStyle w:val="ae"/>
        </w:rPr>
        <w:footnoteRef/>
      </w:r>
      <w:r>
        <w:t xml:space="preserve"> </w:t>
      </w:r>
      <w:r>
        <w:t>惊奇度为语境中词出现概率的负对数（</w:t>
      </w:r>
      <w:r>
        <w:t>Shannon</w:t>
      </w:r>
      <w:r>
        <w:t>，</w:t>
      </w:r>
      <w:r>
        <w:t>1948</w:t>
      </w:r>
      <w:r>
        <w:t>）。本文采用</w:t>
      </w:r>
      <w:proofErr w:type="spellStart"/>
      <w:r>
        <w:t>mGPT</w:t>
      </w:r>
      <w:proofErr w:type="spellEnd"/>
      <w:r>
        <w:t>（</w:t>
      </w:r>
      <w:proofErr w:type="spellStart"/>
      <w:r>
        <w:t>Shliazhko</w:t>
      </w:r>
      <w:proofErr w:type="spellEnd"/>
      <w:r>
        <w:t xml:space="preserve"> et al.</w:t>
      </w:r>
      <w:r>
        <w:t>，</w:t>
      </w:r>
      <w:r>
        <w:t>2022</w:t>
      </w:r>
      <w:r>
        <w:t>）统一计算逐词惊奇度。</w:t>
      </w:r>
    </w:p>
  </w:footnote>
  <w:footnote w:id="12">
    <w:p w14:paraId="4A323111" w14:textId="5AAD1D83" w:rsidR="007736AC" w:rsidRDefault="00000000">
      <w:pPr>
        <w:pStyle w:val="aa"/>
      </w:pPr>
      <w:r>
        <w:rPr>
          <w:rStyle w:val="ae"/>
        </w:rPr>
        <w:footnoteRef/>
      </w:r>
      <w:r>
        <w:t xml:space="preserve"> </w:t>
      </w:r>
      <w:r>
        <w:t>平均惊奇度用于剥离</w:t>
      </w:r>
      <w:r w:rsidR="00AB2729">
        <w:t>成分长度带来的增幅</w:t>
      </w:r>
      <w:r>
        <w:t>（</w:t>
      </w:r>
      <w:r>
        <w:t>Voigtmann &amp; Speyer</w:t>
      </w:r>
      <w:r>
        <w:t>，</w:t>
      </w:r>
      <w:r>
        <w:t>2021</w:t>
      </w:r>
      <w:r>
        <w:t>）。</w:t>
      </w:r>
    </w:p>
  </w:footnote>
  <w:footnote w:id="13">
    <w:p w14:paraId="029137F7" w14:textId="6F286011" w:rsidR="007736AC" w:rsidRDefault="00000000">
      <w:pPr>
        <w:pStyle w:val="aa"/>
      </w:pPr>
      <w:r>
        <w:rPr>
          <w:rStyle w:val="ae"/>
        </w:rPr>
        <w:footnoteRef/>
      </w:r>
      <w:r>
        <w:t xml:space="preserve"> </w:t>
      </w:r>
      <w:r>
        <w:t>后场承载背景信息（</w:t>
      </w:r>
      <w:proofErr w:type="spellStart"/>
      <w:r>
        <w:t>Vinckel</w:t>
      </w:r>
      <w:proofErr w:type="spellEnd"/>
      <w:r>
        <w:t>，</w:t>
      </w:r>
      <w:r>
        <w:t>2006</w:t>
      </w:r>
      <w:r>
        <w:t>：</w:t>
      </w:r>
      <w:r>
        <w:t>128-131</w:t>
      </w:r>
      <w:r>
        <w:t>；</w:t>
      </w:r>
      <w:r>
        <w:t>Schneider-</w:t>
      </w:r>
      <w:proofErr w:type="spellStart"/>
      <w:r>
        <w:t>Wiejowski</w:t>
      </w:r>
      <w:proofErr w:type="spellEnd"/>
      <w:r>
        <w:t>，</w:t>
      </w:r>
      <w:r>
        <w:t>2010</w:t>
      </w:r>
      <w:r w:rsidR="003F7030">
        <w:rPr>
          <w:rFonts w:hint="eastAsia"/>
        </w:rPr>
        <w:t>）</w:t>
      </w:r>
      <w:r w:rsidR="00AB2729">
        <w:t>。</w:t>
      </w:r>
    </w:p>
  </w:footnote>
  <w:footnote w:id="14">
    <w:p w14:paraId="181CA998" w14:textId="5D31D77B" w:rsidR="001E4CBF" w:rsidRDefault="00000000">
      <w:pPr>
        <w:pStyle w:val="aa"/>
      </w:pPr>
      <w:r>
        <w:rPr>
          <w:rStyle w:val="ae"/>
        </w:rPr>
        <w:footnoteRef/>
      </w:r>
      <w:r>
        <w:t xml:space="preserve"> </w:t>
      </w:r>
      <w:r>
        <w:t>模型比较与交互项对照实验见附录</w:t>
      </w:r>
      <w:r>
        <w:t>C1</w:t>
      </w:r>
      <w:r>
        <w:t>。</w:t>
      </w:r>
    </w:p>
  </w:footnote>
  <w:footnote w:id="15">
    <w:p w14:paraId="1EA2DBCE" w14:textId="0E3176C2" w:rsidR="00BE2119" w:rsidRPr="00BE2119" w:rsidRDefault="00BE2119">
      <w:pPr>
        <w:pStyle w:val="aa"/>
      </w:pPr>
      <w:r>
        <w:rPr>
          <w:rStyle w:val="ae"/>
        </w:rPr>
        <w:footnoteRef/>
      </w:r>
      <w:r>
        <w:t xml:space="preserve"> </w:t>
      </w:r>
      <w:r w:rsidR="00DD259B">
        <w:t>路径分解见附录</w:t>
      </w:r>
      <w:r w:rsidR="00DD259B">
        <w:t>B4</w:t>
      </w:r>
      <w:r w:rsidR="00DD259B">
        <w:t>，完整结果见附录</w:t>
      </w:r>
      <w:r w:rsidR="00DD259B">
        <w:t>D1–D4</w:t>
      </w:r>
      <w:r w:rsidR="00DD259B">
        <w:t>。</w:t>
      </w:r>
    </w:p>
  </w:footnote>
  <w:footnote w:id="16">
    <w:p w14:paraId="68D71F10" w14:textId="77777777" w:rsidR="00BE2119" w:rsidRPr="00BE2119" w:rsidRDefault="00BE2119">
      <w:pPr>
        <w:pStyle w:val="aa"/>
      </w:pPr>
      <w:r>
        <w:rPr>
          <w:rStyle w:val="ae"/>
        </w:rPr>
        <w:footnoteRef/>
      </w:r>
      <w:r>
        <w:t xml:space="preserve"> </w:t>
      </w:r>
      <w:r>
        <w:t>成分类型的约束结构对比见附录</w:t>
      </w:r>
      <w:r>
        <w:t>E1</w:t>
      </w:r>
      <w:r>
        <w:t>，句框配置的独立预测力见附录</w:t>
      </w:r>
      <w:r>
        <w:t>E2</w:t>
      </w:r>
      <w:r>
        <w:t>，跨语言与跨语体验证见附录</w:t>
      </w:r>
      <w:r>
        <w:t>E3</w:t>
      </w:r>
      <w:r>
        <w:t>。</w:t>
      </w:r>
    </w:p>
  </w:footnote>
  <w:footnote w:id="17">
    <w:p w14:paraId="1FCF8F9E" w14:textId="724EE3DE" w:rsidR="007736AC" w:rsidRDefault="00000000">
      <w:pPr>
        <w:pStyle w:val="aa"/>
      </w:pPr>
      <w:r>
        <w:rPr>
          <w:rStyle w:val="ae"/>
        </w:rPr>
        <w:footnoteRef/>
      </w:r>
      <w:r>
        <w:t xml:space="preserve"> PR-AUC</w:t>
      </w:r>
      <w:r>
        <w:t>（精确率</w:t>
      </w:r>
      <w:r>
        <w:t>-</w:t>
      </w:r>
      <w:r>
        <w:t>召回率曲线下面积）在类别不均衡场景更能反映少数类识别能力（</w:t>
      </w:r>
      <w:r>
        <w:t>Powers</w:t>
      </w:r>
      <w:r>
        <w:t>，</w:t>
      </w:r>
      <w:r>
        <w:t>2011</w:t>
      </w:r>
      <w:r>
        <w:t>；</w:t>
      </w:r>
      <w:r>
        <w:t>Naidu et al.</w:t>
      </w:r>
      <w:r>
        <w:t>，</w:t>
      </w:r>
      <w:r>
        <w:t>2023</w:t>
      </w:r>
      <w:r>
        <w:t>）。</w:t>
      </w:r>
    </w:p>
  </w:footnote>
  <w:footnote w:id="18">
    <w:p w14:paraId="78C55BF7" w14:textId="7B65E6C8" w:rsidR="00530063" w:rsidRDefault="00530063">
      <w:pPr>
        <w:pStyle w:val="aa"/>
      </w:pPr>
      <w:r>
        <w:rPr>
          <w:rStyle w:val="ae"/>
        </w:rPr>
        <w:footnoteRef/>
      </w:r>
      <w:r>
        <w:t xml:space="preserve"> </w:t>
      </w:r>
      <w:r w:rsidR="00AB2729">
        <w:t>该判断的模型比较与交互效应验证见附录</w:t>
      </w:r>
      <w:r w:rsidR="00AB2729">
        <w:t>C1</w:t>
      </w:r>
      <w:r w:rsidR="00AB2729">
        <w:t>、附表</w:t>
      </w:r>
      <w:r w:rsidR="00AB2729">
        <w:t>C4</w:t>
      </w:r>
      <w:r w:rsidR="00AB2729">
        <w:t>。</w:t>
      </w:r>
    </w:p>
  </w:footnote>
  <w:footnote w:id="19">
    <w:p w14:paraId="4665FC14" w14:textId="77777777" w:rsidR="00530063" w:rsidRPr="00530063" w:rsidRDefault="00530063">
      <w:pPr>
        <w:pStyle w:val="aa"/>
        <w:rPr>
          <w:lang w:val="en-US"/>
        </w:rPr>
      </w:pPr>
      <w:r>
        <w:rPr>
          <w:rStyle w:val="ae"/>
        </w:rPr>
        <w:footnoteRef/>
      </w:r>
      <w:r>
        <w:t xml:space="preserve"> </w:t>
      </w:r>
      <w:r>
        <w:rPr>
          <w:rFonts w:cs="宋体" w:hint="eastAsia"/>
          <w:lang w:val="en-US"/>
        </w:rPr>
        <w:t>该句</w:t>
      </w:r>
      <w:r w:rsidRPr="00530063">
        <w:rPr>
          <w:rFonts w:cs="宋体"/>
          <w:lang w:val="en-US"/>
        </w:rPr>
        <w:t>完整拓扑与归因分析见附录</w:t>
      </w:r>
      <w:r w:rsidRPr="00530063">
        <w:rPr>
          <w:rFonts w:cs="宋体"/>
          <w:lang w:val="en-US"/>
        </w:rPr>
        <w:t>C6</w:t>
      </w:r>
      <w:r>
        <w:rPr>
          <w:rFonts w:cs="宋体" w:hint="eastAsia"/>
          <w:lang w:val="en-US"/>
        </w:rPr>
        <w:t>。</w:t>
      </w:r>
    </w:p>
  </w:footnote>
  <w:footnote w:id="20">
    <w:p w14:paraId="518473F1" w14:textId="161D5410" w:rsidR="007736AC" w:rsidRDefault="00000000">
      <w:pPr>
        <w:pStyle w:val="aa"/>
      </w:pPr>
      <w:r>
        <w:rPr>
          <w:rStyle w:val="ae"/>
        </w:rPr>
        <w:footnoteRef/>
      </w:r>
      <w:r>
        <w:t xml:space="preserve"> </w:t>
      </w:r>
      <w:r w:rsidR="00DD259B">
        <w:t>量级差与补充检验见附录</w:t>
      </w:r>
      <w:r w:rsidR="00DD259B">
        <w:t>D3</w:t>
      </w:r>
      <w:r w:rsidR="00DD259B">
        <w:t>。</w:t>
      </w:r>
    </w:p>
  </w:footnote>
  <w:footnote w:id="21">
    <w:p w14:paraId="6160B4DF" w14:textId="77777777" w:rsidR="00E02A59" w:rsidRDefault="00E02A59">
      <w:pPr>
        <w:pStyle w:val="aa"/>
      </w:pPr>
      <w:r>
        <w:rPr>
          <w:rStyle w:val="ae"/>
        </w:rPr>
        <w:footnoteRef/>
      </w:r>
      <w:r>
        <w:t xml:space="preserve"> HDT</w:t>
      </w:r>
      <w:r>
        <w:t>第</w:t>
      </w:r>
      <w:r>
        <w:t>35053</w:t>
      </w:r>
      <w:r>
        <w:t>句</w:t>
      </w:r>
      <w:r>
        <w:rPr>
          <w:rFonts w:hint="eastAsia"/>
        </w:rPr>
        <w:t>的</w:t>
      </w:r>
      <w:r>
        <w:t>完整拓扑与归因分析见附录</w:t>
      </w:r>
      <w:r>
        <w:t>C6</w:t>
      </w:r>
      <w:r>
        <w:rPr>
          <w:rFonts w:hint="eastAsia"/>
        </w:rPr>
        <w:t>。</w:t>
      </w:r>
    </w:p>
  </w:footnote>
  <w:footnote w:id="22">
    <w:p w14:paraId="5607C46C" w14:textId="2A64BF2A" w:rsidR="00E527BA" w:rsidRPr="00E527BA" w:rsidRDefault="00E527BA">
      <w:pPr>
        <w:pStyle w:val="aa"/>
      </w:pPr>
      <w:r>
        <w:rPr>
          <w:rStyle w:val="ae"/>
        </w:rPr>
        <w:footnoteRef/>
      </w:r>
      <w:r>
        <w:t xml:space="preserve"> </w:t>
      </w:r>
      <w:r w:rsidR="00AB2729">
        <w:t>详细数据见附录</w:t>
      </w:r>
      <w:r w:rsidR="00AB2729">
        <w:t>E1</w:t>
      </w:r>
      <w:r w:rsidR="00AB2729">
        <w:t>；</w:t>
      </w:r>
      <w:r w:rsidR="00AB2729">
        <w:t>V2/VL</w:t>
      </w:r>
      <w:r w:rsidR="00AB2729">
        <w:t>宿主位置分布不平衡，按归一化位置分位作控制</w:t>
      </w:r>
      <w:r w:rsidR="003F7030">
        <w:rPr>
          <w:rFonts w:hint="eastAsia"/>
        </w:rPr>
        <w:t>（</w:t>
      </w:r>
      <w:r w:rsidR="00AB2729">
        <w:t>附表</w:t>
      </w:r>
      <w:r w:rsidR="00AB2729">
        <w:t>E3</w:t>
      </w:r>
      <w:r w:rsidR="00AB2729">
        <w:t>、</w:t>
      </w:r>
      <w:r w:rsidR="00AB2729">
        <w:t>E4</w:t>
      </w:r>
      <w:r w:rsidR="003F7030">
        <w:rPr>
          <w:rFonts w:hint="eastAsia"/>
        </w:rPr>
        <w:t>）</w:t>
      </w:r>
      <w:r w:rsidR="00AB2729">
        <w:t>。</w:t>
      </w:r>
    </w:p>
  </w:footnote>
  <w:footnote w:id="23">
    <w:p w14:paraId="4B5F49CD" w14:textId="6479FFE6" w:rsidR="00CF2383" w:rsidRDefault="00CF2383" w:rsidP="00A945DD">
      <w:pPr>
        <w:pStyle w:val="aa"/>
      </w:pPr>
      <w:r>
        <w:rPr>
          <w:rStyle w:val="ae"/>
        </w:rPr>
        <w:footnoteRef/>
      </w:r>
      <w:r>
        <w:t xml:space="preserve"> </w:t>
      </w:r>
      <w:r w:rsidR="00AB2729">
        <w:t>同一认知压力经由不同句法结构产生相反语序效果的现象，也见于跨语言研究</w:t>
      </w:r>
      <w:r>
        <w:t>（</w:t>
      </w:r>
      <w:r>
        <w:t>Yamashita &amp; Chang</w:t>
      </w:r>
      <w:r>
        <w:t>，</w:t>
      </w:r>
      <w:r>
        <w:t>2001</w:t>
      </w:r>
      <w:r>
        <w:t>；</w:t>
      </w:r>
      <w:r>
        <w:t>Jing et al.</w:t>
      </w:r>
      <w:r>
        <w:t>，</w:t>
      </w:r>
      <w:r>
        <w:t>2021</w:t>
      </w:r>
      <w:r>
        <w:t>）。</w:t>
      </w:r>
    </w:p>
  </w:footnote>
  <w:footnote w:id="24">
    <w:p w14:paraId="587D9FEB" w14:textId="2585F22A" w:rsidR="005A67C6" w:rsidRPr="005A67C6" w:rsidRDefault="005A67C6">
      <w:pPr>
        <w:pStyle w:val="aa"/>
      </w:pPr>
      <w:r>
        <w:rPr>
          <w:rStyle w:val="ae"/>
        </w:rPr>
        <w:footnoteRef/>
      </w:r>
      <w:r>
        <w:t xml:space="preserve"> </w:t>
      </w:r>
      <w:r w:rsidRPr="005A67C6">
        <w:rPr>
          <w:rFonts w:hint="eastAsia"/>
        </w:rPr>
        <w:t>传导占比指内部平均依存距离的间接贡献占其总贡献的比例。各语言后场操作化标准不完全一致，维度占比宜作参考性对比。德语按瑞典语后场标准重识别后内部依存距离仍为传导主导（附录</w:t>
      </w:r>
      <w:r w:rsidRPr="005A67C6">
        <w:rPr>
          <w:rFonts w:hint="eastAsia"/>
        </w:rPr>
        <w:t>E4</w:t>
      </w:r>
      <w:r w:rsidRPr="005A67C6">
        <w:rPr>
          <w:rFonts w:hint="eastAsia"/>
        </w:rPr>
        <w:t>），核心结论不因操作化差异而改变。</w:t>
      </w:r>
    </w:p>
  </w:footnote>
  <w:footnote w:id="25">
    <w:p w14:paraId="219F227B" w14:textId="77777777" w:rsidR="001E4CBF" w:rsidRDefault="00000000">
      <w:pPr>
        <w:pStyle w:val="aa"/>
      </w:pPr>
      <w:r>
        <w:rPr>
          <w:rStyle w:val="ae"/>
        </w:rPr>
        <w:footnoteRef/>
      </w:r>
      <w:r>
        <w:t xml:space="preserve"> </w:t>
      </w:r>
      <w:r>
        <w:t>德语与荷兰语模型比较与</w:t>
      </w:r>
      <w:proofErr w:type="spellStart"/>
      <w:r>
        <w:t>Causal</w:t>
      </w:r>
      <w:proofErr w:type="spellEnd"/>
      <w:r>
        <w:t xml:space="preserve"> SHAP</w:t>
      </w:r>
      <w:r>
        <w:t>路径分解的完整数值见附录</w:t>
      </w:r>
      <w:r>
        <w:t>E3(1)</w:t>
      </w:r>
      <w:r>
        <w:t>。</w:t>
      </w:r>
    </w:p>
  </w:footnote>
  <w:footnote w:id="26">
    <w:p w14:paraId="70FA8D77" w14:textId="77777777" w:rsidR="007736AC" w:rsidRDefault="00000000">
      <w:pPr>
        <w:pStyle w:val="aa"/>
      </w:pPr>
      <w:r>
        <w:rPr>
          <w:rStyle w:val="ae"/>
        </w:rPr>
        <w:footnoteRef/>
      </w:r>
      <w:r>
        <w:t xml:space="preserve"> </w:t>
      </w:r>
      <w:r>
        <w:t>各语言维度贡献与路径分解的完整数值见附表</w:t>
      </w:r>
      <w:r>
        <w:t>E7</w:t>
      </w:r>
      <w:r>
        <w:t>（附录</w:t>
      </w:r>
      <w:r>
        <w:t>E3</w:t>
      </w:r>
      <w:r>
        <w:t>）。</w:t>
      </w:r>
    </w:p>
  </w:footnote>
  <w:footnote w:id="27">
    <w:p w14:paraId="571204B1" w14:textId="77777777" w:rsidR="001E4CBF" w:rsidRDefault="00000000">
      <w:pPr>
        <w:pStyle w:val="aa"/>
      </w:pPr>
      <w:r>
        <w:rPr>
          <w:rStyle w:val="ae"/>
        </w:rPr>
        <w:footnoteRef/>
      </w:r>
      <w:r>
        <w:t xml:space="preserve"> </w:t>
      </w:r>
      <w:r>
        <w:t>核心特征的</w:t>
      </w:r>
      <w:proofErr w:type="spellStart"/>
      <w:r>
        <w:t>Causal</w:t>
      </w:r>
      <w:proofErr w:type="spellEnd"/>
      <w:r>
        <w:t xml:space="preserve"> SHAP</w:t>
      </w:r>
      <w:r>
        <w:t>完整分解见附录</w:t>
      </w:r>
      <w:r>
        <w:t>D1</w:t>
      </w:r>
      <w:r>
        <w:t>。</w:t>
      </w:r>
    </w:p>
  </w:footnote>
  <w:footnote w:id="28">
    <w:p w14:paraId="694ADAE2" w14:textId="77777777" w:rsidR="001E4CBF" w:rsidRDefault="00000000">
      <w:pPr>
        <w:pStyle w:val="aa"/>
      </w:pPr>
      <w:r>
        <w:rPr>
          <w:rStyle w:val="ae"/>
        </w:rPr>
        <w:footnoteRef/>
      </w:r>
      <w:r>
        <w:t xml:space="preserve"> </w:t>
      </w:r>
      <w:r>
        <w:t>详细检验结果见附录</w:t>
      </w:r>
      <w:r>
        <w:t>D2</w:t>
      </w:r>
      <w:r>
        <w:t>。</w:t>
      </w:r>
    </w:p>
  </w:footnote>
  <w:footnote w:id="29">
    <w:p w14:paraId="77BBEF1C" w14:textId="77777777" w:rsidR="001E4CBF" w:rsidRDefault="00000000">
      <w:pPr>
        <w:pStyle w:val="aa"/>
      </w:pPr>
      <w:r>
        <w:rPr>
          <w:rStyle w:val="ae"/>
        </w:rPr>
        <w:footnoteRef/>
      </w:r>
      <w:r>
        <w:t xml:space="preserve"> </w:t>
      </w:r>
      <w:r>
        <w:t>信息密度与物理长度的可分离性分析见附录</w:t>
      </w:r>
      <w:r>
        <w:t>A3</w:t>
      </w:r>
      <w:r>
        <w:t>。</w:t>
      </w:r>
    </w:p>
  </w:footnote>
  <w:footnote w:id="30">
    <w:p w14:paraId="7FD0EB4C" w14:textId="61A7EB86" w:rsidR="001E4CBF" w:rsidRDefault="00000000">
      <w:pPr>
        <w:pStyle w:val="aa"/>
      </w:pPr>
      <w:r>
        <w:rPr>
          <w:rStyle w:val="ae"/>
        </w:rPr>
        <w:footnoteRef/>
      </w:r>
      <w:r>
        <w:t xml:space="preserve"> </w:t>
      </w:r>
      <w:r w:rsidR="00DD259B">
        <w:t>本段稳健性证据见附录</w:t>
      </w:r>
      <w:r w:rsidR="00DD259B">
        <w:t>D2</w:t>
      </w:r>
      <w:r w:rsidR="00DD259B">
        <w:t>、</w:t>
      </w:r>
      <w:r w:rsidR="00DD259B">
        <w:t>C5</w:t>
      </w:r>
      <w:r w:rsidR="00DD259B">
        <w:t>、</w:t>
      </w:r>
      <w:r w:rsidR="00DD259B">
        <w:t>E4</w:t>
      </w:r>
      <w:r w:rsidR="00DD259B">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embedSystemFonts/>
  <w:bordersDoNotSurroundHeader/>
  <w:bordersDoNotSurroundFooter/>
  <w:proofState w:spelling="clean" w:grammar="clean"/>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6AC"/>
    <w:rsid w:val="00004539"/>
    <w:rsid w:val="00016C33"/>
    <w:rsid w:val="000349AE"/>
    <w:rsid w:val="00053220"/>
    <w:rsid w:val="000562D0"/>
    <w:rsid w:val="000608C0"/>
    <w:rsid w:val="00080D9A"/>
    <w:rsid w:val="00085663"/>
    <w:rsid w:val="000B0230"/>
    <w:rsid w:val="000B4E2D"/>
    <w:rsid w:val="000C6740"/>
    <w:rsid w:val="00107E8F"/>
    <w:rsid w:val="00134E14"/>
    <w:rsid w:val="00145445"/>
    <w:rsid w:val="001605F0"/>
    <w:rsid w:val="00170BD0"/>
    <w:rsid w:val="0017555D"/>
    <w:rsid w:val="00185156"/>
    <w:rsid w:val="00193C07"/>
    <w:rsid w:val="00197E5E"/>
    <w:rsid w:val="001A2279"/>
    <w:rsid w:val="001A2855"/>
    <w:rsid w:val="001B30A3"/>
    <w:rsid w:val="001C2178"/>
    <w:rsid w:val="001C77D9"/>
    <w:rsid w:val="001E4CBF"/>
    <w:rsid w:val="001F7ECA"/>
    <w:rsid w:val="00215243"/>
    <w:rsid w:val="00226E3F"/>
    <w:rsid w:val="00250E4C"/>
    <w:rsid w:val="00260126"/>
    <w:rsid w:val="0026216B"/>
    <w:rsid w:val="002629BB"/>
    <w:rsid w:val="00281D4D"/>
    <w:rsid w:val="002D4784"/>
    <w:rsid w:val="002E6DB8"/>
    <w:rsid w:val="00303E91"/>
    <w:rsid w:val="00313C1F"/>
    <w:rsid w:val="00335184"/>
    <w:rsid w:val="00350D3A"/>
    <w:rsid w:val="003552DB"/>
    <w:rsid w:val="00374329"/>
    <w:rsid w:val="00375D9B"/>
    <w:rsid w:val="003900EC"/>
    <w:rsid w:val="003A3380"/>
    <w:rsid w:val="003A3E80"/>
    <w:rsid w:val="003F0173"/>
    <w:rsid w:val="003F16CF"/>
    <w:rsid w:val="003F7030"/>
    <w:rsid w:val="004147E3"/>
    <w:rsid w:val="00415AF1"/>
    <w:rsid w:val="00424798"/>
    <w:rsid w:val="00430F71"/>
    <w:rsid w:val="0043158E"/>
    <w:rsid w:val="00432503"/>
    <w:rsid w:val="00435A19"/>
    <w:rsid w:val="00440586"/>
    <w:rsid w:val="00445B5C"/>
    <w:rsid w:val="00460141"/>
    <w:rsid w:val="00461065"/>
    <w:rsid w:val="00461582"/>
    <w:rsid w:val="00463509"/>
    <w:rsid w:val="00467EE0"/>
    <w:rsid w:val="00470EB9"/>
    <w:rsid w:val="00474308"/>
    <w:rsid w:val="00486188"/>
    <w:rsid w:val="004A0593"/>
    <w:rsid w:val="004A3E45"/>
    <w:rsid w:val="004A6B5E"/>
    <w:rsid w:val="004A6C8F"/>
    <w:rsid w:val="004D52F6"/>
    <w:rsid w:val="004E18F6"/>
    <w:rsid w:val="0050639A"/>
    <w:rsid w:val="00530063"/>
    <w:rsid w:val="00530D58"/>
    <w:rsid w:val="0054252E"/>
    <w:rsid w:val="005428DB"/>
    <w:rsid w:val="00550029"/>
    <w:rsid w:val="00550A6A"/>
    <w:rsid w:val="00551255"/>
    <w:rsid w:val="00571E27"/>
    <w:rsid w:val="00586265"/>
    <w:rsid w:val="005A316E"/>
    <w:rsid w:val="005A41AF"/>
    <w:rsid w:val="005A45AF"/>
    <w:rsid w:val="005A67C6"/>
    <w:rsid w:val="005B0DD2"/>
    <w:rsid w:val="005D0DF8"/>
    <w:rsid w:val="005D65DD"/>
    <w:rsid w:val="005F3D4E"/>
    <w:rsid w:val="005F67D8"/>
    <w:rsid w:val="00604ED1"/>
    <w:rsid w:val="0062539E"/>
    <w:rsid w:val="006270E0"/>
    <w:rsid w:val="006331FF"/>
    <w:rsid w:val="006422A8"/>
    <w:rsid w:val="00663590"/>
    <w:rsid w:val="006668EE"/>
    <w:rsid w:val="006A04C5"/>
    <w:rsid w:val="006B5581"/>
    <w:rsid w:val="006D57A6"/>
    <w:rsid w:val="006E719E"/>
    <w:rsid w:val="006F122C"/>
    <w:rsid w:val="00716996"/>
    <w:rsid w:val="0072163C"/>
    <w:rsid w:val="00724062"/>
    <w:rsid w:val="00737EEB"/>
    <w:rsid w:val="00745BE2"/>
    <w:rsid w:val="00770A7F"/>
    <w:rsid w:val="007736AC"/>
    <w:rsid w:val="0077695F"/>
    <w:rsid w:val="00790BD6"/>
    <w:rsid w:val="007A6B72"/>
    <w:rsid w:val="007B72B9"/>
    <w:rsid w:val="00805A2A"/>
    <w:rsid w:val="008255A0"/>
    <w:rsid w:val="00826041"/>
    <w:rsid w:val="00831AF9"/>
    <w:rsid w:val="00840E35"/>
    <w:rsid w:val="0087112E"/>
    <w:rsid w:val="008717AB"/>
    <w:rsid w:val="008A1044"/>
    <w:rsid w:val="008B5B4D"/>
    <w:rsid w:val="008C0722"/>
    <w:rsid w:val="008C4E44"/>
    <w:rsid w:val="008E4113"/>
    <w:rsid w:val="008E471A"/>
    <w:rsid w:val="0091030F"/>
    <w:rsid w:val="009527C7"/>
    <w:rsid w:val="0095723B"/>
    <w:rsid w:val="00983543"/>
    <w:rsid w:val="00997E73"/>
    <w:rsid w:val="009A3705"/>
    <w:rsid w:val="009C0392"/>
    <w:rsid w:val="009C3F12"/>
    <w:rsid w:val="009C4FFC"/>
    <w:rsid w:val="009D3A52"/>
    <w:rsid w:val="00A10D5D"/>
    <w:rsid w:val="00A15E61"/>
    <w:rsid w:val="00A26ED0"/>
    <w:rsid w:val="00A32E9B"/>
    <w:rsid w:val="00A363B6"/>
    <w:rsid w:val="00A64758"/>
    <w:rsid w:val="00A74B35"/>
    <w:rsid w:val="00A755C9"/>
    <w:rsid w:val="00A85773"/>
    <w:rsid w:val="00A945DD"/>
    <w:rsid w:val="00A961C8"/>
    <w:rsid w:val="00AA3676"/>
    <w:rsid w:val="00AB0330"/>
    <w:rsid w:val="00AB2729"/>
    <w:rsid w:val="00AC13E1"/>
    <w:rsid w:val="00AC2D40"/>
    <w:rsid w:val="00AD6A94"/>
    <w:rsid w:val="00AE2A9F"/>
    <w:rsid w:val="00AE4403"/>
    <w:rsid w:val="00AF14F1"/>
    <w:rsid w:val="00B00357"/>
    <w:rsid w:val="00B02017"/>
    <w:rsid w:val="00B0576A"/>
    <w:rsid w:val="00B05934"/>
    <w:rsid w:val="00B06189"/>
    <w:rsid w:val="00B20359"/>
    <w:rsid w:val="00B24095"/>
    <w:rsid w:val="00B86D8F"/>
    <w:rsid w:val="00B91CCA"/>
    <w:rsid w:val="00B95C1D"/>
    <w:rsid w:val="00BB07DE"/>
    <w:rsid w:val="00BB659A"/>
    <w:rsid w:val="00BC4717"/>
    <w:rsid w:val="00BC50D3"/>
    <w:rsid w:val="00BC5363"/>
    <w:rsid w:val="00BE2119"/>
    <w:rsid w:val="00C006DD"/>
    <w:rsid w:val="00C01FD8"/>
    <w:rsid w:val="00C21464"/>
    <w:rsid w:val="00C22F2F"/>
    <w:rsid w:val="00C318E5"/>
    <w:rsid w:val="00C3554A"/>
    <w:rsid w:val="00C52890"/>
    <w:rsid w:val="00C8295E"/>
    <w:rsid w:val="00C834E8"/>
    <w:rsid w:val="00C91F29"/>
    <w:rsid w:val="00C92580"/>
    <w:rsid w:val="00CB281C"/>
    <w:rsid w:val="00CC4F93"/>
    <w:rsid w:val="00CD2AD5"/>
    <w:rsid w:val="00CD40C8"/>
    <w:rsid w:val="00CF2383"/>
    <w:rsid w:val="00D01DC1"/>
    <w:rsid w:val="00D04090"/>
    <w:rsid w:val="00D22578"/>
    <w:rsid w:val="00D2301E"/>
    <w:rsid w:val="00D922A3"/>
    <w:rsid w:val="00DB09BA"/>
    <w:rsid w:val="00DB6B19"/>
    <w:rsid w:val="00DD04EA"/>
    <w:rsid w:val="00DD259B"/>
    <w:rsid w:val="00DD2E47"/>
    <w:rsid w:val="00DD353B"/>
    <w:rsid w:val="00DE54AA"/>
    <w:rsid w:val="00E02A59"/>
    <w:rsid w:val="00E331BC"/>
    <w:rsid w:val="00E527BA"/>
    <w:rsid w:val="00E54A6F"/>
    <w:rsid w:val="00E67E79"/>
    <w:rsid w:val="00E81720"/>
    <w:rsid w:val="00E83C5F"/>
    <w:rsid w:val="00E96EA7"/>
    <w:rsid w:val="00EB7797"/>
    <w:rsid w:val="00EC1B29"/>
    <w:rsid w:val="00EC20D4"/>
    <w:rsid w:val="00ED140A"/>
    <w:rsid w:val="00ED70CC"/>
    <w:rsid w:val="00F17C8A"/>
    <w:rsid w:val="00F23E21"/>
    <w:rsid w:val="00F24F49"/>
    <w:rsid w:val="00F348E5"/>
    <w:rsid w:val="00F41E4A"/>
    <w:rsid w:val="00F44E7E"/>
    <w:rsid w:val="00F652C3"/>
    <w:rsid w:val="00F77514"/>
    <w:rsid w:val="00F77B8E"/>
    <w:rsid w:val="00F9143D"/>
    <w:rsid w:val="00F926A4"/>
    <w:rsid w:val="00F95754"/>
    <w:rsid w:val="00FD0905"/>
    <w:rsid w:val="00FE62FB"/>
    <w:rsid w:val="00FE70F9"/>
    <w:rsid w:val="00FF6B96"/>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D1EFD"/>
  <w15:docId w15:val="{37506807-D3F7-DF4C-ACFF-6391439C3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pPr>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footnote text" w:uiPriority="9" w:unhideWhenUsed="1" w:qFormat="1"/>
    <w:lsdException w:name="Title" w:qFormat="1"/>
    <w:lsdException w:name="Default Paragraph Font" w:semiHidden="1" w:uiPriority="1" w:unhideWhenUsed="1"/>
    <w:lsdException w:name="Body Text" w:qFormat="1"/>
    <w:lsdException w:name="Subtitle" w:qFormat="1"/>
    <w:lsdException w:name="Date" w:qFormat="1"/>
    <w:lsdException w:name="Block Text" w:uiPriority="9" w:unhideWhenUsed="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HTML Code"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both"/>
    </w:pPr>
    <w:rPr>
      <w:sz w:val="21"/>
      <w:szCs w:val="21"/>
      <w:lang w:val="de-DE"/>
    </w:rPr>
  </w:style>
  <w:style w:type="paragraph" w:styleId="1">
    <w:name w:val="heading 1"/>
    <w:basedOn w:val="a"/>
    <w:next w:val="a0"/>
    <w:uiPriority w:val="9"/>
    <w:qFormat/>
    <w:pPr>
      <w:keepNext/>
      <w:keepLines/>
      <w:spacing w:before="480"/>
      <w:outlineLvl w:val="0"/>
    </w:pPr>
    <w:rPr>
      <w:b/>
      <w:sz w:val="28"/>
      <w:szCs w:val="28"/>
    </w:rPr>
  </w:style>
  <w:style w:type="paragraph" w:styleId="2">
    <w:name w:val="heading 2"/>
    <w:basedOn w:val="a"/>
    <w:next w:val="a0"/>
    <w:uiPriority w:val="9"/>
    <w:unhideWhenUsed/>
    <w:qFormat/>
    <w:pPr>
      <w:keepNext/>
      <w:keepLines/>
      <w:spacing w:before="200"/>
      <w:outlineLvl w:val="1"/>
    </w:pPr>
    <w:rPr>
      <w:b/>
      <w:sz w:val="24"/>
      <w:szCs w:val="24"/>
    </w:rPr>
  </w:style>
  <w:style w:type="paragraph" w:styleId="3">
    <w:name w:val="heading 3"/>
    <w:basedOn w:val="a"/>
    <w:next w:val="a0"/>
    <w:uiPriority w:val="9"/>
    <w:unhideWhenUsed/>
    <w:qFormat/>
    <w:pPr>
      <w:keepNext/>
      <w:keepLines/>
      <w:spacing w:before="200"/>
      <w:outlineLvl w:val="2"/>
    </w:pPr>
    <w:rPr>
      <w:b/>
      <w:sz w:val="24"/>
      <w:szCs w:val="24"/>
    </w:rPr>
  </w:style>
  <w:style w:type="paragraph" w:styleId="4">
    <w:name w:val="heading 4"/>
    <w:basedOn w:val="a"/>
    <w:next w:val="a0"/>
    <w:uiPriority w:val="9"/>
    <w:unhideWhenUsed/>
    <w:qFormat/>
    <w:pPr>
      <w:keepNext/>
      <w:keepLines/>
      <w:spacing w:before="200"/>
      <w:outlineLvl w:val="3"/>
    </w:pPr>
    <w:rPr>
      <w:b/>
      <w:sz w:val="24"/>
      <w:szCs w:val="24"/>
    </w:rPr>
  </w:style>
  <w:style w:type="paragraph" w:styleId="5">
    <w:name w:val="heading 5"/>
    <w:basedOn w:val="a"/>
    <w:next w:val="a0"/>
    <w:uiPriority w:val="9"/>
    <w:unhideWhenUsed/>
    <w:qFormat/>
    <w:pPr>
      <w:keepNext/>
      <w:keepLines/>
      <w:spacing w:before="200"/>
      <w:outlineLvl w:val="4"/>
    </w:pPr>
    <w:rPr>
      <w:rFonts w:asciiTheme="majorHAnsi" w:eastAsiaTheme="majorEastAsia" w:hAnsiTheme="majorHAnsi" w:cstheme="majorBidi"/>
      <w:iCs/>
      <w:color w:val="4F81BD" w:themeColor="accent1"/>
      <w:sz w:val="24"/>
      <w:szCs w:val="24"/>
    </w:rPr>
  </w:style>
  <w:style w:type="paragraph" w:styleId="6">
    <w:name w:val="heading 6"/>
    <w:basedOn w:val="a"/>
    <w:next w:val="a0"/>
    <w:uiPriority w:val="9"/>
    <w:unhideWhenUsed/>
    <w:qFormat/>
    <w:pPr>
      <w:keepNext/>
      <w:keepLines/>
      <w:spacing w:before="200"/>
      <w:outlineLvl w:val="5"/>
    </w:pPr>
    <w:rPr>
      <w:rFonts w:asciiTheme="majorHAnsi" w:eastAsiaTheme="majorEastAsia" w:hAnsiTheme="majorHAnsi" w:cstheme="majorBidi"/>
      <w:color w:val="4F81BD" w:themeColor="accent1"/>
      <w:sz w:val="24"/>
      <w:szCs w:val="24"/>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sz w:val="24"/>
      <w:szCs w:val="24"/>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sz w:val="24"/>
      <w:szCs w:val="24"/>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ind w:firstLineChars="200" w:firstLine="420"/>
    </w:pPr>
  </w:style>
  <w:style w:type="paragraph" w:styleId="a4">
    <w:name w:val="caption"/>
    <w:basedOn w:val="a"/>
    <w:next w:val="a"/>
    <w:link w:val="a5"/>
    <w:pPr>
      <w:spacing w:after="120"/>
    </w:pPr>
    <w:rPr>
      <w:i/>
    </w:rPr>
  </w:style>
  <w:style w:type="paragraph" w:styleId="a6">
    <w:name w:val="Block Text"/>
    <w:basedOn w:val="a0"/>
    <w:next w:val="a0"/>
    <w:uiPriority w:val="9"/>
    <w:unhideWhenUsed/>
    <w:qFormat/>
    <w:pPr>
      <w:spacing w:before="100" w:after="100"/>
      <w:ind w:left="480" w:right="480" w:firstLine="0"/>
    </w:pPr>
  </w:style>
  <w:style w:type="paragraph" w:styleId="a7">
    <w:name w:val="Date"/>
    <w:next w:val="a0"/>
    <w:qFormat/>
    <w:pPr>
      <w:keepNext/>
      <w:keepLines/>
      <w:jc w:val="center"/>
    </w:pPr>
    <w:rPr>
      <w:sz w:val="21"/>
      <w:szCs w:val="21"/>
      <w:lang w:val="de-DE"/>
    </w:rPr>
  </w:style>
  <w:style w:type="paragraph" w:styleId="a8">
    <w:name w:val="Subtitle"/>
    <w:basedOn w:val="a9"/>
    <w:next w:val="a0"/>
    <w:qFormat/>
    <w:pPr>
      <w:spacing w:before="240"/>
    </w:pPr>
    <w:rPr>
      <w:sz w:val="30"/>
      <w:szCs w:val="30"/>
    </w:rPr>
  </w:style>
  <w:style w:type="paragraph" w:styleId="a9">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a">
    <w:name w:val="footnote text"/>
    <w:basedOn w:val="a"/>
    <w:uiPriority w:val="9"/>
    <w:unhideWhenUsed/>
    <w:qFormat/>
    <w:pPr>
      <w:spacing w:after="0"/>
    </w:pPr>
    <w:rPr>
      <w:sz w:val="15"/>
      <w:szCs w:val="15"/>
    </w:rPr>
  </w:style>
  <w:style w:type="character" w:styleId="ab">
    <w:name w:val="Strong"/>
    <w:basedOn w:val="a1"/>
    <w:uiPriority w:val="22"/>
    <w:qFormat/>
    <w:rPr>
      <w:b/>
      <w:bCs/>
    </w:rPr>
  </w:style>
  <w:style w:type="character" w:styleId="ac">
    <w:name w:val="Emphasis"/>
    <w:basedOn w:val="a1"/>
    <w:uiPriority w:val="20"/>
    <w:qFormat/>
    <w:rPr>
      <w:i/>
      <w:iCs/>
    </w:rPr>
  </w:style>
  <w:style w:type="character" w:styleId="ad">
    <w:name w:val="Hyperlink"/>
    <w:basedOn w:val="a5"/>
    <w:rPr>
      <w:color w:val="4F81BD" w:themeColor="accent1"/>
    </w:rPr>
  </w:style>
  <w:style w:type="character" w:customStyle="1" w:styleId="a5">
    <w:name w:val="题注 字符"/>
    <w:basedOn w:val="a1"/>
    <w:link w:val="a4"/>
  </w:style>
  <w:style w:type="character" w:styleId="HTML">
    <w:name w:val="HTML Code"/>
    <w:basedOn w:val="a1"/>
    <w:uiPriority w:val="99"/>
    <w:unhideWhenUsed/>
    <w:rPr>
      <w:rFonts w:ascii="宋体" w:eastAsia="宋体" w:hAnsi="宋体" w:cs="宋体"/>
      <w:sz w:val="24"/>
      <w:szCs w:val="24"/>
    </w:rPr>
  </w:style>
  <w:style w:type="character" w:styleId="ae">
    <w:name w:val="footnote reference"/>
    <w:basedOn w:val="a5"/>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next w:val="a0"/>
    <w:qFormat/>
    <w:pPr>
      <w:keepNext/>
      <w:keepLines/>
      <w:jc w:val="center"/>
    </w:pPr>
    <w:rPr>
      <w:sz w:val="21"/>
      <w:szCs w:val="21"/>
      <w:lang w:val="de-DE"/>
    </w:rPr>
  </w:style>
  <w:style w:type="paragraph" w:customStyle="1" w:styleId="AbstractTitle">
    <w:name w:val="Abstract Title"/>
    <w:basedOn w:val="a"/>
    <w:next w:val="Abstract"/>
    <w:qFormat/>
    <w:pPr>
      <w:keepNext/>
      <w:keepLines/>
      <w:spacing w:before="30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customStyle="1" w:styleId="10">
    <w:name w:val="书目1"/>
    <w:basedOn w:val="a"/>
    <w:qFormat/>
  </w:style>
  <w:style w:type="table" w:customStyle="1" w:styleId="Table">
    <w:name w:val="Table"/>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customStyle="1" w:styleId="TableCaption">
    <w:name w:val="Table Caption"/>
    <w:basedOn w:val="a4"/>
    <w:pPr>
      <w:keepNext/>
    </w:pPr>
  </w:style>
  <w:style w:type="paragraph" w:customStyle="1" w:styleId="ImageCaption">
    <w:name w:val="Image Caption"/>
    <w:basedOn w:val="a4"/>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5"/>
    <w:link w:val="SourceCode"/>
    <w:rPr>
      <w:rFonts w:ascii="Consolas" w:hAnsi="Consolas"/>
      <w:sz w:val="22"/>
    </w:rPr>
  </w:style>
  <w:style w:type="paragraph" w:customStyle="1" w:styleId="SourceCode">
    <w:name w:val="Source Code"/>
    <w:basedOn w:val="a"/>
    <w:link w:val="VerbatimChar"/>
    <w:pPr>
      <w:wordWrap w:val="0"/>
    </w:pPr>
  </w:style>
  <w:style w:type="character" w:customStyle="1" w:styleId="SectionNumber">
    <w:name w:val="Section Number"/>
    <w:basedOn w:val="a5"/>
  </w:style>
  <w:style w:type="paragraph" w:customStyle="1" w:styleId="TOC1">
    <w:name w:val="TOC 标题1"/>
    <w:basedOn w:val="1"/>
    <w:next w:val="a0"/>
    <w:uiPriority w:val="39"/>
    <w:unhideWhenUsed/>
    <w:qFormat/>
    <w:pPr>
      <w:spacing w:before="240" w:line="259" w:lineRule="auto"/>
      <w:outlineLvl w:val="9"/>
    </w:pPr>
    <w:rPr>
      <w:rFonts w:asciiTheme="majorHAnsi" w:eastAsiaTheme="majorEastAsia" w:hAnsiTheme="majorHAnsi" w:cstheme="majorBidi"/>
      <w:b w:val="0"/>
      <w:color w:val="365F91" w:themeColor="accent1" w:themeShade="BF"/>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11">
    <w:name w:val="未处理的提及1"/>
    <w:basedOn w:val="a1"/>
    <w:uiPriority w:val="99"/>
    <w:unhideWhenUsed/>
    <w:rPr>
      <w:color w:val="605E5C"/>
      <w:shd w:val="clear" w:color="auto" w:fill="E1DFDD"/>
    </w:rPr>
  </w:style>
  <w:style w:type="character" w:customStyle="1" w:styleId="s4">
    <w:name w:val="s4"/>
    <w:basedOn w:val="a1"/>
  </w:style>
  <w:style w:type="paragraph" w:styleId="af">
    <w:name w:val="header"/>
    <w:basedOn w:val="a"/>
    <w:link w:val="af0"/>
    <w:rsid w:val="00530063"/>
    <w:pPr>
      <w:tabs>
        <w:tab w:val="center" w:pos="4153"/>
        <w:tab w:val="right" w:pos="8306"/>
      </w:tabs>
      <w:snapToGrid w:val="0"/>
      <w:jc w:val="center"/>
    </w:pPr>
    <w:rPr>
      <w:sz w:val="18"/>
      <w:szCs w:val="18"/>
    </w:rPr>
  </w:style>
  <w:style w:type="character" w:customStyle="1" w:styleId="af0">
    <w:name w:val="页眉 字符"/>
    <w:basedOn w:val="a1"/>
    <w:link w:val="af"/>
    <w:rsid w:val="00530063"/>
    <w:rPr>
      <w:sz w:val="18"/>
      <w:szCs w:val="18"/>
      <w:lang w:val="de-DE"/>
    </w:rPr>
  </w:style>
  <w:style w:type="paragraph" w:styleId="af1">
    <w:name w:val="footer"/>
    <w:basedOn w:val="a"/>
    <w:link w:val="af2"/>
    <w:rsid w:val="00530063"/>
    <w:pPr>
      <w:tabs>
        <w:tab w:val="center" w:pos="4153"/>
        <w:tab w:val="right" w:pos="8306"/>
      </w:tabs>
      <w:snapToGrid w:val="0"/>
      <w:jc w:val="left"/>
    </w:pPr>
    <w:rPr>
      <w:sz w:val="18"/>
      <w:szCs w:val="18"/>
    </w:rPr>
  </w:style>
  <w:style w:type="character" w:customStyle="1" w:styleId="af2">
    <w:name w:val="页脚 字符"/>
    <w:basedOn w:val="a1"/>
    <w:link w:val="af1"/>
    <w:rsid w:val="00530063"/>
    <w:rPr>
      <w:sz w:val="18"/>
      <w:szCs w:val="18"/>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i.org/10.13140/RG.2.2.28408.15369"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7818</Words>
  <Characters>12431</Characters>
  <Application>Microsoft Office Word</Application>
  <DocSecurity>0</DocSecurity>
  <Lines>690</Lines>
  <Paragraphs>723</Paragraphs>
  <ScaleCrop>false</ScaleCrop>
  <Company/>
  <LinksUpToDate>false</LinksUpToDate>
  <CharactersWithSpaces>19526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PatrickFu</dc:creator>
  <cp:lastModifiedBy>PatrickFu</cp:lastModifiedBy>
  <cp:revision>3</cp:revision>
  <cp:lastPrinted>2026-04-25T05:00:00Z</cp:lastPrinted>
  <dcterms:created xsi:type="dcterms:W3CDTF">2026-04-25T05:00:00Z</dcterms:created>
  <dcterms:modified xsi:type="dcterms:W3CDTF">2026-04-25T05:07:00Z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9C7A061212A594E51DB2E3697F78B6FE_31</vt:lpwstr>
  </property>
  <property fmtid="{D5CDD505-2E9C-101B-9397-08002B2CF9AE}" pid="3" name="KSOProductBuildVer">
    <vt:lpwstr>2052-12.42.0</vt:lpwstr>
  </property>
</Properties>
</file>