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Reviews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Reviewed by: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Guilherme Franco</w:t>
        </w:r>
      </w:hyperlink>
      <w:r w:rsidDel="00000000" w:rsidR="00000000" w:rsidRPr="00000000">
        <w:rPr>
          <w:rtl w:val="0"/>
        </w:rPr>
        <w:br w:type="textWrapping"/>
        <w:t xml:space="preserve">I think the diagram is easy to follow, the use cases that didn’t fit in the more general diagram were placed in a sub diagram, which helped it stay organized. The use cases are clear and he made descriptions of all the use cases where a person could be more confused as to how they would work so I think he did a great job.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g.franco@campus.fct.unl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