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Reviewed by Luís Abreu: I think both use case diagrams are very explicit and easy to understand. Furthermore, they are very complete once they contain all the functionalities of the system on the topic.</w:t>
        <w:br w:type="textWrapping"/>
        <w:t xml:space="preserve">Now about the use case descriptions and information: I think you chose the use cases well to do the description on, because you covered all the different “types”, what I mean with this is you chose one abstract use case, one that was included and another that was a specification. I liked that you added a section to each alternative flow too. Overall all the descriptions of the use cases are on point and the main flows are detailed.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work Guilherme!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