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line="240"/>
      </w:pPr>
    </w:p>
    <w:p>
      <w:pPr>
        <w:spacing w:after="360" w:line="360"/>
        <w:jc w:val="center"/>
      </w:pPr>
      <w:r>
        <w:rPr>
          <w:rFonts w:ascii="Times New Roman" w:cs="Times New Roman" w:eastAsia="Times New Roman" w:hAnsi="Times New Roman"/>
          <w:b/>
          <w:bCs/>
          <w:sz w:val="24"/>
          <w:szCs w:val="24"/>
        </w:rPr>
        <w:t xml:space="preserve">The Therapeutic Candidate Decision Record (TCDR): A Computable Representation and Minimum Information Standard for Translational Therapeutics</w:t>
      </w:r>
    </w:p>
    <w:p>
      <w:pPr>
        <w:spacing w:after="240" w:line="240"/>
      </w:pPr>
    </w:p>
    <w:p>
      <w:pPr>
        <w:spacing w:after="120" w:line="480"/>
        <w:jc w:val="center"/>
      </w:pPr>
      <w:r>
        <w:rPr>
          <w:rFonts w:ascii="Times New Roman" w:cs="Times New Roman" w:eastAsia="Times New Roman" w:hAnsi="Times New Roman"/>
          <w:sz w:val="24"/>
          <w:szCs w:val="24"/>
        </w:rPr>
        <w:t xml:space="preserve">Julian Borges, MD, MS</w:t>
      </w:r>
    </w:p>
    <w:p>
      <w:pPr>
        <w:spacing w:after="120" w:line="240"/>
      </w:pPr>
    </w:p>
    <w:p>
      <w:pPr>
        <w:spacing w:after="120" w:line="480"/>
        <w:jc w:val="center"/>
      </w:pPr>
      <w:r>
        <w:rPr>
          <w:rFonts w:ascii="Times New Roman" w:cs="Times New Roman" w:eastAsia="Times New Roman" w:hAnsi="Times New Roman"/>
          <w:sz w:val="24"/>
          <w:szCs w:val="24"/>
        </w:rPr>
        <w:t xml:space="preserve">Department of Computer Science, Boston University, Boston, MA, USA</w:t>
      </w:r>
    </w:p>
    <w:p>
      <w:pPr>
        <w:spacing w:after="120" w:line="240"/>
      </w:pPr>
    </w:p>
    <w:p>
      <w:pPr>
        <w:spacing w:after="120" w:line="480"/>
        <w:jc w:val="center"/>
      </w:pPr>
      <w:r>
        <w:rPr>
          <w:rFonts w:ascii="Times New Roman" w:cs="Times New Roman" w:eastAsia="Times New Roman" w:hAnsi="Times New Roman"/>
          <w:b/>
          <w:bCs/>
          <w:sz w:val="24"/>
          <w:szCs w:val="24"/>
        </w:rPr>
        <w:t xml:space="preserve">Correspondence: </w:t>
      </w:r>
      <w:r>
        <w:rPr>
          <w:rFonts w:ascii="Times New Roman" w:cs="Times New Roman" w:eastAsia="Times New Roman" w:hAnsi="Times New Roman"/>
          <w:sz w:val="24"/>
          <w:szCs w:val="24"/>
        </w:rPr>
        <w:t xml:space="preserve">jyborges@bu.edu</w:t>
      </w:r>
    </w:p>
    <w:p>
      <w:pPr>
        <w:spacing w:after="120" w:line="240"/>
      </w:pPr>
    </w:p>
    <w:p>
      <w:pPr>
        <w:spacing w:after="120" w:line="480"/>
        <w:jc w:val="center"/>
      </w:pPr>
      <w:r>
        <w:rPr>
          <w:rFonts w:ascii="Times New Roman" w:cs="Times New Roman" w:eastAsia="Times New Roman" w:hAnsi="Times New Roman"/>
          <w:b/>
          <w:bCs/>
          <w:sz w:val="24"/>
          <w:szCs w:val="24"/>
        </w:rPr>
        <w:t xml:space="preserve">ORCID: </w:t>
      </w:r>
      <w:r>
        <w:rPr>
          <w:rFonts w:ascii="Times New Roman" w:cs="Times New Roman" w:eastAsia="Times New Roman" w:hAnsi="Times New Roman"/>
          <w:sz w:val="24"/>
          <w:szCs w:val="24"/>
        </w:rPr>
        <w:t xml:space="preserve">0009-0001-9929-3135</w:t>
      </w:r>
    </w:p>
    <w:p>
      <w:r>
        <w:br w:type="page"/>
      </w:r>
    </w:p>
    <w:p>
      <w:pPr>
        <w:pStyle w:val="Heading1"/>
        <w:spacing w:after="120" w:line="480"/>
      </w:pPr>
      <w:r>
        <w:rPr>
          <w:rFonts w:ascii="Times New Roman" w:cs="Times New Roman" w:eastAsia="Times New Roman" w:hAnsi="Times New Roman"/>
          <w:sz w:val="24"/>
          <w:szCs w:val="24"/>
        </w:rPr>
        <w:t xml:space="preserve">Abstract</w:t>
      </w:r>
    </w:p>
    <w:p>
      <w:pPr>
        <w:spacing w:after="120" w:line="480"/>
      </w:pPr>
      <w:r>
        <w:rPr>
          <w:rFonts w:ascii="Times New Roman" w:cs="Times New Roman" w:eastAsia="Times New Roman" w:hAnsi="Times New Roman"/>
          <w:b/>
          <w:bCs/>
          <w:sz w:val="24"/>
          <w:szCs w:val="24"/>
        </w:rPr>
        <w:t xml:space="preserve">Background: </w:t>
      </w:r>
      <w:r>
        <w:rPr>
          <w:rFonts w:ascii="Times New Roman" w:cs="Times New Roman" w:eastAsia="Times New Roman" w:hAnsi="Times New Roman"/>
          <w:sz w:val="24"/>
          <w:szCs w:val="24"/>
        </w:rPr>
        <w:t xml:space="preserve">Computational therapeutic design has advanced rapidly through artificial intelligence and machine learning approaches, yet no standard representation exists for the therapeutic candidate as a structured, computable decision object. Current minimum information standards address experiments (MIAME), models (MI-CLAIM), and assays (MIQE) but not the translational candidate itself.</w:t>
      </w:r>
    </w:p>
    <w:p>
      <w:pPr>
        <w:spacing w:after="120" w:line="480"/>
      </w:pPr>
      <w:r>
        <w:rPr>
          <w:rFonts w:ascii="Times New Roman" w:cs="Times New Roman" w:eastAsia="Times New Roman" w:hAnsi="Times New Roman"/>
          <w:b/>
          <w:bCs/>
          <w:sz w:val="24"/>
          <w:szCs w:val="24"/>
        </w:rPr>
        <w:t xml:space="preserve">Gap: </w:t>
      </w:r>
      <w:r>
        <w:rPr>
          <w:rFonts w:ascii="Times New Roman" w:cs="Times New Roman" w:eastAsia="Times New Roman" w:hAnsi="Times New Roman"/>
          <w:sz w:val="24"/>
          <w:szCs w:val="24"/>
        </w:rPr>
        <w:t xml:space="preserve">The absence of a candidate-level representation standard fragments therapeutic design across target biology, molecular optimization, delivery engineering, safety assessment, and regulatory planning. This fragmentation impedes reproducible evaluation, cross-modality comparison, and governed advancement decisions.</w:t>
      </w:r>
    </w:p>
    <w:p>
      <w:pPr>
        <w:spacing w:after="120" w:line="480"/>
      </w:pPr>
      <w:r>
        <w:rPr>
          <w:rFonts w:ascii="Times New Roman" w:cs="Times New Roman" w:eastAsia="Times New Roman" w:hAnsi="Times New Roman"/>
          <w:b/>
          <w:bCs/>
          <w:sz w:val="24"/>
          <w:szCs w:val="24"/>
        </w:rPr>
        <w:t xml:space="preserve">Contribution: </w:t>
      </w:r>
      <w:r>
        <w:rPr>
          <w:rFonts w:ascii="Times New Roman" w:cs="Times New Roman" w:eastAsia="Times New Roman" w:hAnsi="Times New Roman"/>
          <w:sz w:val="24"/>
          <w:szCs w:val="24"/>
        </w:rPr>
        <w:t xml:space="preserve">This paper introduces Therapeutic Candidate Decision Records (TCDRs) as computable translational objects and TCDR-MI as a minimum information reporting standard for therapeutic candidate representation. The TCDR schema comprises nine field groups spanning candidate identity, biological mechanism, disease and tissue context, modality details, delivery and biodistribution, manufacturability, safety, evidence gaps, and advancement logic. A multi-criteria decision analysis (MCDA) rubric enables structured advancement scoring with explicit sensitivity analysis.</w:t>
      </w:r>
    </w:p>
    <w:p>
      <w:pPr>
        <w:spacing w:after="120" w:line="480"/>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The TCDR schema was derived through a structured four-stage process: (1) systematic enumeration of fields from 14 source standards, frameworks, and regulatory guidance documents; (2) gap analysis identifying translational attributes absent from all surveyed sources; (3) iterative consolidation into nine field groups; and (4) minimum information classification following the MIAME three-tier precedent. A competitive landscape analysis across 25 references confirmed the absence of any comparable standard. Two reference cases were constructed: a small-molecule candidate (idebenone) and a gene therapy candidate (AAV9-hNDUFS1), both targeting Complex I deficiency in mitochondrial cardiomyopathy.</w:t>
      </w:r>
    </w:p>
    <w:p>
      <w:pPr>
        <w:spacing w:after="120" w:line="480"/>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The TCDR schema defines 58 fields across 9 field groups, classified by TCDR-MI into 28 required, 18 recommended, and 12 optional fields. Both reference cases demonstrate complete population of all applicable field groups using publicly available data. The MCDA rubric distinguishes advancement outcomes across seven weight scenarios through sensitivity analysis, with tipping point analysis identifying the evidence maturity thresholds required for advancement under each scenario.</w:t>
      </w:r>
    </w:p>
    <w:p>
      <w:pPr>
        <w:spacing w:after="120" w:line="480"/>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TCDR and TCDR-MI provide the first community reference model for therapeutic candidate representation as a computable decision object. The open schema (Apache 2.0) supports adoption across computational therapeutics platforms, academic research groups, and translational development programs.</w:t>
      </w:r>
    </w:p>
    <w:p>
      <w:pPr>
        <w:spacing w:after="120" w:line="4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therapeutic candidate, decision record, minimum information standard, translational therapeutics, computational drug design, multi-criteria decision analysis</w:t>
      </w:r>
    </w:p>
    <w:p>
      <w:r>
        <w:br w:type="page"/>
      </w:r>
    </w:p>
    <w:p>
      <w:pPr>
        <w:pStyle w:val="Heading1"/>
        <w:spacing w:after="120" w:line="480"/>
      </w:pPr>
      <w:r>
        <w:rPr>
          <w:rFonts w:ascii="Times New Roman" w:cs="Times New Roman" w:eastAsia="Times New Roman" w:hAnsi="Times New Roman"/>
          <w:sz w:val="24"/>
          <w:szCs w:val="24"/>
        </w:rPr>
        <w:t xml:space="preserve">1. Introduction</w:t>
      </w:r>
    </w:p>
    <w:p>
      <w:pPr>
        <w:spacing w:after="120" w:line="480"/>
      </w:pPr>
      <w:r>
        <w:rPr>
          <w:rFonts w:ascii="Times New Roman" w:cs="Times New Roman" w:eastAsia="Times New Roman" w:hAnsi="Times New Roman"/>
          <w:sz w:val="24"/>
          <w:szCs w:val="24"/>
        </w:rPr>
        <w:t xml:space="preserve">The computational design of therapeutic candidates has been transformed by advances in machine learning, molecular simulation, and high-throughput virtual screening. Platforms now routinely generate thousands of candidate molecules, peptides, or vectors in silico before any wet-lab synthesis occurs. However, the output of these computational systems is typically a molecular structure accompanied by predicted property scores, disconnected from the full translational context required for responsible advancement decisions.</w:t>
      </w:r>
    </w:p>
    <w:p>
      <w:pPr>
        <w:spacing w:after="120" w:line="480"/>
      </w:pPr>
      <w:r>
        <w:rPr>
          <w:rFonts w:ascii="Times New Roman" w:cs="Times New Roman" w:eastAsia="Times New Roman" w:hAnsi="Times New Roman"/>
          <w:sz w:val="24"/>
          <w:szCs w:val="24"/>
        </w:rPr>
        <w:t xml:space="preserve">This disconnection creates a fundamental problem. A small molecule optimized for target binding affinity may be impossible to manufacture. A peptide with favorable pharmacokinetic predictions may lack tissue specificity for its intended indication. An AAV vector with engineered capsid tropism may have unacceptable immunogenicity in the target patient population. These translational failures are not failures of computational chemistry or AI prediction; they are failures of representation. The therapeutic candidate is not adequately represented as a decision object.</w:t>
      </w:r>
    </w:p>
    <w:p>
      <w:pPr>
        <w:spacing w:after="120" w:line="480"/>
      </w:pPr>
      <w:r>
        <w:rPr>
          <w:rFonts w:ascii="Times New Roman" w:cs="Times New Roman" w:eastAsia="Times New Roman" w:hAnsi="Times New Roman"/>
          <w:sz w:val="24"/>
          <w:szCs w:val="24"/>
        </w:rPr>
        <w:t xml:space="preserve">The biomedical informatics community recognized a parallel challenge two decades ago when microarray experiments generated data that could not be reproduced or compared due to the absence of reporting standards. The response was MIAME (Minimum Information About a Microarray Experiment), published by Brazma et al. in 2001 (DOI: 10.1038/ng1201-365), which defined the minimum set of information required to interpret microarray data. MIAME catalyzed the development of a family of minimum information standards, each addressing a specific category of scientific object: MIAPE for proteomics experiments, MIQE for quantitative PCR, MISFISHIE for in situ hybridization (DOI: 10.1038/nbt1391), and more recently MI-CLAIM for clinical artificial intelligence models (DOI: 10.1038/s41591-020-1041-y). The MIBBI (Minimum Information for Biological and Biomedical Investigations) registry catalogs these standards (DOI: 10.1038/nbt.1411).</w:t>
      </w:r>
    </w:p>
    <w:p>
      <w:pPr>
        <w:spacing w:after="120" w:line="480"/>
      </w:pPr>
      <w:r>
        <w:rPr>
          <w:rFonts w:ascii="Times New Roman" w:cs="Times New Roman" w:eastAsia="Times New Roman" w:hAnsi="Times New Roman"/>
          <w:sz w:val="24"/>
          <w:szCs w:val="24"/>
        </w:rPr>
        <w:t xml:space="preserve">Despite this extensive landscape of reporting standards, a critical gap remains. No minimum information standard addresses the therapeutic candidate itself as a structured, computable decision unit. Experiments have MI standards. AI models have MI standards. The therapeutic candidate that emerges from these experiments and models does not.</w:t>
      </w:r>
    </w:p>
    <w:p>
      <w:pPr>
        <w:spacing w:after="120" w:line="480"/>
      </w:pPr>
      <w:r>
        <w:rPr>
          <w:rFonts w:ascii="Times New Roman" w:cs="Times New Roman" w:eastAsia="Times New Roman" w:hAnsi="Times New Roman"/>
          <w:sz w:val="24"/>
          <w:szCs w:val="24"/>
        </w:rPr>
        <w:t xml:space="preserve">This paper addresses that gap by introducing two complementary contributions. First, the Therapeutic Candidate Decision Record (TCDR) defines a structured, machine-readable schema for representing therapeutic candidates as computable translational objects. Second, TCDR-MI defines the minimum information required for a TCDR to be interpretable, comparable, and independently evaluable. Together, they provide a community reference model for therapeutic candidate representation across modalities, platforms, and development stages.</w:t>
      </w:r>
    </w:p>
    <w:p>
      <w:pPr>
        <w:spacing w:after="120" w:line="480"/>
      </w:pPr>
      <w:r>
        <w:rPr>
          <w:rFonts w:ascii="Times New Roman" w:cs="Times New Roman" w:eastAsia="Times New Roman" w:hAnsi="Times New Roman"/>
          <w:sz w:val="24"/>
          <w:szCs w:val="24"/>
        </w:rPr>
        <w:t xml:space="preserve">The remainder of this paper is organized as follows. Section 2 reviews the existing landscape of minimum information standards, AI drug discovery frameworks, and regulatory evidence models. Section 3 presents the TCDR object model, beginning with the schema derivation methodology and proceeding through its nine field groups. Section 4 defines the TCDR-MI minimum information checklist. Section 5 demonstrates two reference cases for Complex I deficiency in mitochondrial cardiomyopathy: a small-molecule candidate and a gene therapy candidate. Section 6 describes implementation considerations for governed pipelines. Section 7 presents a multi-criteria decision analysis rubric for advancement logic with expanded sensitivity analysis. Section 8 discusses limitations, extensibility, and community adoption pathways. Section 9 summarizes the contribution and its implications for translational computational therapeutics.</w:t>
      </w:r>
    </w:p>
    <w:p>
      <w:pPr>
        <w:pStyle w:val="Heading1"/>
        <w:spacing w:after="120" w:line="480"/>
      </w:pPr>
      <w:r>
        <w:rPr>
          <w:rFonts w:ascii="Times New Roman" w:cs="Times New Roman" w:eastAsia="Times New Roman" w:hAnsi="Times New Roman"/>
          <w:sz w:val="24"/>
          <w:szCs w:val="24"/>
        </w:rPr>
        <w:t xml:space="preserve">2. Related Work</w:t>
      </w:r>
    </w:p>
    <w:p>
      <w:pPr>
        <w:pStyle w:val="Heading2"/>
        <w:spacing w:after="120" w:line="480"/>
      </w:pPr>
      <w:r>
        <w:rPr>
          <w:rFonts w:ascii="Times New Roman" w:cs="Times New Roman" w:eastAsia="Times New Roman" w:hAnsi="Times New Roman"/>
          <w:sz w:val="24"/>
          <w:szCs w:val="24"/>
        </w:rPr>
        <w:t xml:space="preserve">2.1 Minimum Information Standards</w:t>
      </w:r>
    </w:p>
    <w:p>
      <w:pPr>
        <w:spacing w:after="120" w:line="480"/>
      </w:pPr>
      <w:r>
        <w:rPr>
          <w:rFonts w:ascii="Times New Roman" w:cs="Times New Roman" w:eastAsia="Times New Roman" w:hAnsi="Times New Roman"/>
          <w:sz w:val="24"/>
          <w:szCs w:val="24"/>
        </w:rPr>
        <w:t xml:space="preserve">The MIAME standard (Brazma et al., 2001; DOI: 10.1038/ng1201-365) established the paradigm for minimum information reporting in the life sciences. By defining the information needed to interpret microarray data, MIAME enabled the development of public repositories (ArrayExpress, GEO) and facilitated meta-analyses that would otherwise have been impossible. Subsequent standards followed the same pattern: define the minimum reportable fields for a category of scientific object, then let communities, repositories, and journals adopt the standard organically.</w:t>
      </w:r>
    </w:p>
    <w:p>
      <w:pPr>
        <w:spacing w:after="120" w:line="480"/>
      </w:pPr>
      <w:r>
        <w:rPr>
          <w:rFonts w:ascii="Times New Roman" w:cs="Times New Roman" w:eastAsia="Times New Roman" w:hAnsi="Times New Roman"/>
          <w:sz w:val="24"/>
          <w:szCs w:val="24"/>
        </w:rPr>
        <w:t xml:space="preserve">MISFISHIE (Deutsch et al., 2008; DOI: 10.1038/nbt1391) extended this approach to gene expression localization experiments, defining six types of information (experimental design, biomaterials, reporters, staining, imaging, characterizations) that must be reported for reproducibility. The MIBBI portal (Taylor et al., 2008; DOI: 10.1038/nbt.1411) subsequently cataloged over 40 minimum information standards across the biological sciences.</w:t>
      </w:r>
    </w:p>
    <w:p>
      <w:pPr>
        <w:spacing w:after="120" w:line="480"/>
      </w:pPr>
      <w:r>
        <w:rPr>
          <w:rFonts w:ascii="Times New Roman" w:cs="Times New Roman" w:eastAsia="Times New Roman" w:hAnsi="Times New Roman"/>
          <w:sz w:val="24"/>
          <w:szCs w:val="24"/>
        </w:rPr>
        <w:t xml:space="preserve">More recently, MI-CLAIM (Norgeot et al., 2020; DOI: 10.1038/s41591-020-1041-y) addressed the reporting requirements for clinical AI models, and reporting guidelines such as CONSORT-AI, SPIRIT-AI, and TRIPOD-AI have been developed for AI health interventions (Shelmerdine et al., 2021; DOI: 10.1136/bmjhci-2021-100385). These standards address the AI model, not the therapeutic candidates that AI models produce. The distinction is critical: MI-CLAIM ensures that a predictive model is transparent; TCDR ensures that the candidate emerging from that model (or from any design process) carries the full translational context required for a responsible advancement decision.</w:t>
      </w:r>
    </w:p>
    <w:p>
      <w:pPr>
        <w:spacing w:after="120" w:line="480"/>
      </w:pPr>
      <w:r>
        <w:rPr>
          <w:rFonts w:ascii="Times New Roman" w:cs="Times New Roman" w:eastAsia="Times New Roman" w:hAnsi="Times New Roman"/>
          <w:sz w:val="24"/>
          <w:szCs w:val="24"/>
        </w:rPr>
        <w:t xml:space="preserve">The MIQE guidelines (Bustin et al., 2009; DOI: 10.1373/clinchem.2008.112797) provide an instructive parallel for TCDR design. MIQE standardized quantitative PCR reporting with 85 fields organized into categories of experimental design, sample, nucleic acid extraction, reverse transcription, target information, primers, assay efficiency, and data analysis. The success of MIQE demonstrates that even a large field count (85 fields) can achieve community adoption when the fields are logically organized and when each field has a clear rationale tied to reproducibility or interpretability. TCDR-MI follows this precedent with 58 fields, each accompanied by a rationale statement.</w:t>
      </w:r>
    </w:p>
    <w:p>
      <w:pPr>
        <w:spacing w:after="120" w:line="480"/>
      </w:pPr>
      <w:r>
        <w:rPr>
          <w:rFonts w:ascii="Times New Roman" w:cs="Times New Roman" w:eastAsia="Times New Roman" w:hAnsi="Times New Roman"/>
          <w:sz w:val="24"/>
          <w:szCs w:val="24"/>
        </w:rPr>
        <w:t xml:space="preserve">A critical insight from the MI standards landscape is that the most impactful standards address a single, well-defined category of scientific object. MIAME addresses the microarray experiment. MIQE addresses the qPCR assay. MI-CLAIM addresses the clinical AI model. Each creates a boundary around one object type and defines what must be reported about it. TCDR follows the same principle: it addresses the therapeutic candidate as a single, well-defined object type, distinct from the experiments that characterize it, the models that predict its properties, and the clinical trials that evaluate its efficacy.</w:t>
      </w:r>
    </w:p>
    <w:p>
      <w:pPr>
        <w:pStyle w:val="Heading2"/>
        <w:spacing w:after="120" w:line="480"/>
      </w:pPr>
      <w:r>
        <w:rPr>
          <w:rFonts w:ascii="Times New Roman" w:cs="Times New Roman" w:eastAsia="Times New Roman" w:hAnsi="Times New Roman"/>
          <w:sz w:val="24"/>
          <w:szCs w:val="24"/>
        </w:rPr>
        <w:t xml:space="preserve">2.2 AI Drug Discovery Frameworks</w:t>
      </w:r>
    </w:p>
    <w:p>
      <w:pPr>
        <w:spacing w:after="120" w:line="480"/>
      </w:pPr>
      <w:r>
        <w:rPr>
          <w:rFonts w:ascii="Times New Roman" w:cs="Times New Roman" w:eastAsia="Times New Roman" w:hAnsi="Times New Roman"/>
          <w:sz w:val="24"/>
          <w:szCs w:val="24"/>
        </w:rPr>
        <w:t xml:space="preserve">The Therapeutics Data Commons (TDC) (Huang et al., 2021; DOI: 10.48550/arXiv.2102.09548) provides benchmark datasets and leaderboards for machine learning tasks in drug discovery, including target identification, molecular generation, and ADMET prediction. MoleculeNet (Wu et al., 2018; DOI: 10.1039/c7sc02664a) established standardized molecular property prediction benchmarks. GuacaMol (Brown et al., 2019; DOI: 10.1021/acs.jcim.8b00839) benchmarks goal-directed molecular generation. REINVENT (Blaschke et al., 2020; DOI: 10.1021/acs.jcim.0c00915) provides a reinforcement learning framework for de novo molecular design.</w:t>
      </w:r>
    </w:p>
    <w:p>
      <w:pPr>
        <w:spacing w:after="120" w:line="480"/>
      </w:pPr>
      <w:r>
        <w:rPr>
          <w:rFonts w:ascii="Times New Roman" w:cs="Times New Roman" w:eastAsia="Times New Roman" w:hAnsi="Times New Roman"/>
          <w:sz w:val="24"/>
          <w:szCs w:val="24"/>
        </w:rPr>
        <w:t xml:space="preserve">These frameworks are essential infrastructure for computational chemistry, but they operate at the level of molecular properties, not translational candidates. A molecule generated by REINVENT has a predicted binding score; it does not have a structured representation of its disease context, delivery route, manufacturability, safety liabilities, evidence gaps, or advancement recommendation. These translational attributes are precisely what a TCDR captures.</w:t>
      </w:r>
    </w:p>
    <w:p>
      <w:pPr>
        <w:pStyle w:val="Heading2"/>
        <w:spacing w:after="120" w:line="480"/>
      </w:pPr>
      <w:r>
        <w:rPr>
          <w:rFonts w:ascii="Times New Roman" w:cs="Times New Roman" w:eastAsia="Times New Roman" w:hAnsi="Times New Roman"/>
          <w:sz w:val="24"/>
          <w:szCs w:val="24"/>
        </w:rPr>
        <w:t xml:space="preserve">2.3 Gene Therapy and Vector Engineering</w:t>
      </w:r>
    </w:p>
    <w:p>
      <w:pPr>
        <w:spacing w:after="120" w:line="480"/>
      </w:pPr>
      <w:r>
        <w:rPr>
          <w:rFonts w:ascii="Times New Roman" w:cs="Times New Roman" w:eastAsia="Times New Roman" w:hAnsi="Times New Roman"/>
          <w:sz w:val="24"/>
          <w:szCs w:val="24"/>
        </w:rPr>
        <w:t xml:space="preserve">The emergence of AI-guided gene therapy design introduces modality-specific challenges. Capsid engineering platforms such as the ML-guided approach described by Bryant et al. (2021; DOI: 10.1038/s41587-020-00793-4) optimize AAV capsid fitness for tissue tropism. Diffusion-based models generate novel capsid sequences. These systems optimize components of a gene therapy candidate but do not represent the complete candidate as a decision object that integrates payload, vector, delivery, disease context, and regulatory readiness. TCDR is designed to be modality-agnostic, accommodating both small molecules and gene therapy candidates within a single schema.</w:t>
      </w:r>
    </w:p>
    <w:p>
      <w:pPr>
        <w:pStyle w:val="Heading2"/>
        <w:spacing w:after="120" w:line="480"/>
      </w:pPr>
      <w:r>
        <w:rPr>
          <w:rFonts w:ascii="Times New Roman" w:cs="Times New Roman" w:eastAsia="Times New Roman" w:hAnsi="Times New Roman"/>
          <w:sz w:val="24"/>
          <w:szCs w:val="24"/>
        </w:rPr>
        <w:t xml:space="preserve">2.4 Regulatory Evidence Frameworks</w:t>
      </w:r>
    </w:p>
    <w:p>
      <w:pPr>
        <w:spacing w:after="120" w:line="480"/>
      </w:pPr>
      <w:r>
        <w:rPr>
          <w:rFonts w:ascii="Times New Roman" w:cs="Times New Roman" w:eastAsia="Times New Roman" w:hAnsi="Times New Roman"/>
          <w:sz w:val="24"/>
          <w:szCs w:val="24"/>
        </w:rPr>
        <w:t xml:space="preserve">Regulatory agencies define stage-specific evidence requirements through guidance documents. The FDA CDER framework specifies preclinical and clinical data packages required for investigational new drug (IND) applications. ICH M3(R2) (ICH, 2009; DOI: 10.1002/9780470571224.pse360) defines nonclinical safety study requirements for pharmaceuticals. ICH S6(R1) (ICH, 2011) addresses preclinical safety evaluation of biotechnology-derived pharmaceuticals. The EMA PRIME pathway provides regulatory support for medicines addressing unmet medical needs. The FDA has also published a discussion paper on the use of artificial intelligence and machine learning in drug development (FDA, 2023), recognizing the need for structured documentation of computationally derived therapeutic insights.</w:t>
      </w:r>
    </w:p>
    <w:p>
      <w:pPr>
        <w:spacing w:after="120" w:line="480"/>
      </w:pPr>
      <w:r>
        <w:rPr>
          <w:rFonts w:ascii="Times New Roman" w:cs="Times New Roman" w:eastAsia="Times New Roman" w:hAnsi="Times New Roman"/>
          <w:sz w:val="24"/>
          <w:szCs w:val="24"/>
        </w:rPr>
        <w:t xml:space="preserve">These frameworks define what evidence must be generated at each development stage. However, they do not provide a computable schema for the therapeutic candidate itself. TCDR bridges this gap by embedding evidence maturity assessment (the confidence_level and key_experiments_needed fields) and advancement logic (the recommendation field) directly within the candidate record, creating a structured connection between computational design and regulatory expectation.</w:t>
      </w:r>
    </w:p>
    <w:p>
      <w:pPr>
        <w:pStyle w:val="Heading1"/>
        <w:spacing w:after="120" w:line="480"/>
      </w:pPr>
      <w:r>
        <w:rPr>
          <w:rFonts w:ascii="Times New Roman" w:cs="Times New Roman" w:eastAsia="Times New Roman" w:hAnsi="Times New Roman"/>
          <w:sz w:val="24"/>
          <w:szCs w:val="24"/>
        </w:rPr>
        <w:t xml:space="preserve">3. The TCDR Model</w:t>
      </w:r>
    </w:p>
    <w:p>
      <w:pPr>
        <w:pStyle w:val="Heading2"/>
        <w:spacing w:after="120" w:line="480"/>
      </w:pPr>
      <w:r>
        <w:rPr>
          <w:rFonts w:ascii="Times New Roman" w:cs="Times New Roman" w:eastAsia="Times New Roman" w:hAnsi="Times New Roman"/>
          <w:sz w:val="24"/>
          <w:szCs w:val="24"/>
        </w:rPr>
        <w:t xml:space="preserve">3.1 Schema Derivation Methodology</w:t>
      </w:r>
    </w:p>
    <w:p>
      <w:pPr>
        <w:spacing w:after="120" w:line="480"/>
      </w:pPr>
      <w:r>
        <w:rPr>
          <w:rFonts w:ascii="Times New Roman" w:cs="Times New Roman" w:eastAsia="Times New Roman" w:hAnsi="Times New Roman"/>
          <w:sz w:val="24"/>
          <w:szCs w:val="24"/>
        </w:rPr>
        <w:t xml:space="preserve">The TCDR schema was derived through a structured four-stage process designed to ensure systematic coverage and reproducibility.</w:t>
      </w:r>
    </w:p>
    <w:p>
      <w:pPr>
        <w:spacing w:after="120" w:line="480"/>
      </w:pPr>
      <w:r>
        <w:rPr>
          <w:rFonts w:ascii="Times New Roman" w:cs="Times New Roman" w:eastAsia="Times New Roman" w:hAnsi="Times New Roman"/>
          <w:sz w:val="24"/>
          <w:szCs w:val="24"/>
        </w:rPr>
        <w:t xml:space="preserve">Stage 1 (Source Enumeration): Fourteen source documents were analyzed for field content relevant to therapeutic candidate representation. These included five minimum information standards (MIAME, MIQE, MISFISHIE, MI-CLAIM, MIBBI), three AI drug discovery frameworks (Therapeutics Data Commons, MoleculeNet, GuacaMol), three regulatory guidance documents (ICH M3(R2), ICH S6(R1), FDA CDER IND guidance), and three gene therapy engineering references (Bryant et al. capsid engineering, FDA gene therapy guidance, EMA PRIME pathway documentation). Each source was examined for fields that describe, characterize, or evaluate a therapeutic entity.</w:t>
      </w:r>
    </w:p>
    <w:p>
      <w:pPr>
        <w:spacing w:after="120" w:line="480"/>
      </w:pPr>
      <w:r>
        <w:rPr>
          <w:rFonts w:ascii="Times New Roman" w:cs="Times New Roman" w:eastAsia="Times New Roman" w:hAnsi="Times New Roman"/>
          <w:sz w:val="24"/>
          <w:szCs w:val="24"/>
        </w:rPr>
        <w:t xml:space="preserve">Stage 2 (Gap Analysis): Fields extracted from all 14 sources were mapped into a consolidated matrix. This analysis identified that existing standards addressed experimental protocols (MIAME, MIQE), model transparency (MI-CLAIM), and molecular properties (TDC, MoleculeNet), but no source represented the following translational attributes as structured fields: disease and tissue context linked to a specific candidate, delivery and biodistribution assessment, manufacturability scoring, evidence gap enumeration, or structured advancement logic. These gap categories became the basis for TCDR field groups that have no precedent in existing standards.</w:t>
      </w:r>
    </w:p>
    <w:p>
      <w:pPr>
        <w:spacing w:after="120" w:line="480"/>
      </w:pPr>
      <w:r>
        <w:rPr>
          <w:rFonts w:ascii="Times New Roman" w:cs="Times New Roman" w:eastAsia="Times New Roman" w:hAnsi="Times New Roman"/>
          <w:sz w:val="24"/>
          <w:szCs w:val="24"/>
        </w:rPr>
        <w:t xml:space="preserve">Stage 3 (Iterative Consolidation): The candidate field list was refined through three consolidation rounds. In the first round, redundant fields from overlapping sources were merged (e.g., target gene identifiers from MI-CLAIM, TDC, and regulatory guidance were consolidated into a single target_gene field with HGNC nomenclature). In the second round, fields were organized into logically coherent groups based on the translational evaluation workflow: identity, mechanism, disease context, modality, delivery, manufacturing, safety, evidence gaps, and advancement decision. In the third round, conditional field logic was introduced to support modality-agnosticism (e.g., capsid_serotype is required only when modality equals aav_gene_therapy). The final schema contains 58 fields across 9 field groups plus 4 metadata fields.</w:t>
      </w:r>
    </w:p>
    <w:p>
      <w:pPr>
        <w:spacing w:after="120" w:line="480"/>
      </w:pPr>
      <w:r>
        <w:rPr>
          <w:rFonts w:ascii="Times New Roman" w:cs="Times New Roman" w:eastAsia="Times New Roman" w:hAnsi="Times New Roman"/>
          <w:sz w:val="24"/>
          <w:szCs w:val="24"/>
        </w:rPr>
        <w:t xml:space="preserve">Stage 4 (Minimum Information Classification): Each field was classified as REQUIRED, RECOMMENDED, or OPTIONAL using the criteria described in Section 4.2. This classification was performed by a single author following the MIAME three-tier precedent. The classification is presented as a version 1.0 proposal; community validation through structured expert review is planned for version 2.0 (see Section 8.5).</w:t>
      </w:r>
    </w:p>
    <w:p>
      <w:pPr>
        <w:pStyle w:val="Heading2"/>
        <w:spacing w:after="120" w:line="480"/>
      </w:pPr>
      <w:r>
        <w:rPr>
          <w:rFonts w:ascii="Times New Roman" w:cs="Times New Roman" w:eastAsia="Times New Roman" w:hAnsi="Times New Roman"/>
          <w:sz w:val="24"/>
          <w:szCs w:val="24"/>
        </w:rPr>
        <w:t xml:space="preserve">3.2 Design Principles</w:t>
      </w:r>
    </w:p>
    <w:p>
      <w:pPr>
        <w:spacing w:after="120" w:line="480"/>
      </w:pPr>
      <w:r>
        <w:rPr>
          <w:rFonts w:ascii="Times New Roman" w:cs="Times New Roman" w:eastAsia="Times New Roman" w:hAnsi="Times New Roman"/>
          <w:sz w:val="24"/>
          <w:szCs w:val="24"/>
        </w:rPr>
        <w:t xml:space="preserve">The TCDR schema was designed according to five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Principle</w:t>
            </w:r>
          </w:p>
        </w:tc>
        <w:tc>
          <w:tcPr>
            <w:tcW w:type="dxa" w:w="624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Implementation</w:t>
            </w:r>
          </w:p>
        </w:tc>
      </w:tr>
      <w:tr>
        <w:tc>
          <w:tcPr>
            <w:tcW w:type="dxa" w:w="312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Modality agnosticism</w:t>
            </w:r>
          </w:p>
        </w:tc>
        <w:tc>
          <w:tcPr>
            <w:tcW w:type="dxa" w:w="624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The schema accommodates small molecules, peptides, antibodies, antisense, siRNA, mRNA, AAV gene therapy, LNP gene therapy, and cell therapy through conditional fields and a modality enum</w:t>
            </w:r>
          </w:p>
        </w:tc>
      </w:tr>
      <w:tr>
        <w:tc>
          <w:tcPr>
            <w:tcW w:type="dxa" w:w="312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Minimum information compliance</w:t>
            </w:r>
          </w:p>
        </w:tc>
        <w:tc>
          <w:tcPr>
            <w:tcW w:type="dxa" w:w="624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Every field is classified as REQUIRED, RECOMMENDED, or OPTIONAL, following the MIAME/MI-CLAIM precedent</w:t>
            </w:r>
          </w:p>
        </w:tc>
      </w:tr>
      <w:tr>
        <w:tc>
          <w:tcPr>
            <w:tcW w:type="dxa" w:w="312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Machine readability</w:t>
            </w:r>
          </w:p>
        </w:tc>
        <w:tc>
          <w:tcPr>
            <w:tcW w:type="dxa" w:w="624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The schema is expressed in YAML with enumerated value sets, enabling automated validation and comparison</w:t>
            </w:r>
          </w:p>
        </w:tc>
      </w:tr>
      <w:tr>
        <w:tc>
          <w:tcPr>
            <w:tcW w:type="dxa" w:w="312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Decision orientation</w:t>
            </w:r>
          </w:p>
        </w:tc>
        <w:tc>
          <w:tcPr>
            <w:tcW w:type="dxa" w:w="624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The schema culminates in an advancement logic field group that captures the go/no-go decision</w:t>
            </w:r>
          </w:p>
        </w:tc>
      </w:tr>
      <w:tr>
        <w:tc>
          <w:tcPr>
            <w:tcW w:type="dxa" w:w="312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Evidence awareness</w:t>
            </w:r>
          </w:p>
        </w:tc>
        <w:tc>
          <w:tcPr>
            <w:tcW w:type="dxa" w:w="624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The schema includes an explicit evidence gaps field group that documents uncertainty and missing data</w:t>
            </w:r>
          </w:p>
        </w:tc>
      </w:tr>
    </w:tbl>
    <w:p>
      <w:pPr>
        <w:spacing w:after="120" w:line="240"/>
      </w:pPr>
    </w:p>
    <w:p>
      <w:pPr>
        <w:pStyle w:val="Heading2"/>
        <w:spacing w:after="120" w:line="480"/>
      </w:pPr>
      <w:r>
        <w:rPr>
          <w:rFonts w:ascii="Times New Roman" w:cs="Times New Roman" w:eastAsia="Times New Roman" w:hAnsi="Times New Roman"/>
          <w:sz w:val="24"/>
          <w:szCs w:val="24"/>
        </w:rPr>
        <w:t xml:space="preserve">3.3 Nine Field Groups</w:t>
      </w:r>
    </w:p>
    <w:p>
      <w:pPr>
        <w:spacing w:after="120" w:line="480"/>
      </w:pPr>
      <w:r>
        <w:rPr>
          <w:rFonts w:ascii="Times New Roman" w:cs="Times New Roman" w:eastAsia="Times New Roman" w:hAnsi="Times New Roman"/>
          <w:sz w:val="24"/>
          <w:szCs w:val="24"/>
        </w:rPr>
        <w:t xml:space="preserve">The TCDR schema comprises nine field groups, each addressing a distinct dimension of therapeutic candidate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560"/>
        <w:gridCol w:w="1200"/>
      </w:tblGrid>
      <w:tr>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Field Group</w:t>
            </w:r>
          </w:p>
        </w:tc>
        <w:tc>
          <w:tcPr>
            <w:tcW w:type="dxa" w:w="2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Name</w:t>
            </w:r>
          </w:p>
        </w:tc>
        <w:tc>
          <w:tcPr>
            <w:tcW w:type="dxa" w:w="45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Purpose</w:t>
            </w:r>
          </w:p>
        </w:tc>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Count</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1</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Candidate Identity</w:t>
            </w:r>
          </w:p>
        </w:tc>
        <w:tc>
          <w:tcPr>
            <w:tcW w:type="dxa" w:w="4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Unique identification, modality classification, versioning</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7</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2</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Biological Mechanism</w:t>
            </w:r>
          </w:p>
        </w:tc>
        <w:tc>
          <w:tcPr>
            <w:tcW w:type="dxa" w:w="4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Target, mechanism of action, evidence type and references</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6</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3</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Disease and Tissue Context</w:t>
            </w:r>
          </w:p>
        </w:tc>
        <w:tc>
          <w:tcPr>
            <w:tcW w:type="dxa" w:w="4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Indication, ontology identifiers, tissue and cell targets</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7</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4</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Modality Details</w:t>
            </w:r>
          </w:p>
        </w:tc>
        <w:tc>
          <w:tcPr>
            <w:tcW w:type="dxa" w:w="4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Vector, capsid, delivery route, targeting strategy</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5</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5</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Delivery and Biodistribution</w:t>
            </w:r>
          </w:p>
        </w:tc>
        <w:tc>
          <w:tcPr>
            <w:tcW w:type="dxa" w:w="4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Tissue penetration, BBB, mitochondrial targeting, dose</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5</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6</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Manufacturability</w:t>
            </w:r>
          </w:p>
        </w:tc>
        <w:tc>
          <w:tcPr>
            <w:tcW w:type="dxa" w:w="4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SA score, platform, COGS, scalability, CMC readiness</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5</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7</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Safety</w:t>
            </w:r>
          </w:p>
        </w:tc>
        <w:tc>
          <w:tcPr>
            <w:tcW w:type="dxa" w:w="4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Off-targets, hepatotoxicity, cardiotoxicity, immunogenicity</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5</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8</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Evidence Gaps</w:t>
            </w:r>
          </w:p>
        </w:tc>
        <w:tc>
          <w:tcPr>
            <w:tcW w:type="dxa" w:w="4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Missing data, uncertainty, confidence level, needed experiments</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4</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9</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Advancement Logic</w:t>
            </w:r>
          </w:p>
        </w:tc>
        <w:tc>
          <w:tcPr>
            <w:tcW w:type="dxa" w:w="4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Recommendation, rationale, stage gate, date, reviewer</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5</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Metadata</w:t>
            </w:r>
          </w:p>
        </w:tc>
        <w:tc>
          <w:tcPr>
            <w:tcW w:type="dxa" w:w="4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Schema version, platform source, audit trail</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4</w:t>
            </w:r>
          </w:p>
        </w:tc>
      </w:tr>
    </w:tbl>
    <w:p>
      <w:pPr>
        <w:spacing w:after="120" w:line="240"/>
      </w:pPr>
    </w:p>
    <w:p>
      <w:pPr>
        <w:spacing w:after="120" w:line="480"/>
      </w:pPr>
      <w:r>
        <w:rPr>
          <w:rFonts w:ascii="Times New Roman" w:cs="Times New Roman" w:eastAsia="Times New Roman" w:hAnsi="Times New Roman"/>
          <w:b/>
          <w:bCs/>
          <w:sz w:val="24"/>
          <w:szCs w:val="24"/>
        </w:rPr>
        <w:t xml:space="preserve">Total: </w:t>
      </w:r>
      <w:r>
        <w:rPr>
          <w:rFonts w:ascii="Times New Roman" w:cs="Times New Roman" w:eastAsia="Times New Roman" w:hAnsi="Times New Roman"/>
          <w:sz w:val="24"/>
          <w:szCs w:val="24"/>
        </w:rPr>
        <w:t xml:space="preserve">58 fields across 9 field groups plus metadata.</w:t>
      </w:r>
    </w:p>
    <w:p>
      <w:pPr>
        <w:spacing w:after="120" w:line="240"/>
      </w:pPr>
    </w:p>
    <w:p>
      <w:pPr>
        <w:spacing w:after="120" w:line="240"/>
        <w:jc w:val="center"/>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143375"/>
                    </a:xfrm>
                    <a:prstGeom prst="rect">
                      <a:avLst/>
                    </a:prstGeom>
                  </pic:spPr>
                </pic:pic>
              </a:graphicData>
            </a:graphic>
          </wp:inline>
        </w:drawing>
      </w:r>
    </w:p>
    <w:p>
      <w:pPr>
        <w:spacing w:after="240" w:line="300"/>
        <w:jc w:val="left"/>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sz w:val="22"/>
          <w:szCs w:val="22"/>
        </w:rPr>
        <w:t xml:space="preserve">TCDR schema architecture. The nine field groups are organized in a translational evaluation flow from candidate identity (FG1) through biological mechanism, disease context, and modality characterization (FG2-FG4), translational assessment (FG5-FG7), and governance (FG8-FG9). Evidence gaps (FG8) inform advancement logic (FG9) through a multi-criteria decision analysis rubric. Conditional fields activate by modality (e.g., capsid_serotype for AAV gene therapy). TCDR-MI classifies fields as REQUIRED (28), RECOMMENDED (18), or OPTIONAL (12).</w:t>
      </w:r>
    </w:p>
    <w:p>
      <w:pPr>
        <w:spacing w:after="120" w:line="240"/>
      </w:pPr>
    </w:p>
    <w:p>
      <w:pPr>
        <w:pStyle w:val="Heading2"/>
        <w:spacing w:after="120" w:line="480"/>
      </w:pPr>
      <w:r>
        <w:rPr>
          <w:rFonts w:ascii="Times New Roman" w:cs="Times New Roman" w:eastAsia="Times New Roman" w:hAnsi="Times New Roman"/>
          <w:sz w:val="24"/>
          <w:szCs w:val="24"/>
        </w:rPr>
        <w:t xml:space="preserve">3.4 Candidate Identity and Modality</w:t>
      </w:r>
    </w:p>
    <w:p>
      <w:pPr>
        <w:spacing w:after="120" w:line="480"/>
      </w:pPr>
      <w:r>
        <w:rPr>
          <w:rFonts w:ascii="Times New Roman" w:cs="Times New Roman" w:eastAsia="Times New Roman" w:hAnsi="Times New Roman"/>
          <w:sz w:val="24"/>
          <w:szCs w:val="24"/>
        </w:rPr>
        <w:t xml:space="preserve">Field Group 1 establishes the identity of the therapeutic candidate through a globally unique identifier (tcdr_id), human-readable name, structural representation (canonical_smiles for small molecules, sequence for biologics), modality enum, version, and creation date. The modality enum is a closed set of ten values that classifies the candidate into a therapeutic modality class. This classification determines which downstream fields are conditionally required. For example, capsid_serotype is required only when the modality is aav_gene_therapy, while synthetic_accessibility_score is required only for small molecules.</w:t>
      </w:r>
    </w:p>
    <w:p>
      <w:pPr>
        <w:pStyle w:val="Heading2"/>
        <w:spacing w:after="120" w:line="480"/>
      </w:pPr>
      <w:r>
        <w:rPr>
          <w:rFonts w:ascii="Times New Roman" w:cs="Times New Roman" w:eastAsia="Times New Roman" w:hAnsi="Times New Roman"/>
          <w:sz w:val="24"/>
          <w:szCs w:val="24"/>
        </w:rPr>
        <w:t xml:space="preserve">3.5 Biological Mechanism and Evidence</w:t>
      </w:r>
    </w:p>
    <w:p>
      <w:pPr>
        <w:spacing w:after="120" w:line="480"/>
      </w:pPr>
      <w:r>
        <w:rPr>
          <w:rFonts w:ascii="Times New Roman" w:cs="Times New Roman" w:eastAsia="Times New Roman" w:hAnsi="Times New Roman"/>
          <w:sz w:val="24"/>
          <w:szCs w:val="24"/>
        </w:rPr>
        <w:t xml:space="preserve">Field Group 2 requires specification of the target gene (using HGNC nomenclature), target protein, UniProt accession, mechanism of action, evidence type (computational, in_vitro, in_vivo, or clinical), and evidence references as a list of DOIs. The evidence_type enum enforces an explicit distinction between computational prediction and experimental validation, which is critical for calibrating confidence in the advancement decision.</w:t>
      </w:r>
    </w:p>
    <w:p>
      <w:pPr>
        <w:pStyle w:val="Heading2"/>
        <w:spacing w:after="120" w:line="480"/>
      </w:pPr>
      <w:r>
        <w:rPr>
          <w:rFonts w:ascii="Times New Roman" w:cs="Times New Roman" w:eastAsia="Times New Roman" w:hAnsi="Times New Roman"/>
          <w:sz w:val="24"/>
          <w:szCs w:val="24"/>
        </w:rPr>
        <w:t xml:space="preserve">3.6 Disease Context and Tissue Specificity</w:t>
      </w:r>
    </w:p>
    <w:p>
      <w:pPr>
        <w:spacing w:after="120" w:line="480"/>
      </w:pPr>
      <w:r>
        <w:rPr>
          <w:rFonts w:ascii="Times New Roman" w:cs="Times New Roman" w:eastAsia="Times New Roman" w:hAnsi="Times New Roman"/>
          <w:sz w:val="24"/>
          <w:szCs w:val="24"/>
        </w:rPr>
        <w:t xml:space="preserve">Field Group 3 links the candidate to its disease indication through standard ontology identifiers (Orphanet for rare diseases, OMIM for genetic diseases) and specifies tissue targets and cell types. The patient_population_estimate field addresses the commercial feasibility question that is often absent from purely computational evaluations.</w:t>
      </w:r>
    </w:p>
    <w:p>
      <w:pPr>
        <w:pStyle w:val="Heading2"/>
        <w:spacing w:after="120" w:line="480"/>
      </w:pPr>
      <w:r>
        <w:rPr>
          <w:rFonts w:ascii="Times New Roman" w:cs="Times New Roman" w:eastAsia="Times New Roman" w:hAnsi="Times New Roman"/>
          <w:sz w:val="24"/>
          <w:szCs w:val="24"/>
        </w:rPr>
        <w:t xml:space="preserve">3.7 Delivery, Safety, and Manufacturability</w:t>
      </w:r>
    </w:p>
    <w:p>
      <w:pPr>
        <w:spacing w:after="120" w:line="480"/>
      </w:pPr>
      <w:r>
        <w:rPr>
          <w:rFonts w:ascii="Times New Roman" w:cs="Times New Roman" w:eastAsia="Times New Roman" w:hAnsi="Times New Roman"/>
          <w:sz w:val="24"/>
          <w:szCs w:val="24"/>
        </w:rPr>
        <w:t xml:space="preserve">Field Groups 4 through 7 capture the translational attributes that are most frequently missing from computational outputs. Delivery route and organ targeting strategy (Group 4) determine biodistribution. Blood-brain barrier permeability and subcellular localization (Group 5) determine whether the candidate reaches its intended site of action. Manufacturability assessment (Group 6) includes both small-molecule-specific fields (synthetic accessibility) and biologic-specific fields (manufacturing platform, CMC readiness). Safety assessment (Group 7) requires enumeration of predicted off-targets and explicit boolean flags for hepatotoxicity and cardiotoxicity, the two most common causes of drug attrition.</w:t>
      </w:r>
    </w:p>
    <w:p>
      <w:pPr>
        <w:pStyle w:val="Heading2"/>
        <w:spacing w:after="120" w:line="480"/>
      </w:pPr>
      <w:r>
        <w:rPr>
          <w:rFonts w:ascii="Times New Roman" w:cs="Times New Roman" w:eastAsia="Times New Roman" w:hAnsi="Times New Roman"/>
          <w:sz w:val="24"/>
          <w:szCs w:val="24"/>
        </w:rPr>
        <w:t xml:space="preserve">3.8 Evidence Gaps and Advancement Logic</w:t>
      </w:r>
    </w:p>
    <w:p>
      <w:pPr>
        <w:spacing w:after="120" w:line="480"/>
      </w:pPr>
      <w:r>
        <w:rPr>
          <w:rFonts w:ascii="Times New Roman" w:cs="Times New Roman" w:eastAsia="Times New Roman" w:hAnsi="Times New Roman"/>
          <w:sz w:val="24"/>
          <w:szCs w:val="24"/>
        </w:rPr>
        <w:t xml:space="preserve">Field Groups 8 and 9 are the distinguishing architectural elements of the TCDR. Evidence Gaps (Group 8) requires explicit documentation of missing data, uncertainty sources, calibrated confidence level, and prioritized experiments needed. This transforms the therapeutic candidate from a static property prediction into an active knowledge object that knows what it does not know.</w:t>
      </w:r>
    </w:p>
    <w:p>
      <w:pPr>
        <w:spacing w:after="120" w:line="480"/>
      </w:pPr>
      <w:r>
        <w:rPr>
          <w:rFonts w:ascii="Times New Roman" w:cs="Times New Roman" w:eastAsia="Times New Roman" w:hAnsi="Times New Roman"/>
          <w:sz w:val="24"/>
          <w:szCs w:val="24"/>
        </w:rPr>
        <w:t xml:space="preserve">Advancement Logic (Group 9) captures the culminating decision: advance, revise, hold, or terminate. This decision is accompanied by a free-text rationale, a stage gate reference, a decision date, and a reviewer identifier. This field group makes the TCDR not just a representation but a decision record in the formal sense, an auditable artifact that documents who decided what, when, and why.</w:t>
      </w:r>
    </w:p>
    <w:p>
      <w:pPr>
        <w:pStyle w:val="Heading1"/>
        <w:spacing w:after="120" w:line="480"/>
      </w:pPr>
      <w:r>
        <w:rPr>
          <w:rFonts w:ascii="Times New Roman" w:cs="Times New Roman" w:eastAsia="Times New Roman" w:hAnsi="Times New Roman"/>
          <w:sz w:val="24"/>
          <w:szCs w:val="24"/>
        </w:rPr>
        <w:t xml:space="preserve">4. TCDR-MI: Minimum Information Checklist</w:t>
      </w:r>
    </w:p>
    <w:p>
      <w:pPr>
        <w:pStyle w:val="Heading2"/>
        <w:spacing w:after="120" w:line="480"/>
      </w:pPr>
      <w:r>
        <w:rPr>
          <w:rFonts w:ascii="Times New Roman" w:cs="Times New Roman" w:eastAsia="Times New Roman" w:hAnsi="Times New Roman"/>
          <w:sz w:val="24"/>
          <w:szCs w:val="24"/>
        </w:rPr>
        <w:t xml:space="preserve">4.1 Design Rationale</w:t>
      </w:r>
    </w:p>
    <w:p>
      <w:pPr>
        <w:spacing w:after="120" w:line="480"/>
      </w:pPr>
      <w:r>
        <w:rPr>
          <w:rFonts w:ascii="Times New Roman" w:cs="Times New Roman" w:eastAsia="Times New Roman" w:hAnsi="Times New Roman"/>
          <w:sz w:val="24"/>
          <w:szCs w:val="24"/>
        </w:rPr>
        <w:t xml:space="preserve">The TCDR-MI checklist follows the three-tier classification established by MIAME: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MI Level</w:t>
            </w:r>
          </w:p>
        </w:tc>
        <w:tc>
          <w:tcPr>
            <w:tcW w:type="dxa" w:w="53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Criterion</w:t>
            </w:r>
          </w:p>
        </w:tc>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TCDR-MI Count</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REQUIRED</w:t>
            </w:r>
          </w:p>
        </w:tc>
        <w:tc>
          <w:tcPr>
            <w:tcW w:type="dxa" w:w="53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Fields without which a TCDR is incomplete and cannot be evaluated</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28</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RECOMMENDED</w:t>
            </w:r>
          </w:p>
        </w:tc>
        <w:tc>
          <w:tcPr>
            <w:tcW w:type="dxa" w:w="53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Fields that substantially improve interpretability</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18</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OPTIONAL</w:t>
            </w:r>
          </w:p>
        </w:tc>
        <w:tc>
          <w:tcPr>
            <w:tcW w:type="dxa" w:w="53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Fields relevant to specific modalities or contexts</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12</w:t>
            </w:r>
          </w:p>
        </w:tc>
      </w:tr>
    </w:tbl>
    <w:p>
      <w:pPr>
        <w:spacing w:after="120" w:line="240"/>
      </w:pPr>
    </w:p>
    <w:p>
      <w:pPr>
        <w:pStyle w:val="Heading2"/>
        <w:spacing w:after="120" w:line="480"/>
      </w:pPr>
      <w:r>
        <w:rPr>
          <w:rFonts w:ascii="Times New Roman" w:cs="Times New Roman" w:eastAsia="Times New Roman" w:hAnsi="Times New Roman"/>
          <w:sz w:val="24"/>
          <w:szCs w:val="24"/>
        </w:rPr>
        <w:t xml:space="preserve">4.2 Classification Principles and Process</w:t>
      </w:r>
    </w:p>
    <w:p>
      <w:pPr>
        <w:spacing w:after="120" w:line="480"/>
      </w:pPr>
      <w:r>
        <w:rPr>
          <w:rFonts w:ascii="Times New Roman" w:cs="Times New Roman" w:eastAsia="Times New Roman" w:hAnsi="Times New Roman"/>
          <w:sz w:val="24"/>
          <w:szCs w:val="24"/>
        </w:rPr>
        <w:t xml:space="preserve">The classification of fields into REQUIRED, RECOMMENDED, and OPTIONAL follows three principles. First, any field that is necessary for a third party to independently evaluate the therapeutic candidate is REQUIRED. Second, any field that improves interpretability but may not be available at all development stages is RECOMMENDED. Third, any field that is modality-specific or context-dependent is OPTIONAL.</w:t>
      </w:r>
    </w:p>
    <w:p>
      <w:pPr>
        <w:spacing w:after="120" w:line="480"/>
      </w:pPr>
      <w:r>
        <w:rPr>
          <w:rFonts w:ascii="Times New Roman" w:cs="Times New Roman" w:eastAsia="Times New Roman" w:hAnsi="Times New Roman"/>
          <w:sz w:val="24"/>
          <w:szCs w:val="24"/>
        </w:rPr>
        <w:t xml:space="preserve">The classification process was conducted as follows. Each of the 58 fields was evaluated against two reference criteria: (a) whether the field is analogous to a REQUIRED field in MIAME, MIQE, or MI-CLAIM for their respective object types, and (b) whether omission of the field would prevent a third-party reviewer from forming an independent assessment of the candidate. Fields meeting both criteria were classified as REQUIRED. Fields meeting criterion (b) only under specific modality or development-stage conditions were classified as RECOMMENDED. Fields that are informative but whose absence does not impair independent evaluation were classified as OPTIONAL. A supplementary table providing the individual classification rationale for each of the 58 fields is available in the supplementary materials.</w:t>
      </w:r>
    </w:p>
    <w:p>
      <w:pPr>
        <w:spacing w:after="120" w:line="480"/>
      </w:pPr>
      <w:r>
        <w:rPr>
          <w:rFonts w:ascii="Times New Roman" w:cs="Times New Roman" w:eastAsia="Times New Roman" w:hAnsi="Times New Roman"/>
          <w:sz w:val="24"/>
          <w:szCs w:val="24"/>
        </w:rPr>
        <w:t xml:space="preserve">Several classification decisions merit specific comment. The hepatotoxicity_flag and cardiotoxicity_flag are both REQUIRED rather than RECOMMENDED because hepatotoxicity and cardiotoxicity are the two leading causes of drug attrition across all modalities. Requiring explicit assessment (even if the answer is "false" or "unknown") forces early consideration of these liabilities. Similarly, the missing_data and uncertainty_sources fields in the Evidence Gaps group are REQUIRED because their absence would undermine the governance function of the TCDR.</w:t>
      </w:r>
    </w:p>
    <w:p>
      <w:pPr>
        <w:spacing w:after="120" w:line="480"/>
      </w:pPr>
      <w:r>
        <w:rPr>
          <w:rFonts w:ascii="Times New Roman" w:cs="Times New Roman" w:eastAsia="Times New Roman" w:hAnsi="Times New Roman"/>
          <w:sz w:val="24"/>
          <w:szCs w:val="24"/>
        </w:rPr>
        <w:t xml:space="preserve">This classification was performed by a single author and is presented as a version 1.0 proposal. The MIQE standard used expert consensus panels, and MI-CLAIM used a multi-author working group for their respective classifications. TCDR-MI v2.0 will incorporate structured expert review through a targeted Delphi process involving domain experts from computational biology, pharmaceutical development, gene therapy, and regulatory science (see Section 8.5 for the planned validation timeline).</w:t>
      </w:r>
    </w:p>
    <w:p>
      <w:pPr>
        <w:pStyle w:val="Heading2"/>
        <w:spacing w:after="120" w:line="480"/>
      </w:pPr>
      <w:r>
        <w:rPr>
          <w:rFonts w:ascii="Times New Roman" w:cs="Times New Roman" w:eastAsia="Times New Roman" w:hAnsi="Times New Roman"/>
          <w:sz w:val="24"/>
          <w:szCs w:val="24"/>
        </w:rPr>
        <w:t xml:space="preserve">4.3 Comparison with Existing MI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3560"/>
      </w:tblGrid>
      <w:tr>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Standard</w:t>
            </w:r>
          </w:p>
        </w:tc>
        <w:tc>
          <w:tcPr>
            <w:tcW w:type="dxa" w:w="2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Object Addressed</w:t>
            </w:r>
          </w:p>
        </w:tc>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Fields</w:t>
            </w:r>
          </w:p>
        </w:tc>
        <w:tc>
          <w:tcPr>
            <w:tcW w:type="dxa" w:w="35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Adoption Mechanism</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MIAME</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Microarray experiment</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~30</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Journal mandate, repository requirement</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MIQE</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qPCR experiment</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85</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Journal endorsement</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MI-CLAIM</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Clinical AI model</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15</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Community adoption</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TCDR-MI</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Therapeutic candidate</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58</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Open schema, platform integration, preprint availability</w:t>
            </w:r>
          </w:p>
        </w:tc>
      </w:tr>
    </w:tbl>
    <w:p>
      <w:pPr>
        <w:spacing w:after="120" w:line="240"/>
      </w:pPr>
    </w:p>
    <w:p>
      <w:pPr>
        <w:spacing w:after="120" w:line="480"/>
      </w:pPr>
      <w:r>
        <w:rPr>
          <w:rFonts w:ascii="Times New Roman" w:cs="Times New Roman" w:eastAsia="Times New Roman" w:hAnsi="Times New Roman"/>
          <w:sz w:val="24"/>
          <w:szCs w:val="24"/>
        </w:rPr>
        <w:t xml:space="preserve">TCDR-MI is larger than MI-CLAIM (58 vs. 15 fields) because the therapeutic candidate is a more complex object than an AI model. A model has inputs, architecture, training data, and performance metrics. A therapeutic candidate has all of the above (when computationally derived) plus biological mechanism, disease context, delivery, manufacturing, safety, and advancement logic. The field count reflects this inherent complexity rather than specification inflation.</w:t>
      </w:r>
    </w:p>
    <w:p>
      <w:pPr>
        <w:pStyle w:val="Heading1"/>
        <w:spacing w:after="120" w:line="480"/>
      </w:pPr>
      <w:r>
        <w:rPr>
          <w:rFonts w:ascii="Times New Roman" w:cs="Times New Roman" w:eastAsia="Times New Roman" w:hAnsi="Times New Roman"/>
          <w:sz w:val="24"/>
          <w:szCs w:val="24"/>
        </w:rPr>
        <w:t xml:space="preserve">5. Reference Cases: Complex I Deficiency</w:t>
      </w:r>
    </w:p>
    <w:p>
      <w:pPr>
        <w:pStyle w:val="Heading2"/>
        <w:spacing w:after="120" w:line="480"/>
      </w:pPr>
      <w:r>
        <w:rPr>
          <w:rFonts w:ascii="Times New Roman" w:cs="Times New Roman" w:eastAsia="Times New Roman" w:hAnsi="Times New Roman"/>
          <w:sz w:val="24"/>
          <w:szCs w:val="24"/>
        </w:rPr>
        <w:t xml:space="preserve">5.1 Disease Context</w:t>
      </w:r>
    </w:p>
    <w:p>
      <w:pPr>
        <w:spacing w:after="120" w:line="480"/>
      </w:pPr>
      <w:r>
        <w:rPr>
          <w:rFonts w:ascii="Times New Roman" w:cs="Times New Roman" w:eastAsia="Times New Roman" w:hAnsi="Times New Roman"/>
          <w:sz w:val="24"/>
          <w:szCs w:val="24"/>
        </w:rPr>
        <w:t xml:space="preserve">Mitochondrial Complex I deficiency is the most common biochemical defect of the mitochondrial respiratory chain, with an estimated incidence of 1 in 10,000 to 1 in 20,000 live births (Orphanet ORPHA:2609; OMIM 252010). Mutations in the nuclear gene NDUFS1 (encoding the 75 kDa subunit of Complex I, UniProt P28331) are among the most frequent causes of isolated Complex I deficiency (Pagniez-Mammeri et al., 2011; DOI: 10.1016/j.ymgme.2011.11.188). NDUFS1 is a core catalytic subunit essential for electron transfer from NADH to ubiquinone (Bénit et al., 2001; DOI: 10.1086/320603).</w:t>
      </w:r>
    </w:p>
    <w:p>
      <w:pPr>
        <w:spacing w:after="120" w:line="480"/>
      </w:pPr>
      <w:r>
        <w:rPr>
          <w:rFonts w:ascii="Times New Roman" w:cs="Times New Roman" w:eastAsia="Times New Roman" w:hAnsi="Times New Roman"/>
          <w:sz w:val="24"/>
          <w:szCs w:val="24"/>
        </w:rPr>
        <w:t xml:space="preserve">Clinical manifestations include Leigh syndrome, hypertrophic cardiomyopathy, lactic acidosis, and progressive neurodegeneration (Men et al., 2022; DOI: 10.1097/MD.0000000000030303). Cardiac involvement is particularly relevant for the reference cases because cardiomyocytes have the highest mitochondrial density of any human cell type, making them acutely vulnerable to Complex I dysfunction.</w:t>
      </w:r>
    </w:p>
    <w:p>
      <w:pPr>
        <w:spacing w:after="120" w:line="480"/>
      </w:pPr>
      <w:r>
        <w:rPr>
          <w:rFonts w:ascii="Times New Roman" w:cs="Times New Roman" w:eastAsia="Times New Roman" w:hAnsi="Times New Roman"/>
          <w:sz w:val="24"/>
          <w:szCs w:val="24"/>
        </w:rPr>
        <w:t xml:space="preserve">High-resolution cryo-EM structures of human Complex I (PDB: 5XTD) and mutant Complex I lacking NDUFS4 (PDB: 6RFS; Agip et al., 2019; DOI: 10.1126/sciadv.aax9484) provide structural context for target validation. The NDUFS1 subunit contains one [2Fe-2S] cluster and two [4Fe-4S] clusters that are essential for electron transfer from NADH to ubiquinone. Mutations in NDUFS1 can disrupt iron-sulfur cluster coordination, impair electron transfer efficiency, increase reactive oxygen species (ROS) generation, and destabilize the assembly of the entire 45-subunit Complex I holoenzyme.</w:t>
      </w:r>
    </w:p>
    <w:p>
      <w:pPr>
        <w:spacing w:after="120" w:line="480"/>
      </w:pPr>
      <w:r>
        <w:rPr>
          <w:rFonts w:ascii="Times New Roman" w:cs="Times New Roman" w:eastAsia="Times New Roman" w:hAnsi="Times New Roman"/>
          <w:sz w:val="24"/>
          <w:szCs w:val="24"/>
        </w:rPr>
        <w:t xml:space="preserve">Drosophila models of NDUFS1 knockdown have demonstrated that Complex I deficiency causes locomotor defects, seizures, mitochondrial morphology changes, and activation of the endoplasmic reticulum unfolded protein response (Granat et al., 2023; DOI: 10.1371/journal.pgen.1010793). A particularly important finding from these models is that metabolic disruption, rather than ATP depletion per se, drives the pathological phenotype: expression of yeast NDI1 (which restores NADH oxidation without restoring proton pumping) rescues the behavioral and lifespan phenotypes. A subsequent study modeled phenotypic heterogeneity using different knockdown efficiencies (Granat et al., 2024; DOI: 10.1242/bio.060278), identifying 2-hydroxyglutarate as a candidate biomarker of severe neurological mitochondrial disease.</w:t>
      </w:r>
    </w:p>
    <w:p>
      <w:pPr>
        <w:pStyle w:val="Heading2"/>
        <w:spacing w:after="120" w:line="480"/>
      </w:pPr>
      <w:r>
        <w:rPr>
          <w:rFonts w:ascii="Times New Roman" w:cs="Times New Roman" w:eastAsia="Times New Roman" w:hAnsi="Times New Roman"/>
          <w:sz w:val="24"/>
          <w:szCs w:val="24"/>
        </w:rPr>
        <w:t xml:space="preserve">5.2 Reference Case A: Small-Molecule Candidate (Idebenone)</w:t>
      </w:r>
    </w:p>
    <w:p>
      <w:pPr>
        <w:spacing w:after="120" w:line="480"/>
      </w:pPr>
      <w:r>
        <w:rPr>
          <w:rFonts w:ascii="Times New Roman" w:cs="Times New Roman" w:eastAsia="Times New Roman" w:hAnsi="Times New Roman"/>
          <w:sz w:val="24"/>
          <w:szCs w:val="24"/>
        </w:rPr>
        <w:t xml:space="preserve">The first reference case uses idebenone, a synthetic short-chain benzoquinone and coenzyme Q10 analogue, as the therapeutic candidate. Idebenone was selected because: (1) it has a publicly available chemical structure and established pharmacological profile, (2) it is approved for clinical use in Leber hereditary optic neuropathy (LHON), a related Complex I disorder, (3) its mechanism involves electron transfer bypass of defective Complex I, directly relevant to NDUFS1 deficiency, and (4) it illustrates the TCDR capacity to capture evidence gaps and nuanced advancement logic.</w:t>
      </w:r>
    </w:p>
    <w:p>
      <w:pPr>
        <w:pStyle w:val="Heading2"/>
        <w:spacing w:after="120" w:line="480"/>
      </w:pPr>
      <w:r>
        <w:rPr>
          <w:rFonts w:ascii="Times New Roman" w:cs="Times New Roman" w:eastAsia="Times New Roman" w:hAnsi="Times New Roman"/>
          <w:sz w:val="24"/>
          <w:szCs w:val="24"/>
        </w:rPr>
        <w:t xml:space="preserve">5.3 Walkthrough of Field Groups (Reference Case A)</w:t>
      </w:r>
    </w:p>
    <w:p>
      <w:pPr>
        <w:spacing w:after="120" w:line="480"/>
      </w:pPr>
      <w:r>
        <w:rPr>
          <w:rFonts w:ascii="Times New Roman" w:cs="Times New Roman" w:eastAsia="Times New Roman" w:hAnsi="Times New Roman"/>
          <w:b/>
          <w:bCs/>
          <w:sz w:val="24"/>
          <w:szCs w:val="24"/>
        </w:rPr>
        <w:t xml:space="preserve">Candidate Identity (Group 1): </w:t>
      </w:r>
      <w:r>
        <w:rPr>
          <w:rFonts w:ascii="Times New Roman" w:cs="Times New Roman" w:eastAsia="Times New Roman" w:hAnsi="Times New Roman"/>
          <w:sz w:val="24"/>
          <w:szCs w:val="24"/>
        </w:rPr>
        <w:t xml:space="preserve">The record identifies idebenone with its canonical SMILES, classifies it as a small molecule, and assigns version 1.0.0.</w:t>
      </w:r>
    </w:p>
    <w:p>
      <w:pPr>
        <w:spacing w:after="120" w:line="480"/>
      </w:pPr>
      <w:r>
        <w:rPr>
          <w:rFonts w:ascii="Times New Roman" w:cs="Times New Roman" w:eastAsia="Times New Roman" w:hAnsi="Times New Roman"/>
          <w:b/>
          <w:bCs/>
          <w:sz w:val="24"/>
          <w:szCs w:val="24"/>
        </w:rPr>
        <w:t xml:space="preserve">Biological Mechanism (Group 2): </w:t>
      </w:r>
      <w:r>
        <w:rPr>
          <w:rFonts w:ascii="Times New Roman" w:cs="Times New Roman" w:eastAsia="Times New Roman" w:hAnsi="Times New Roman"/>
          <w:sz w:val="24"/>
          <w:szCs w:val="24"/>
        </w:rPr>
        <w:t xml:space="preserve">The target is NDUFS1 (UniProt P28331). The mechanism of action describes idebenone's electron bypass function: it accepts electrons from cytoplasmic NADH via NQO1 and transfers them to Complex III, partially restoring electron transport in cells with impaired Complex I. The evidence type is classified as clinical based on the approved use in LHON.</w:t>
      </w:r>
    </w:p>
    <w:p>
      <w:pPr>
        <w:spacing w:after="120" w:line="480"/>
      </w:pPr>
      <w:r>
        <w:rPr>
          <w:rFonts w:ascii="Times New Roman" w:cs="Times New Roman" w:eastAsia="Times New Roman" w:hAnsi="Times New Roman"/>
          <w:b/>
          <w:bCs/>
          <w:sz w:val="24"/>
          <w:szCs w:val="24"/>
        </w:rPr>
        <w:t xml:space="preserve">Disease and Tissue Context (Group 3): </w:t>
      </w:r>
      <w:r>
        <w:rPr>
          <w:rFonts w:ascii="Times New Roman" w:cs="Times New Roman" w:eastAsia="Times New Roman" w:hAnsi="Times New Roman"/>
          <w:sz w:val="24"/>
          <w:szCs w:val="24"/>
        </w:rPr>
        <w:t xml:space="preserve">The disease is mapped to both Orphanet (ORPHA:2609) and OMIM (252010). Tissue targets include cardiac muscle, skeletal muscle, and the central nervous system. Cell types are specified as cardiomyocytes, skeletal myocytes, cortical neurons, and basal ganglia neurons.</w:t>
      </w:r>
    </w:p>
    <w:p>
      <w:pPr>
        <w:spacing w:after="120" w:line="480"/>
      </w:pPr>
      <w:r>
        <w:rPr>
          <w:rFonts w:ascii="Times New Roman" w:cs="Times New Roman" w:eastAsia="Times New Roman" w:hAnsi="Times New Roman"/>
          <w:b/>
          <w:bCs/>
          <w:sz w:val="24"/>
          <w:szCs w:val="24"/>
        </w:rPr>
        <w:t xml:space="preserve">Modality Details (Group 4): </w:t>
      </w:r>
      <w:r>
        <w:rPr>
          <w:rFonts w:ascii="Times New Roman" w:cs="Times New Roman" w:eastAsia="Times New Roman" w:hAnsi="Times New Roman"/>
          <w:sz w:val="24"/>
          <w:szCs w:val="24"/>
        </w:rPr>
        <w:t xml:space="preserve">Delivery route is oral. No active targeting moiety is present; biodistribution is driven by tissue metabolic demand. The vector_type and capsid_serotype fields are null (not applicable for small molecules).</w:t>
      </w:r>
    </w:p>
    <w:p>
      <w:pPr>
        <w:spacing w:after="120" w:line="480"/>
      </w:pPr>
      <w:r>
        <w:rPr>
          <w:rFonts w:ascii="Times New Roman" w:cs="Times New Roman" w:eastAsia="Times New Roman" w:hAnsi="Times New Roman"/>
          <w:b/>
          <w:bCs/>
          <w:sz w:val="24"/>
          <w:szCs w:val="24"/>
        </w:rPr>
        <w:t xml:space="preserve">Delivery and Biodistribution (Group 5): </w:t>
      </w:r>
      <w:r>
        <w:rPr>
          <w:rFonts w:ascii="Times New Roman" w:cs="Times New Roman" w:eastAsia="Times New Roman" w:hAnsi="Times New Roman"/>
          <w:sz w:val="24"/>
          <w:szCs w:val="24"/>
        </w:rPr>
        <w:t xml:space="preserve">Blood-brain barrier penetration is flagged as true based on preclinical data, but with caveats about limited CNS exposure relative to peripheral tissues. Mitochondrial targeting is flagged as true.</w:t>
      </w:r>
    </w:p>
    <w:p>
      <w:pPr>
        <w:spacing w:after="120" w:line="480"/>
      </w:pPr>
      <w:r>
        <w:rPr>
          <w:rFonts w:ascii="Times New Roman" w:cs="Times New Roman" w:eastAsia="Times New Roman" w:hAnsi="Times New Roman"/>
          <w:b/>
          <w:bCs/>
          <w:sz w:val="24"/>
          <w:szCs w:val="24"/>
        </w:rPr>
        <w:t xml:space="preserve">Manufacturability (Group 6): </w:t>
      </w:r>
      <w:r>
        <w:rPr>
          <w:rFonts w:ascii="Times New Roman" w:cs="Times New Roman" w:eastAsia="Times New Roman" w:hAnsi="Times New Roman"/>
          <w:sz w:val="24"/>
          <w:szCs w:val="24"/>
        </w:rPr>
        <w:t xml:space="preserve">The synthetic accessibility score is 2.8 (low complexity). Manufacturing is at commercial scale with validated CMC.</w:t>
      </w:r>
    </w:p>
    <w:p>
      <w:pPr>
        <w:spacing w:after="120" w:line="480"/>
      </w:pPr>
      <w:r>
        <w:rPr>
          <w:rFonts w:ascii="Times New Roman" w:cs="Times New Roman" w:eastAsia="Times New Roman" w:hAnsi="Times New Roman"/>
          <w:b/>
          <w:bCs/>
          <w:sz w:val="24"/>
          <w:szCs w:val="24"/>
        </w:rPr>
        <w:t xml:space="preserve">Safety (Group 7): </w:t>
      </w:r>
      <w:r>
        <w:rPr>
          <w:rFonts w:ascii="Times New Roman" w:cs="Times New Roman" w:eastAsia="Times New Roman" w:hAnsi="Times New Roman"/>
          <w:sz w:val="24"/>
          <w:szCs w:val="24"/>
        </w:rPr>
        <w:t xml:space="preserve">Predicted off-targets include NQO2, Complex II at high concentrations, and CYP3A4 interactions. Hepatotoxicity and cardiotoxicity flags are both false.</w:t>
      </w:r>
    </w:p>
    <w:p>
      <w:pPr>
        <w:spacing w:after="120" w:line="480"/>
      </w:pPr>
      <w:r>
        <w:rPr>
          <w:rFonts w:ascii="Times New Roman" w:cs="Times New Roman" w:eastAsia="Times New Roman" w:hAnsi="Times New Roman"/>
          <w:b/>
          <w:bCs/>
          <w:sz w:val="24"/>
          <w:szCs w:val="24"/>
        </w:rPr>
        <w:t xml:space="preserve">Evidence Gaps (Group 8): </w:t>
      </w:r>
      <w:r>
        <w:rPr>
          <w:rFonts w:ascii="Times New Roman" w:cs="Times New Roman" w:eastAsia="Times New Roman" w:hAnsi="Times New Roman"/>
          <w:sz w:val="24"/>
          <w:szCs w:val="24"/>
        </w:rPr>
        <w:t xml:space="preserve">Four critical gaps are identified: lack of cardiac outcome data in NDUFS1-specific deficiency, absence of dose-response data in cardiomyocytes, no head-to-head comparison with CoQ10, and no patient-derived iPSC functional data. Confidence level is classified as preliminary.</w:t>
      </w:r>
    </w:p>
    <w:p>
      <w:pPr>
        <w:spacing w:after="120" w:line="480"/>
      </w:pPr>
      <w:r>
        <w:rPr>
          <w:rFonts w:ascii="Times New Roman" w:cs="Times New Roman" w:eastAsia="Times New Roman" w:hAnsi="Times New Roman"/>
          <w:b/>
          <w:bCs/>
          <w:sz w:val="24"/>
          <w:szCs w:val="24"/>
        </w:rPr>
        <w:t xml:space="preserve">Advancement Logic (Group 9): </w:t>
      </w:r>
      <w:r>
        <w:rPr>
          <w:rFonts w:ascii="Times New Roman" w:cs="Times New Roman" w:eastAsia="Times New Roman" w:hAnsi="Times New Roman"/>
          <w:sz w:val="24"/>
          <w:szCs w:val="24"/>
        </w:rPr>
        <w:t xml:space="preserve">The recommendation is REVISE (not advance), with the rationale that critical evidence gaps in the specific NDUFS1-cardiomyopathy context prevent advancement to in vivo studies.</w:t>
      </w:r>
    </w:p>
    <w:p>
      <w:pPr>
        <w:pStyle w:val="Heading2"/>
        <w:spacing w:after="120" w:line="480"/>
      </w:pPr>
      <w:r>
        <w:rPr>
          <w:rFonts w:ascii="Times New Roman" w:cs="Times New Roman" w:eastAsia="Times New Roman" w:hAnsi="Times New Roman"/>
          <w:sz w:val="24"/>
          <w:szCs w:val="24"/>
        </w:rPr>
        <w:t xml:space="preserve">5.4 Reference Case A Significance</w:t>
      </w:r>
    </w:p>
    <w:p>
      <w:pPr>
        <w:spacing w:after="120" w:line="480"/>
      </w:pPr>
      <w:r>
        <w:rPr>
          <w:rFonts w:ascii="Times New Roman" w:cs="Times New Roman" w:eastAsia="Times New Roman" w:hAnsi="Times New Roman"/>
          <w:sz w:val="24"/>
          <w:szCs w:val="24"/>
        </w:rPr>
        <w:t xml:space="preserve">The idebenone reference case demonstrates several properties of the TCDR model. First, the REVISE recommendation illustrates that TCDR is not a promotional document; it captures evidence-based caution as readily as enthusiasm. Second, the evidence gaps field group forces explicit confrontation with uncertainty. Third, the complete population of all nine field groups from publicly available data demonstrates feasibility for community adoption without access to proprietary databases.</w:t>
      </w:r>
    </w:p>
    <w:p>
      <w:pPr>
        <w:pStyle w:val="Heading2"/>
        <w:spacing w:after="120" w:line="480"/>
      </w:pPr>
      <w:r>
        <w:rPr>
          <w:rFonts w:ascii="Times New Roman" w:cs="Times New Roman" w:eastAsia="Times New Roman" w:hAnsi="Times New Roman"/>
          <w:sz w:val="24"/>
          <w:szCs w:val="24"/>
        </w:rPr>
        <w:t xml:space="preserve">5.5 Reference Case B: Gene Therapy Candidate (AAV9-hNDUFS1)</w:t>
      </w:r>
    </w:p>
    <w:p>
      <w:pPr>
        <w:spacing w:after="120" w:line="480"/>
      </w:pPr>
      <w:r>
        <w:rPr>
          <w:rFonts w:ascii="Times New Roman" w:cs="Times New Roman" w:eastAsia="Times New Roman" w:hAnsi="Times New Roman"/>
          <w:sz w:val="24"/>
          <w:szCs w:val="24"/>
        </w:rPr>
        <w:t xml:space="preserve">The second reference case demonstrates the TCDR schema operating in gene therapy modality. This case uses a hypothetical AAV9-based gene replacement vector (AAV9-hNDUFS1) targeting the same disease context (NDUFS1 Complex I deficiency) to enable direct comparison of how the schema represents two different modalities for the same indication.</w:t>
      </w:r>
    </w:p>
    <w:p>
      <w:pPr>
        <w:spacing w:after="120" w:line="480"/>
      </w:pPr>
      <w:r>
        <w:rPr>
          <w:rFonts w:ascii="Times New Roman" w:cs="Times New Roman" w:eastAsia="Times New Roman" w:hAnsi="Times New Roman"/>
          <w:sz w:val="24"/>
          <w:szCs w:val="24"/>
        </w:rPr>
        <w:t xml:space="preserve">This reference case activates the modality-specific conditional fields that remain null in the small-molecule case, demonstrating the schema modality-agnostic architecture.</w:t>
      </w:r>
    </w:p>
    <w:p>
      <w:pPr>
        <w:spacing w:after="120" w:line="480"/>
      </w:pPr>
      <w:r>
        <w:rPr>
          <w:rFonts w:ascii="Times New Roman" w:cs="Times New Roman" w:eastAsia="Times New Roman" w:hAnsi="Times New Roman"/>
          <w:b/>
          <w:bCs/>
          <w:sz w:val="24"/>
          <w:szCs w:val="24"/>
        </w:rPr>
        <w:t xml:space="preserve">Candidate Identity (Group 1): </w:t>
      </w:r>
      <w:r>
        <w:rPr>
          <w:rFonts w:ascii="Times New Roman" w:cs="Times New Roman" w:eastAsia="Times New Roman" w:hAnsi="Times New Roman"/>
          <w:sz w:val="24"/>
          <w:szCs w:val="24"/>
        </w:rPr>
        <w:t xml:space="preserve">The record identifies AAV9-hNDUFS1 with the modality enum value aav_gene_therapy, version 1.0.0, and the payload sequence rather than canonical_smiles (which is null for gene therapy candidates).</w:t>
      </w:r>
    </w:p>
    <w:p>
      <w:pPr>
        <w:spacing w:after="120" w:line="480"/>
      </w:pPr>
      <w:r>
        <w:rPr>
          <w:rFonts w:ascii="Times New Roman" w:cs="Times New Roman" w:eastAsia="Times New Roman" w:hAnsi="Times New Roman"/>
          <w:b/>
          <w:bCs/>
          <w:sz w:val="24"/>
          <w:szCs w:val="24"/>
        </w:rPr>
        <w:t xml:space="preserve">Biological Mechanism (Group 2): </w:t>
      </w:r>
      <w:r>
        <w:rPr>
          <w:rFonts w:ascii="Times New Roman" w:cs="Times New Roman" w:eastAsia="Times New Roman" w:hAnsi="Times New Roman"/>
          <w:sz w:val="24"/>
          <w:szCs w:val="24"/>
        </w:rPr>
        <w:t xml:space="preserve">The target gene is NDUFS1, with the mechanism of action classified as gene replacement: the vector delivers a functional copy of the NDUFS1 coding sequence to restore wild-type 75 kDa subunit expression and rescue Complex I assembly and function. The evidence type is classified as in_vitro, reflecting the preclinical stage of this hypothetical candidate.</w:t>
      </w:r>
    </w:p>
    <w:p>
      <w:pPr>
        <w:spacing w:after="120" w:line="480"/>
      </w:pPr>
      <w:r>
        <w:rPr>
          <w:rFonts w:ascii="Times New Roman" w:cs="Times New Roman" w:eastAsia="Times New Roman" w:hAnsi="Times New Roman"/>
          <w:b/>
          <w:bCs/>
          <w:sz w:val="24"/>
          <w:szCs w:val="24"/>
        </w:rPr>
        <w:t xml:space="preserve">Disease and Tissue Context (Group 3): </w:t>
      </w:r>
      <w:r>
        <w:rPr>
          <w:rFonts w:ascii="Times New Roman" w:cs="Times New Roman" w:eastAsia="Times New Roman" w:hAnsi="Times New Roman"/>
          <w:sz w:val="24"/>
          <w:szCs w:val="24"/>
        </w:rPr>
        <w:t xml:space="preserve">Identical to Reference Case A: Orphanet ORPHA:2609, OMIM 252010, with cardiac muscle and skeletal muscle as primary tissue targets.</w:t>
      </w:r>
    </w:p>
    <w:p>
      <w:pPr>
        <w:spacing w:after="120" w:line="480"/>
      </w:pPr>
      <w:r>
        <w:rPr>
          <w:rFonts w:ascii="Times New Roman" w:cs="Times New Roman" w:eastAsia="Times New Roman" w:hAnsi="Times New Roman"/>
          <w:b/>
          <w:bCs/>
          <w:sz w:val="24"/>
          <w:szCs w:val="24"/>
        </w:rPr>
        <w:t xml:space="preserve">Modality Details (Group 4): </w:t>
      </w:r>
      <w:r>
        <w:rPr>
          <w:rFonts w:ascii="Times New Roman" w:cs="Times New Roman" w:eastAsia="Times New Roman" w:hAnsi="Times New Roman"/>
          <w:sz w:val="24"/>
          <w:szCs w:val="24"/>
        </w:rPr>
        <w:t xml:space="preserve">This is where the conditional fields activate. The vector_type field is populated as AAV (adeno-associated virus). The capsid_serotype field is populated as AAV9, selected for its documented cardiotropism and ability to cross the blood-brain barrier in neonatal models. The delivery_route is intravenous. The targeting_strategy field specifies cardiac-tropic AAV9 capsid with a CMV or CAG ubiquitous promoter. These four fields (vector_type, capsid_serotype, delivery_route, targeting_strategy) are conditionally REQUIRED when modality equals aav_gene_therapy but null in the small-molecule reference case.</w:t>
      </w:r>
    </w:p>
    <w:p>
      <w:pPr>
        <w:spacing w:after="120" w:line="480"/>
      </w:pPr>
      <w:r>
        <w:rPr>
          <w:rFonts w:ascii="Times New Roman" w:cs="Times New Roman" w:eastAsia="Times New Roman" w:hAnsi="Times New Roman"/>
          <w:b/>
          <w:bCs/>
          <w:sz w:val="24"/>
          <w:szCs w:val="24"/>
        </w:rPr>
        <w:t xml:space="preserve">Delivery and Biodistribution (Group 5): </w:t>
      </w:r>
      <w:r>
        <w:rPr>
          <w:rFonts w:ascii="Times New Roman" w:cs="Times New Roman" w:eastAsia="Times New Roman" w:hAnsi="Times New Roman"/>
          <w:sz w:val="24"/>
          <w:szCs w:val="24"/>
        </w:rPr>
        <w:t xml:space="preserve">Blood-brain barrier penetration is flagged as true for neonatal administration based on published AAV9 tropism data (Mendell et al., 2017, in the context of SMA gene therapy). Mitochondrial targeting is flagged as false (the transgene product must traffic to mitochondria via its native mitochondrial targeting sequence after cytoplasmic translation). Dose is expressed in vector genomes per kilogram (vg/kg) rather than milligrams.</w:t>
      </w:r>
    </w:p>
    <w:p>
      <w:pPr>
        <w:spacing w:after="120" w:line="480"/>
      </w:pPr>
      <w:r>
        <w:rPr>
          <w:rFonts w:ascii="Times New Roman" w:cs="Times New Roman" w:eastAsia="Times New Roman" w:hAnsi="Times New Roman"/>
          <w:b/>
          <w:bCs/>
          <w:sz w:val="24"/>
          <w:szCs w:val="24"/>
        </w:rPr>
        <w:t xml:space="preserve">Manufacturability (Group 6): </w:t>
      </w:r>
      <w:r>
        <w:rPr>
          <w:rFonts w:ascii="Times New Roman" w:cs="Times New Roman" w:eastAsia="Times New Roman" w:hAnsi="Times New Roman"/>
          <w:sz w:val="24"/>
          <w:szCs w:val="24"/>
        </w:rPr>
        <w:t xml:space="preserve">The synthetic_accessibility_score field is null (not applicable for biologics). The manufacturing_platform is HEK293 triple transfection. CMC readiness is classified as preclinical. The scalability assessment notes that AAV manufacturing scale-up remains a significant industry challenge with implications for cost of goods.</w:t>
      </w:r>
    </w:p>
    <w:p>
      <w:pPr>
        <w:spacing w:after="120" w:line="480"/>
      </w:pPr>
      <w:r>
        <w:rPr>
          <w:rFonts w:ascii="Times New Roman" w:cs="Times New Roman" w:eastAsia="Times New Roman" w:hAnsi="Times New Roman"/>
          <w:b/>
          <w:bCs/>
          <w:sz w:val="24"/>
          <w:szCs w:val="24"/>
        </w:rPr>
        <w:t xml:space="preserve">Safety (Group 7): </w:t>
      </w:r>
      <w:r>
        <w:rPr>
          <w:rFonts w:ascii="Times New Roman" w:cs="Times New Roman" w:eastAsia="Times New Roman" w:hAnsi="Times New Roman"/>
          <w:sz w:val="24"/>
          <w:szCs w:val="24"/>
        </w:rPr>
        <w:t xml:space="preserve">Predicted off-targets include hepatic transgene expression (AAV9 has significant liver tropism), pre-existing anti-AAV9 neutralizing antibodies in approximately 30% of the adult population, and potential insertional mutagenesis risk (low for AAV but non-zero). Hepatotoxicity flag is true (dose-dependent hepatotoxicity has been observed with high-dose AAV9 vectors in clinical programs). Cardiotoxicity flag is false. Immunogenicity flag is true.</w:t>
      </w:r>
    </w:p>
    <w:p>
      <w:pPr>
        <w:spacing w:after="120" w:line="480"/>
      </w:pPr>
      <w:r>
        <w:rPr>
          <w:rFonts w:ascii="Times New Roman" w:cs="Times New Roman" w:eastAsia="Times New Roman" w:hAnsi="Times New Roman"/>
          <w:b/>
          <w:bCs/>
          <w:sz w:val="24"/>
          <w:szCs w:val="24"/>
        </w:rPr>
        <w:t xml:space="preserve">Evidence Gaps (Group 8): </w:t>
      </w:r>
      <w:r>
        <w:rPr>
          <w:rFonts w:ascii="Times New Roman" w:cs="Times New Roman" w:eastAsia="Times New Roman" w:hAnsi="Times New Roman"/>
          <w:sz w:val="24"/>
          <w:szCs w:val="24"/>
        </w:rPr>
        <w:t xml:space="preserve">Five critical gaps: no NDUFS1-specific AAV9 transduction efficiency data in cardiomyocytes, no dose-response relationship for cardiac Complex I rescue, unknown immune response profile in the target pediatric population, no long-term expression durability data, and no established pharmacodynamic biomarker. Confidence level is classified as hypothesis.</w:t>
      </w:r>
    </w:p>
    <w:p>
      <w:pPr>
        <w:spacing w:after="120" w:line="480"/>
      </w:pPr>
      <w:r>
        <w:rPr>
          <w:rFonts w:ascii="Times New Roman" w:cs="Times New Roman" w:eastAsia="Times New Roman" w:hAnsi="Times New Roman"/>
          <w:b/>
          <w:bCs/>
          <w:sz w:val="24"/>
          <w:szCs w:val="24"/>
        </w:rPr>
        <w:t xml:space="preserve">Advancement Logic (Group 9): </w:t>
      </w:r>
      <w:r>
        <w:rPr>
          <w:rFonts w:ascii="Times New Roman" w:cs="Times New Roman" w:eastAsia="Times New Roman" w:hAnsi="Times New Roman"/>
          <w:sz w:val="24"/>
          <w:szCs w:val="24"/>
        </w:rPr>
        <w:t xml:space="preserve">The recommendation is HOLD (not revise or advance), reflecting the earlier development stage compared to idebenone. The rationale specifies that in vitro proof-of-concept in NDUFS1-mutant cells must precede any in vivo vector design optimization.</w:t>
      </w:r>
    </w:p>
    <w:p>
      <w:pPr>
        <w:pStyle w:val="Heading2"/>
        <w:spacing w:after="120" w:line="480"/>
      </w:pPr>
      <w:r>
        <w:rPr>
          <w:rFonts w:ascii="Times New Roman" w:cs="Times New Roman" w:eastAsia="Times New Roman" w:hAnsi="Times New Roman"/>
          <w:sz w:val="24"/>
          <w:szCs w:val="24"/>
        </w:rPr>
        <w:t xml:space="preserve">5.6 Cross-Modality Comparison</w:t>
      </w:r>
    </w:p>
    <w:p>
      <w:pPr>
        <w:spacing w:after="120" w:line="480"/>
      </w:pPr>
      <w:r>
        <w:rPr>
          <w:rFonts w:ascii="Times New Roman" w:cs="Times New Roman" w:eastAsia="Times New Roman" w:hAnsi="Times New Roman"/>
          <w:sz w:val="24"/>
          <w:szCs w:val="24"/>
        </w:rPr>
        <w:t xml:space="preserve">The two reference cases demonstrate three key properties of the TCDR architecture. First, the conditional field logic operates as designed: the gene therapy case activates vector_type, capsid_serotype, and related fields that are null in the small-molecule case, while the small-molecule case populates synthetic_accessibility_score and canonical_smiles that are null in the gene therapy case. Second, the same disease context (Field Group 3) can be shared across candidates of different modalities, enabling direct comparison of modality-specific advantages and liabilities for the same indication. Third, the advancement logic produces appropriately different recommendations (REVISE vs. HOLD) that reflect the different evidence maturity stages of the two candidates, demonstrating that the schema supports nuanced decision differentiation across the advance/revise/hold/terminate decision space.</w:t>
      </w:r>
    </w:p>
    <w:p>
      <w:pPr>
        <w:pStyle w:val="Heading1"/>
        <w:spacing w:after="120" w:line="480"/>
      </w:pPr>
      <w:r>
        <w:rPr>
          <w:rFonts w:ascii="Times New Roman" w:cs="Times New Roman" w:eastAsia="Times New Roman" w:hAnsi="Times New Roman"/>
          <w:sz w:val="24"/>
          <w:szCs w:val="24"/>
        </w:rPr>
        <w:t xml:space="preserve">6. Implementation</w:t>
      </w:r>
    </w:p>
    <w:p>
      <w:pPr>
        <w:pStyle w:val="Heading2"/>
        <w:spacing w:after="120" w:line="480"/>
      </w:pPr>
      <w:r>
        <w:rPr>
          <w:rFonts w:ascii="Times New Roman" w:cs="Times New Roman" w:eastAsia="Times New Roman" w:hAnsi="Times New Roman"/>
          <w:sz w:val="24"/>
          <w:szCs w:val="24"/>
        </w:rPr>
        <w:t xml:space="preserve">6.1 Schema Format and Validation</w:t>
      </w:r>
    </w:p>
    <w:p>
      <w:pPr>
        <w:spacing w:after="120" w:line="480"/>
      </w:pPr>
      <w:r>
        <w:rPr>
          <w:rFonts w:ascii="Times New Roman" w:cs="Times New Roman" w:eastAsia="Times New Roman" w:hAnsi="Times New Roman"/>
          <w:sz w:val="24"/>
          <w:szCs w:val="24"/>
        </w:rPr>
        <w:t xml:space="preserve">The TCDR schema is expressed in YAML for human readability and machine parsing. Enum fields use closed value sets that prevent free-text ambiguity. A JSON Schema representation can be derived programmatically from the YAML schema for automated validation. The reference cases (tcdr_example_complex1.json for idebenone, tcdr_example_aav9_ndufs1.json for the gene therapy candidate) validate against the schema with zero errors across all applicable field groups.</w:t>
      </w:r>
    </w:p>
    <w:p>
      <w:pPr>
        <w:pStyle w:val="Heading2"/>
        <w:spacing w:after="120" w:line="480"/>
      </w:pPr>
      <w:r>
        <w:rPr>
          <w:rFonts w:ascii="Times New Roman" w:cs="Times New Roman" w:eastAsia="Times New Roman" w:hAnsi="Times New Roman"/>
          <w:sz w:val="24"/>
          <w:szCs w:val="24"/>
        </w:rPr>
        <w:t xml:space="preserve">6.2 Integration with Governed Pipelines</w:t>
      </w:r>
    </w:p>
    <w:p>
      <w:pPr>
        <w:spacing w:after="120" w:line="480"/>
      </w:pPr>
      <w:r>
        <w:rPr>
          <w:rFonts w:ascii="Times New Roman" w:cs="Times New Roman" w:eastAsia="Times New Roman" w:hAnsi="Times New Roman"/>
          <w:sz w:val="24"/>
          <w:szCs w:val="24"/>
        </w:rPr>
        <w:t xml:space="preserve">TCDR is designed as the output unit of governed computational therapeutics pipelines. In a pipeline architecture with defined stage gates, each gate produces or consumes a TCDR. At the computational design stage (G2), a preliminary TCDR captures the initial candidate with a "hypothesis" confidence level. As the candidate advances through in vitro (G3), in vivo (G4), and clinical (G5+) stages, the TCDR version increments, evidence references accumulate, confidence level escalates, and the evidence gaps list contracts. The advancement logic is re-evaluated at each gate.</w:t>
      </w:r>
    </w:p>
    <w:p>
      <w:pPr>
        <w:spacing w:after="120" w:line="480"/>
      </w:pPr>
      <w:r>
        <w:rPr>
          <w:rFonts w:ascii="Times New Roman" w:cs="Times New Roman" w:eastAsia="Times New Roman" w:hAnsi="Times New Roman"/>
          <w:sz w:val="24"/>
          <w:szCs w:val="24"/>
        </w:rPr>
        <w:t xml:space="preserve">This versioned, longitudinal use of the TCDR transforms it from a static record into a living decision artifact that tracks the candidate evolution from computational concept to translational readiness.</w:t>
      </w:r>
    </w:p>
    <w:p>
      <w:pPr>
        <w:pStyle w:val="Heading2"/>
        <w:spacing w:after="120" w:line="480"/>
      </w:pPr>
      <w:r>
        <w:rPr>
          <w:rFonts w:ascii="Times New Roman" w:cs="Times New Roman" w:eastAsia="Times New Roman" w:hAnsi="Times New Roman"/>
          <w:sz w:val="24"/>
          <w:szCs w:val="24"/>
        </w:rPr>
        <w:t xml:space="preserve">6.3 API Surface</w:t>
      </w:r>
    </w:p>
    <w:p>
      <w:pPr>
        <w:spacing w:after="120" w:line="480"/>
      </w:pPr>
      <w:r>
        <w:rPr>
          <w:rFonts w:ascii="Times New Roman" w:cs="Times New Roman" w:eastAsia="Times New Roman" w:hAnsi="Times New Roman"/>
          <w:sz w:val="24"/>
          <w:szCs w:val="24"/>
        </w:rPr>
        <w:t xml:space="preserve">For platforms that implement TCDR programmatically, the schema supports the following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Operation</w:t>
            </w:r>
          </w:p>
        </w:tc>
        <w:tc>
          <w:tcPr>
            <w:tcW w:type="dxa" w:w="73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Description</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CREATE</w:t>
            </w:r>
          </w:p>
        </w:tc>
        <w:tc>
          <w:tcPr>
            <w:tcW w:type="dxa" w:w="73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Initialize a new TCDR with required fields</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VALIDATE</w:t>
            </w:r>
          </w:p>
        </w:tc>
        <w:tc>
          <w:tcPr>
            <w:tcW w:type="dxa" w:w="73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Check a TCDR against the schema and TCDR-MI requirements</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COMPARE</w:t>
            </w:r>
          </w:p>
        </w:tc>
        <w:tc>
          <w:tcPr>
            <w:tcW w:type="dxa" w:w="73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Compare two or more TCDRs by field group or MCDA score</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ADVANCE</w:t>
            </w:r>
          </w:p>
        </w:tc>
        <w:tc>
          <w:tcPr>
            <w:tcW w:type="dxa" w:w="73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Update the advancement logic and increment the version</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EXPORT</w:t>
            </w:r>
          </w:p>
        </w:tc>
        <w:tc>
          <w:tcPr>
            <w:tcW w:type="dxa" w:w="73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Serialize to YAML, JSON, or PDF for reporting</w:t>
            </w:r>
          </w:p>
        </w:tc>
      </w:tr>
    </w:tbl>
    <w:p>
      <w:pPr>
        <w:spacing w:after="120" w:line="240"/>
      </w:pPr>
    </w:p>
    <w:p>
      <w:pPr>
        <w:spacing w:after="120" w:line="480"/>
      </w:pPr>
      <w:r>
        <w:rPr>
          <w:rFonts w:ascii="Times New Roman" w:cs="Times New Roman" w:eastAsia="Times New Roman" w:hAnsi="Times New Roman"/>
          <w:sz w:val="24"/>
          <w:szCs w:val="24"/>
        </w:rPr>
        <w:t xml:space="preserve">Reference implementations may expose these operations through a RESTful API or SDK. The DrugSynthAI platform, as a reference implementation, provides these operations through a platform SDK; technical documentation is available in the platform repository.</w:t>
      </w:r>
    </w:p>
    <w:p>
      <w:pPr>
        <w:pStyle w:val="Heading1"/>
        <w:spacing w:after="120" w:line="480"/>
      </w:pPr>
      <w:r>
        <w:rPr>
          <w:rFonts w:ascii="Times New Roman" w:cs="Times New Roman" w:eastAsia="Times New Roman" w:hAnsi="Times New Roman"/>
          <w:sz w:val="24"/>
          <w:szCs w:val="24"/>
        </w:rPr>
        <w:t xml:space="preserve">7. Multi-Criteria Decision Analysis</w:t>
      </w:r>
    </w:p>
    <w:p>
      <w:pPr>
        <w:pStyle w:val="Heading2"/>
        <w:spacing w:after="120" w:line="480"/>
      </w:pPr>
      <w:r>
        <w:rPr>
          <w:rFonts w:ascii="Times New Roman" w:cs="Times New Roman" w:eastAsia="Times New Roman" w:hAnsi="Times New Roman"/>
          <w:sz w:val="24"/>
          <w:szCs w:val="24"/>
        </w:rPr>
        <w:t xml:space="preserve">7.1 MCDA Rubric</w:t>
      </w:r>
    </w:p>
    <w:p>
      <w:pPr>
        <w:spacing w:after="120" w:line="480"/>
      </w:pPr>
      <w:r>
        <w:rPr>
          <w:rFonts w:ascii="Times New Roman" w:cs="Times New Roman" w:eastAsia="Times New Roman" w:hAnsi="Times New Roman"/>
          <w:sz w:val="24"/>
          <w:szCs w:val="24"/>
        </w:rPr>
        <w:t xml:space="preserve">The advancement logic in Field Group 9 can be informed by a structured MCDA rubric that scores each field group on a normalized scale. The following rubric defines scoring dimensions and weight scenarios for sensitivity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Dimension</w:t>
            </w:r>
          </w:p>
        </w:tc>
        <w:tc>
          <w:tcPr>
            <w:tcW w:type="dxa" w:w="43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Scoring Basis</w:t>
            </w:r>
          </w:p>
        </w:tc>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Scale</w:t>
            </w:r>
          </w:p>
        </w:tc>
      </w:tr>
      <w:tr>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D1: Biological Mechanism Strength</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Evidence type level and reference count</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0.0 to 1.0</w:t>
            </w:r>
          </w:p>
        </w:tc>
      </w:tr>
      <w:tr>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D2: Disease Context Specificity</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Ontology coverage and tissue target precision</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0.0 to 1.0</w:t>
            </w:r>
          </w:p>
        </w:tc>
      </w:tr>
      <w:tr>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D3: Delivery Feasibility</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BBB status, targeting strategy, dose range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0.0 to 1.0</w:t>
            </w:r>
          </w:p>
        </w:tc>
      </w:tr>
      <w:tr>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D4: Manufacturability Readiness</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SA score, CMC readiness, scalability</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0.0 to 1.0</w:t>
            </w:r>
          </w:p>
        </w:tc>
      </w:tr>
      <w:tr>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D5: Safety Profile</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Off-target count, toxicity flags, immunogenicity</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0.0 to 1.0 (inverse)</w:t>
            </w:r>
          </w:p>
        </w:tc>
      </w:tr>
      <w:tr>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D6: Evidence Maturity</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Confidence level, gap count (inverse), experiment specificity</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0.0 to 1.0</w:t>
            </w:r>
          </w:p>
        </w:tc>
      </w:tr>
      <w:tr>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D7: Strategic Alignment</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Population size, unmet need, modality relevance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0.0 to 1.0</w:t>
            </w:r>
          </w:p>
        </w:tc>
      </w:tr>
    </w:tbl>
    <w:p>
      <w:pPr>
        <w:spacing w:after="120" w:line="240"/>
      </w:pPr>
    </w:p>
    <w:p>
      <w:pPr>
        <w:spacing w:after="120" w:line="480"/>
      </w:pPr>
      <w:r>
        <w:rPr>
          <w:rFonts w:ascii="Times New Roman" w:cs="Times New Roman" w:eastAsia="Times New Roman" w:hAnsi="Times New Roman"/>
          <w:sz w:val="24"/>
          <w:szCs w:val="24"/>
        </w:rPr>
        <w:t xml:space="preserve">Raw scores for each dimension are assigned by expert judgment. The current version does not prescribe specific scoring functions; scoring functions should be domain-specific and validated within the context of each therapeutic area (see Section 8.1 for discussion of this limitation and its implications for cross-implementation comparability).</w:t>
      </w:r>
    </w:p>
    <w:p>
      <w:pPr>
        <w:pStyle w:val="Heading2"/>
        <w:spacing w:after="120" w:line="480"/>
      </w:pPr>
      <w:r>
        <w:rPr>
          <w:rFonts w:ascii="Times New Roman" w:cs="Times New Roman" w:eastAsia="Times New Roman" w:hAnsi="Times New Roman"/>
          <w:sz w:val="24"/>
          <w:szCs w:val="24"/>
        </w:rPr>
        <w:t xml:space="preserve">7.2 Weight Scenarios</w:t>
      </w:r>
    </w:p>
    <w:p>
      <w:pPr>
        <w:spacing w:after="120" w:line="480"/>
      </w:pPr>
      <w:r>
        <w:rPr>
          <w:rFonts w:ascii="Times New Roman" w:cs="Times New Roman" w:eastAsia="Times New Roman" w:hAnsi="Times New Roman"/>
          <w:sz w:val="24"/>
          <w:szCs w:val="24"/>
        </w:rPr>
        <w:t xml:space="preserve">To evaluate the sensitivity of the MCDA outcome to weight allocation, seven scenarios were constructed spanning the primary, balanced, and boundary regions of the weight space. Scenarios A through C represent domain-prioritized configurations. Scenario D represents equal weighting (six dimensions at 1/7 truncated to 0.143, one at 0.142, summing to exactly 1.000). Scenarios E through G represent boundary conditions where a single dimension dominates.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000"/>
        <w:gridCol w:w="1000"/>
        <w:gridCol w:w="1100"/>
        <w:gridCol w:w="700"/>
        <w:gridCol w:w="1560"/>
      </w:tblGrid>
      <w:tr>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Dimension</w:t>
            </w:r>
          </w:p>
        </w:tc>
        <w:tc>
          <w:tcPr>
            <w:tcW w:type="dxa" w:w="1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A: Mechanism</w:t>
            </w:r>
          </w:p>
        </w:tc>
        <w:tc>
          <w:tcPr>
            <w:tcW w:type="dxa" w:w="1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B: Translational</w:t>
            </w:r>
          </w:p>
        </w:tc>
        <w:tc>
          <w:tcPr>
            <w:tcW w:type="dxa" w:w="1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C: Safety</w:t>
            </w:r>
          </w:p>
        </w:tc>
        <w:tc>
          <w:tcPr>
            <w:tcW w:type="dxa" w:w="1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D: Equal</w:t>
            </w:r>
          </w:p>
        </w:tc>
        <w:tc>
          <w:tcPr>
            <w:tcW w:type="dxa" w:w="1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E: Evidence</w:t>
            </w:r>
          </w:p>
        </w:tc>
        <w:tc>
          <w:tcPr>
            <w:tcW w:type="dxa" w:w="7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F: Mfg</w:t>
            </w:r>
          </w:p>
        </w:tc>
        <w:tc>
          <w:tcPr>
            <w:tcW w:type="dxa" w:w="15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G: Extreme Safety</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D1: Mechanism</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0.25</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0.15</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0.10</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0.143</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0.10</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0.08</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D2: Disease Context</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0.15</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0.15</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0.10</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0.143</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0.10</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0.08</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D3: Delivery</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0.10</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0.20</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0.15</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0.143</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0.10</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0.08</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D4: Manufacturability</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0.10</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0.20</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0.10</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0.143</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0.40</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0.08</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D5: Safety</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0.15</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0.10</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0.30</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0.143</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0.10</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0.50</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D6: Evidence Maturity</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0.15</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0.10</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0.15</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0.143</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0.40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0.10</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0.10</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D7: Strategic</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0.10</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0.10</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0.10</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0.142</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0.10</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0.08</w:t>
            </w:r>
          </w:p>
        </w:tc>
      </w:tr>
    </w:tbl>
    <w:p>
      <w:pPr>
        <w:spacing w:after="120" w:line="240"/>
      </w:pPr>
    </w:p>
    <w:p>
      <w:pPr>
        <w:pStyle w:val="Heading2"/>
        <w:spacing w:after="120" w:line="480"/>
      </w:pPr>
      <w:r>
        <w:rPr>
          <w:rFonts w:ascii="Times New Roman" w:cs="Times New Roman" w:eastAsia="Times New Roman" w:hAnsi="Times New Roman"/>
          <w:sz w:val="24"/>
          <w:szCs w:val="24"/>
        </w:rPr>
        <w:t xml:space="preserve">7.3 Reference Case A Scoring (Idebenone)</w:t>
      </w:r>
    </w:p>
    <w:p>
      <w:pPr>
        <w:spacing w:after="120" w:line="480"/>
      </w:pPr>
      <w:r>
        <w:rPr>
          <w:rFonts w:ascii="Times New Roman" w:cs="Times New Roman" w:eastAsia="Times New Roman" w:hAnsi="Times New Roman"/>
          <w:sz w:val="24"/>
          <w:szCs w:val="24"/>
        </w:rPr>
        <w:t xml:space="preserve">Applying the rubric to the idebenone reference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Dimension</w:t>
            </w:r>
          </w:p>
        </w:tc>
        <w:tc>
          <w:tcPr>
            <w:tcW w:type="dxa" w:w="16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Raw Score</w:t>
            </w:r>
          </w:p>
        </w:tc>
        <w:tc>
          <w:tcPr>
            <w:tcW w:type="dxa" w:w="61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Justification</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D1</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0.80</w:t>
            </w:r>
          </w:p>
        </w:tc>
        <w:tc>
          <w:tcPr>
            <w:tcW w:type="dxa" w:w="61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Clinical evidence type, 5 DOI references, established mechanism</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D2</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0.75</w:t>
            </w:r>
          </w:p>
        </w:tc>
        <w:tc>
          <w:tcPr>
            <w:tcW w:type="dxa" w:w="61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Full Orphanet/OMIM mapping, 3 tissue targets, 4 cell types</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D3</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0.55</w:t>
            </w:r>
          </w:p>
        </w:tc>
        <w:tc>
          <w:tcPr>
            <w:tcW w:type="dxa" w:w="61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Oral route, limited BBB data quality, no active targeting</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D4</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0.90</w:t>
            </w:r>
          </w:p>
        </w:tc>
        <w:tc>
          <w:tcPr>
            <w:tcW w:type="dxa" w:w="61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Low SA score (2.8), commercial scale, validated CMC</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D5</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0.70</w:t>
            </w:r>
          </w:p>
        </w:tc>
        <w:tc>
          <w:tcPr>
            <w:tcW w:type="dxa" w:w="61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Low hepato/cardiotoxicity, low immunogenicity, 3 off-targets</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D6</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0.35</w:t>
            </w:r>
          </w:p>
        </w:tc>
        <w:tc>
          <w:tcPr>
            <w:tcW w:type="dxa" w:w="61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Preliminary confidence, 4 gaps, 5 experiments needed</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D7</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0.65</w:t>
            </w:r>
          </w:p>
        </w:tc>
        <w:tc>
          <w:tcPr>
            <w:tcW w:type="dxa" w:w="61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Rare disease (unmet need), small population</w:t>
            </w:r>
          </w:p>
        </w:tc>
      </w:tr>
    </w:tbl>
    <w:p>
      <w:pPr>
        <w:spacing w:after="120"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Scenario</w:t>
            </w:r>
          </w:p>
        </w:tc>
        <w:tc>
          <w:tcPr>
            <w:tcW w:type="dxa" w:w="2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Weighted Score</w:t>
            </w:r>
          </w:p>
        </w:tc>
        <w:tc>
          <w:tcPr>
            <w:tcW w:type="dxa" w:w="37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Recommendation</w:t>
            </w:r>
          </w:p>
        </w:tc>
      </w:tr>
      <w:tr>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A: Mechanism-Weighted</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0.680</w:t>
            </w:r>
          </w:p>
        </w:tc>
        <w:tc>
          <w:tcPr>
            <w:tcW w:type="dxa" w:w="37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REVISE (threshold for ADVANCE: 0.70)</w:t>
            </w:r>
          </w:p>
        </w:tc>
      </w:tr>
      <w:tr>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B: Translational-Weighted</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0.693</w:t>
            </w:r>
          </w:p>
        </w:tc>
        <w:tc>
          <w:tcPr>
            <w:tcW w:type="dxa" w:w="37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REVISE</w:t>
            </w:r>
          </w:p>
        </w:tc>
      </w:tr>
      <w:tr>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C: Safety-Weighted</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0.655</w:t>
            </w:r>
          </w:p>
        </w:tc>
        <w:tc>
          <w:tcPr>
            <w:tcW w:type="dxa" w:w="37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REVISE</w:t>
            </w:r>
          </w:p>
        </w:tc>
      </w:tr>
      <w:tr>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D: Equal Weights</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0.671</w:t>
            </w:r>
          </w:p>
        </w:tc>
        <w:tc>
          <w:tcPr>
            <w:tcW w:type="dxa" w:w="37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REVISE</w:t>
            </w:r>
          </w:p>
        </w:tc>
      </w:tr>
      <w:tr>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E: Evidence-Dominant</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0.575</w:t>
            </w:r>
          </w:p>
        </w:tc>
        <w:tc>
          <w:tcPr>
            <w:tcW w:type="dxa" w:w="37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REVISE</w:t>
            </w:r>
          </w:p>
        </w:tc>
      </w:tr>
      <w:tr>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F: Manufacturability-Dominant</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0.740</w:t>
            </w:r>
          </w:p>
        </w:tc>
        <w:tc>
          <w:tcPr>
            <w:tcW w:type="dxa" w:w="37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ADVANCE</w:t>
            </w:r>
          </w:p>
        </w:tc>
      </w:tr>
      <w:tr>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G: Extreme Safety</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0.677</w:t>
            </w:r>
          </w:p>
        </w:tc>
        <w:tc>
          <w:tcPr>
            <w:tcW w:type="dxa" w:w="37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REVISE</w:t>
            </w:r>
          </w:p>
        </w:tc>
      </w:tr>
    </w:tbl>
    <w:p>
      <w:pPr>
        <w:spacing w:after="120" w:line="240"/>
      </w:pPr>
    </w:p>
    <w:p>
      <w:pPr>
        <w:pStyle w:val="Heading2"/>
        <w:spacing w:after="120" w:line="480"/>
      </w:pPr>
      <w:r>
        <w:rPr>
          <w:rFonts w:ascii="Times New Roman" w:cs="Times New Roman" w:eastAsia="Times New Roman" w:hAnsi="Times New Roman"/>
          <w:sz w:val="24"/>
          <w:szCs w:val="24"/>
        </w:rPr>
        <w:t xml:space="preserve">7.4 Sensitivity Analysis</w:t>
      </w:r>
    </w:p>
    <w:p>
      <w:pPr>
        <w:spacing w:after="120" w:line="480"/>
      </w:pPr>
      <w:r>
        <w:rPr>
          <w:rFonts w:ascii="Times New Roman" w:cs="Times New Roman" w:eastAsia="Times New Roman" w:hAnsi="Times New Roman"/>
          <w:sz w:val="24"/>
          <w:szCs w:val="24"/>
        </w:rPr>
        <w:t xml:space="preserve">Six of seven weight scenarios produce a REVISE recommendation, demonstrating consistency of the advancement decision across a wide range of the weight space. The single exception is Scenario F (Manufacturability-Dominant), which produces an ADVANCE recommendation (0.740) because idebenone has the highest raw score in D4 (0.90) and this scenario assigns 40% of the weight to that dimension. This result is expected and informative: it demonstrates that the MCDA rubric is not trivially REVISE for all configurations, and that a candidate with strong manufacturing credentials could advance under a weight allocation that heavily prioritizes manufacturability readiness. The fact that this occurs only under an extreme weight configuration (40% on a single dimension) provides useful context for interpreting the REVISE recommendation under the primary scenarios.</w:t>
      </w:r>
    </w:p>
    <w:p>
      <w:pPr>
        <w:spacing w:after="120" w:line="480"/>
      </w:pPr>
      <w:r>
        <w:rPr>
          <w:rFonts w:ascii="Times New Roman" w:cs="Times New Roman" w:eastAsia="Times New Roman" w:hAnsi="Times New Roman"/>
          <w:sz w:val="24"/>
          <w:szCs w:val="24"/>
        </w:rPr>
        <w:t xml:space="preserve">The primary driver of the sub-threshold score across the six REVISE scenarios is the low evidence maturity dimension (D6 = 0.35). To quantify this dependency, a tipping point analysis was performed by solving for the minimum D6 score at which the weighted sum reaches the 0.70 ADVANCE threshold for each of the three primary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Scenario</w:t>
            </w:r>
          </w:p>
        </w:tc>
        <w:tc>
          <w:tcPr>
            <w:tcW w:type="dxa" w:w="3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D6 Tipping Point</w:t>
            </w:r>
          </w:p>
        </w:tc>
        <w:tc>
          <w:tcPr>
            <w:tcW w:type="dxa" w:w="29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Required Increase from Current D6 (0.35)</w:t>
            </w:r>
          </w:p>
        </w:tc>
      </w:tr>
      <w:tr>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A: Mechanism-Weighted</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0.48</w:t>
            </w:r>
          </w:p>
        </w:tc>
        <w:tc>
          <w:tcPr>
            <w:tcW w:type="dxa" w:w="29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+0.13</w:t>
            </w:r>
          </w:p>
        </w:tc>
      </w:tr>
      <w:tr>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B: Translational-Weighted</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0.43</w:t>
            </w:r>
          </w:p>
        </w:tc>
        <w:tc>
          <w:tcPr>
            <w:tcW w:type="dxa" w:w="29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+0.08</w:t>
            </w:r>
          </w:p>
        </w:tc>
      </w:tr>
      <w:tr>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C: Safety-Weighted</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0.65</w:t>
            </w:r>
          </w:p>
        </w:tc>
        <w:tc>
          <w:tcPr>
            <w:tcW w:type="dxa" w:w="29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pPr>
            <w:r>
              <w:rPr>
                <w:rFonts w:ascii="Times New Roman" w:cs="Times New Roman" w:eastAsia="Times New Roman" w:hAnsi="Times New Roman"/>
                <w:sz w:val="20"/>
                <w:szCs w:val="20"/>
              </w:rPr>
              <w:t xml:space="preserve">+0.30</w:t>
            </w:r>
          </w:p>
        </w:tc>
      </w:tr>
    </w:tbl>
    <w:p>
      <w:pPr>
        <w:spacing w:after="120" w:line="240"/>
      </w:pPr>
    </w:p>
    <w:p>
      <w:pPr>
        <w:spacing w:after="120" w:line="480"/>
      </w:pPr>
      <w:r>
        <w:rPr>
          <w:rFonts w:ascii="Times New Roman" w:cs="Times New Roman" w:eastAsia="Times New Roman" w:hAnsi="Times New Roman"/>
          <w:sz w:val="24"/>
          <w:szCs w:val="24"/>
        </w:rPr>
        <w:t xml:space="preserve">The tipping point analysis reveals that the distance to ADVANCE varies substantially by scenario. Under the Translational-Weighted scenario (B), advancing the evidence maturity score from 0.35 to 0.43 (an increase of 0.08, equivalent to closing one to two of the four identified evidence gaps) would be sufficient to trigger ADVANCE. Under the Safety-Weighted scenario (C), the evidence maturity would need to increase from 0.35 to 0.65, requiring substantially more comprehensive validation. This finding has direct practical implications: the most efficient path to an ADVANCE recommendation under the primary scenarios would be to conduct the key experiments identified in Field Group 8 (NDUFS1-specific in vitro validation, dose-response in cardiomyocytes), rather than to improve manufacturing or delivery attributes that already score well.</w:t>
      </w:r>
    </w:p>
    <w:p>
      <w:pPr>
        <w:spacing w:after="120" w:line="480"/>
      </w:pPr>
      <w:r>
        <w:rPr>
          <w:rFonts w:ascii="Times New Roman" w:cs="Times New Roman" w:eastAsia="Times New Roman" w:hAnsi="Times New Roman"/>
          <w:sz w:val="24"/>
          <w:szCs w:val="24"/>
        </w:rPr>
        <w:t xml:space="preserve">The sensitivity analysis does not claim global robustness across the entire weight simplex. Seven scenarios sample the weight space more comprehensively than the initial three, including boundary conditions (E, F, G) that test single-dimension dominance effects. The consistent REVISE outcome across six of seven scenarios, combined with the interpretable exception (Scenario F), provides evidence that the recommendation is stable under the range of weight allocations that a reasonable decision-maker might adopt, while remaining appropriately sensitive to extreme configurations.</w:t>
      </w:r>
    </w:p>
    <w:p>
      <w:pPr>
        <w:pStyle w:val="Heading1"/>
        <w:spacing w:after="120" w:line="480"/>
      </w:pPr>
      <w:r>
        <w:rPr>
          <w:rFonts w:ascii="Times New Roman" w:cs="Times New Roman" w:eastAsia="Times New Roman" w:hAnsi="Times New Roman"/>
          <w:sz w:val="24"/>
          <w:szCs w:val="24"/>
        </w:rPr>
        <w:t xml:space="preserve">8. Discussion</w:t>
      </w:r>
    </w:p>
    <w:p>
      <w:pPr>
        <w:pStyle w:val="Heading2"/>
        <w:spacing w:after="120" w:line="480"/>
      </w:pPr>
      <w:r>
        <w:rPr>
          <w:rFonts w:ascii="Times New Roman" w:cs="Times New Roman" w:eastAsia="Times New Roman" w:hAnsi="Times New Roman"/>
          <w:sz w:val="24"/>
          <w:szCs w:val="24"/>
        </w:rPr>
        <w:t xml:space="preserve">8.1 Limitations</w:t>
      </w:r>
    </w:p>
    <w:p>
      <w:pPr>
        <w:spacing w:after="120" w:line="480"/>
      </w:pPr>
      <w:r>
        <w:rPr>
          <w:rFonts w:ascii="Times New Roman" w:cs="Times New Roman" w:eastAsia="Times New Roman" w:hAnsi="Times New Roman"/>
          <w:sz w:val="24"/>
          <w:szCs w:val="24"/>
        </w:rPr>
        <w:t xml:space="preserve">The TCDR schema in its current version (1.0.0) has several limitations that should be considered when interpreting its contributions and planning future development.</w:t>
      </w:r>
    </w:p>
    <w:p>
      <w:pPr>
        <w:spacing w:after="120" w:line="480"/>
      </w:pPr>
      <w:r>
        <w:rPr>
          <w:rFonts w:ascii="Times New Roman" w:cs="Times New Roman" w:eastAsia="Times New Roman" w:hAnsi="Times New Roman"/>
          <w:sz w:val="24"/>
          <w:szCs w:val="24"/>
        </w:rPr>
        <w:t xml:space="preserve">First, the schema does not prescribe specific scoring functions for the MCDA dimensions. This is by design: scoring functions should be domain-specific and validated within the context of each therapeutic area. However, this means that MCDA scores are not directly comparable across different implementations unless scoring functions are standardized. The raw scores presented in the reference case (Section 7.3) were assigned by author judgment rather than derived from a validated scoring algorithm. Future work should develop and validate domain-specific scoring functions through empirical calibration studies.</w:t>
      </w:r>
    </w:p>
    <w:p>
      <w:pPr>
        <w:spacing w:after="120" w:line="480"/>
      </w:pPr>
      <w:r>
        <w:rPr>
          <w:rFonts w:ascii="Times New Roman" w:cs="Times New Roman" w:eastAsia="Times New Roman" w:hAnsi="Times New Roman"/>
          <w:sz w:val="24"/>
          <w:szCs w:val="24"/>
        </w:rPr>
        <w:t xml:space="preserve">Second, the evidence_references field requires DOIs, which may not exist for computational predictions generated within a pipeline. Future versions may accommodate internal reference identifiers or preprint DOIs.</w:t>
      </w:r>
    </w:p>
    <w:p>
      <w:pPr>
        <w:spacing w:after="120" w:line="480"/>
      </w:pPr>
      <w:r>
        <w:rPr>
          <w:rFonts w:ascii="Times New Roman" w:cs="Times New Roman" w:eastAsia="Times New Roman" w:hAnsi="Times New Roman"/>
          <w:sz w:val="24"/>
          <w:szCs w:val="24"/>
        </w:rPr>
        <w:t xml:space="preserve">Third, the modality enum is a closed set of ten values. While this covers the majority of current therapeutic modalities, emerging approaches such as gene editing (CRISPR-based therapeutics), epigenetic therapies, or engineered microbiome therapeutics may require schema extension.</w:t>
      </w:r>
    </w:p>
    <w:p>
      <w:pPr>
        <w:spacing w:after="120" w:line="480"/>
      </w:pPr>
      <w:r>
        <w:rPr>
          <w:rFonts w:ascii="Times New Roman" w:cs="Times New Roman" w:eastAsia="Times New Roman" w:hAnsi="Times New Roman"/>
          <w:sz w:val="24"/>
          <w:szCs w:val="24"/>
        </w:rPr>
        <w:t xml:space="preserve">Fourth, the schema does not currently represent combination therapies as first-class objects. A combination of two candidates would require two TCDRs plus a separate representation of the combination rationale.</w:t>
      </w:r>
    </w:p>
    <w:p>
      <w:pPr>
        <w:spacing w:after="120" w:line="480"/>
      </w:pPr>
      <w:r>
        <w:rPr>
          <w:rFonts w:ascii="Times New Roman" w:cs="Times New Roman" w:eastAsia="Times New Roman" w:hAnsi="Times New Roman"/>
          <w:sz w:val="24"/>
          <w:szCs w:val="24"/>
        </w:rPr>
        <w:t xml:space="preserve">Fifth, the MCDA weights in the seven scenarios presented in Section 7 are illustrative and were not derived from empirical data or expert elicitation. Future work should establish domain-specific weight calibration through structured expert panels, analogous to the Delphi methods used in clinical guideline development. Until such calibration is performed, MCDA scores should be interpreted as structured decision support rather than definitive rankings.</w:t>
      </w:r>
    </w:p>
    <w:p>
      <w:pPr>
        <w:spacing w:after="120" w:line="480"/>
      </w:pPr>
      <w:r>
        <w:rPr>
          <w:rFonts w:ascii="Times New Roman" w:cs="Times New Roman" w:eastAsia="Times New Roman" w:hAnsi="Times New Roman"/>
          <w:sz w:val="24"/>
          <w:szCs w:val="24"/>
        </w:rPr>
        <w:t xml:space="preserve">Sixth, the TCDR schema currently captures a snapshot of the candidate at a single point in time. While versioning supports longitudinal tracking, the schema does not explicitly model the temporal evolution of evidence or the trajectory of confidence level changes across successive evaluations.</w:t>
      </w:r>
    </w:p>
    <w:p>
      <w:pPr>
        <w:spacing w:after="120" w:line="480"/>
      </w:pPr>
      <w:r>
        <w:rPr>
          <w:rFonts w:ascii="Times New Roman" w:cs="Times New Roman" w:eastAsia="Times New Roman" w:hAnsi="Times New Roman"/>
          <w:sz w:val="24"/>
          <w:szCs w:val="24"/>
        </w:rPr>
        <w:t xml:space="preserve">Seventh, Reference Case A uses idebenone, an existing clinically approved drug with extensive prior characterization, rather than a computationally generated novel candidate with predicted (rather than measured) property values. When the TCDR is populated with computationally predicted values, the evidence_type field (Group 2) would be set to "computational" rather than "clinical," the confidence_level field (Group 8) would be "hypothesis" rather than "preliminary," and the evidence_gaps list would be substantially longer. The approved-drug reference case was chosen to demonstrate complete schema population from publicly available data, but it does not exercise the uncertainty-heavy use case that is the primary target application of the TCDR standard. Reference Case B (AAV9-hNDUFS1, Section 5.5) partially addresses this limitation by operating at a "hypothesis" confidence level with more extensive evidence gaps.</w:t>
      </w:r>
    </w:p>
    <w:p>
      <w:pPr>
        <w:pStyle w:val="Heading2"/>
        <w:spacing w:after="120" w:line="480"/>
      </w:pPr>
      <w:r>
        <w:rPr>
          <w:rFonts w:ascii="Times New Roman" w:cs="Times New Roman" w:eastAsia="Times New Roman" w:hAnsi="Times New Roman"/>
          <w:sz w:val="24"/>
          <w:szCs w:val="24"/>
        </w:rPr>
        <w:t xml:space="preserve">8.2 Relationship to Regulatory Science</w:t>
      </w:r>
    </w:p>
    <w:p>
      <w:pPr>
        <w:spacing w:after="120" w:line="480"/>
      </w:pPr>
      <w:r>
        <w:rPr>
          <w:rFonts w:ascii="Times New Roman" w:cs="Times New Roman" w:eastAsia="Times New Roman" w:hAnsi="Times New Roman"/>
          <w:sz w:val="24"/>
          <w:szCs w:val="24"/>
        </w:rPr>
        <w:t xml:space="preserve">The TCDR occupies a specific position in the translational pipeline: it bridges computational design and regulatory evidence generation. The FDA discussion paper on artificial intelligence and machine learning in drug development (FDA, 2023) recognizes the need for structured documentation of computationally derived therapeutic insights. The ICH M3(R2) guideline (ICH, 2009; DOI: 10.1002/9780470571224.pse360) defines nonclinical safety study requirements, and ICH S6(R1) (ICH, 2011) addresses biotechnology-derived products. However, current regulatory guidance does not prescribe a specific format for documenting the computational design rationale that precedes these safety studies.</w:t>
      </w:r>
    </w:p>
    <w:p>
      <w:pPr>
        <w:spacing w:after="120" w:line="480"/>
      </w:pPr>
      <w:r>
        <w:rPr>
          <w:rFonts w:ascii="Times New Roman" w:cs="Times New Roman" w:eastAsia="Times New Roman" w:hAnsi="Times New Roman"/>
          <w:sz w:val="24"/>
          <w:szCs w:val="24"/>
        </w:rPr>
        <w:t xml:space="preserve">TCDR is not a regulatory submission document. It is a pre-regulatory artifact that organizes the information needed before a regulatory submission can be prepared. By encoding evidence maturity (the confidence_level field), key experiments needed, and explicit safety assessments, TCDR helps development teams identify the minimum evidence required to support an IND application or regulatory interaction.</w:t>
      </w:r>
    </w:p>
    <w:p>
      <w:pPr>
        <w:spacing w:after="120" w:line="480"/>
      </w:pPr>
      <w:r>
        <w:rPr>
          <w:rFonts w:ascii="Times New Roman" w:cs="Times New Roman" w:eastAsia="Times New Roman" w:hAnsi="Times New Roman"/>
          <w:sz w:val="24"/>
          <w:szCs w:val="24"/>
        </w:rPr>
        <w:t xml:space="preserve">For rare diseases such as mitochondrial Complex I deficiency, where patient populations are small and traditional trial designs may be infeasible, the TCDR evidence gap framework is particularly valuable. It enables structured prioritization of experiments that provide the maximum evidentiary value per patient exposed, a consideration that aligns with the FDA Patient-Focused Drug Development guidance and the EMA PRIME pathway for unmet medical needs.</w:t>
      </w:r>
    </w:p>
    <w:p>
      <w:pPr>
        <w:pStyle w:val="Heading2"/>
        <w:spacing w:after="120" w:line="480"/>
      </w:pPr>
      <w:r>
        <w:rPr>
          <w:rFonts w:ascii="Times New Roman" w:cs="Times New Roman" w:eastAsia="Times New Roman" w:hAnsi="Times New Roman"/>
          <w:sz w:val="24"/>
          <w:szCs w:val="24"/>
        </w:rPr>
        <w:t xml:space="preserve">8.3 Ethical Dimensions of Structured Candidate Representation</w:t>
      </w:r>
    </w:p>
    <w:p>
      <w:pPr>
        <w:spacing w:after="120" w:line="480"/>
      </w:pPr>
      <w:r>
        <w:rPr>
          <w:rFonts w:ascii="Times New Roman" w:cs="Times New Roman" w:eastAsia="Times New Roman" w:hAnsi="Times New Roman"/>
          <w:sz w:val="24"/>
          <w:szCs w:val="24"/>
        </w:rPr>
        <w:t xml:space="preserve">The TCDR raises several ethical considerations that merit discussion. First, by making advancement decisions explicit and auditable, the TCDR increases transparency in therapeutic development. This transparency may reveal biases in candidate selection that would otherwise remain implicit in unstructured decision-making processes.</w:t>
      </w:r>
    </w:p>
    <w:p>
      <w:pPr>
        <w:spacing w:after="120" w:line="480"/>
      </w:pPr>
      <w:r>
        <w:rPr>
          <w:rFonts w:ascii="Times New Roman" w:cs="Times New Roman" w:eastAsia="Times New Roman" w:hAnsi="Times New Roman"/>
          <w:sz w:val="24"/>
          <w:szCs w:val="24"/>
        </w:rPr>
        <w:t xml:space="preserve">Second, the evidence gaps field group embodies a principle of epistemic honesty: every TCDR must declare what it does not know. This is a governance feature that counteracts the well-documented optimism bias in drug development, where candidates are advanced based on favorable data while unfavorable or missing data are underweighted. By requiring explicit enumeration of uncertainty sources, TCDR creates structural pressure toward intellectual humility in advancement decisions.</w:t>
      </w:r>
    </w:p>
    <w:p>
      <w:pPr>
        <w:spacing w:after="120" w:line="480"/>
      </w:pPr>
      <w:r>
        <w:rPr>
          <w:rFonts w:ascii="Times New Roman" w:cs="Times New Roman" w:eastAsia="Times New Roman" w:hAnsi="Times New Roman"/>
          <w:sz w:val="24"/>
          <w:szCs w:val="24"/>
        </w:rPr>
        <w:t xml:space="preserve">Third, the open licensing model (Apache 2.0) is an intentional design choice that promotes equitable access. Resource-limited research groups, particularly those in lower-income countries working on neglected tropical diseases, can adopt the TCDR standard without licensing barriers.</w:t>
      </w:r>
    </w:p>
    <w:p>
      <w:pPr>
        <w:pStyle w:val="Heading2"/>
        <w:spacing w:after="120" w:line="480"/>
      </w:pPr>
      <w:r>
        <w:rPr>
          <w:rFonts w:ascii="Times New Roman" w:cs="Times New Roman" w:eastAsia="Times New Roman" w:hAnsi="Times New Roman"/>
          <w:sz w:val="24"/>
          <w:szCs w:val="24"/>
        </w:rPr>
        <w:t xml:space="preserve">8.4 Extensibility</w:t>
      </w:r>
    </w:p>
    <w:p>
      <w:pPr>
        <w:spacing w:after="120" w:line="480"/>
      </w:pPr>
      <w:r>
        <w:rPr>
          <w:rFonts w:ascii="Times New Roman" w:cs="Times New Roman" w:eastAsia="Times New Roman" w:hAnsi="Times New Roman"/>
          <w:sz w:val="24"/>
          <w:szCs w:val="24"/>
        </w:rPr>
        <w:t xml:space="preserve">The TCDR schema is designed for extensibility through three mechanisms. First, the "other" value in the modality enum serves as an escape valve for novel therapeutic modalities. Second, the metadata section includes a platform_source field that allows platform-specific extensions to coexist with the core schema. Third, the YAML format supports additional fields beyond those specified in the schema.</w:t>
      </w:r>
    </w:p>
    <w:p>
      <w:pPr>
        <w:spacing w:after="120" w:line="480"/>
      </w:pPr>
      <w:r>
        <w:rPr>
          <w:rFonts w:ascii="Times New Roman" w:cs="Times New Roman" w:eastAsia="Times New Roman" w:hAnsi="Times New Roman"/>
          <w:sz w:val="24"/>
          <w:szCs w:val="24"/>
        </w:rPr>
        <w:t xml:space="preserve">For gene therapy applications specifically, Field Group 4 includes vector_type and capsid_serotype fields, as demonstrated in Reference Case B. Future schema extensions may add gene therapy-specific fields for promoter selection, regulatory element specification, and manufacturing titer requirements.</w:t>
      </w:r>
    </w:p>
    <w:p>
      <w:pPr>
        <w:pStyle w:val="Heading2"/>
        <w:spacing w:after="120" w:line="480"/>
      </w:pPr>
      <w:r>
        <w:rPr>
          <w:rFonts w:ascii="Times New Roman" w:cs="Times New Roman" w:eastAsia="Times New Roman" w:hAnsi="Times New Roman"/>
          <w:sz w:val="24"/>
          <w:szCs w:val="24"/>
        </w:rPr>
        <w:t xml:space="preserve">8.5 Community Adoption Pathway and Validation Plan</w:t>
      </w:r>
    </w:p>
    <w:p>
      <w:pPr>
        <w:spacing w:after="120" w:line="480"/>
      </w:pPr>
      <w:r>
        <w:rPr>
          <w:rFonts w:ascii="Times New Roman" w:cs="Times New Roman" w:eastAsia="Times New Roman" w:hAnsi="Times New Roman"/>
          <w:sz w:val="24"/>
          <w:szCs w:val="24"/>
        </w:rPr>
        <w:t xml:space="preserve">The TCDR adoption strategy follows the proven MI standard diffusion pattern. First, the schema and specification are published as an open-access paper with an Apache 2.0 licensed schema repository. Second, a reference implementation demonstrates integration within a governed pipeline. Third, preprint availability enables community feedback before journal acceptance. Fourth, the schema is designed for incremental adoption: an institution can begin by implementing only the REQUIRED fields (28 of 58) and expand to RECOMMENDED and OPTIONAL fields as their infrastructure matures.</w:t>
      </w:r>
    </w:p>
    <w:p>
      <w:pPr>
        <w:spacing w:after="120" w:line="480"/>
      </w:pPr>
      <w:r>
        <w:rPr>
          <w:rFonts w:ascii="Times New Roman" w:cs="Times New Roman" w:eastAsia="Times New Roman" w:hAnsi="Times New Roman"/>
          <w:sz w:val="24"/>
          <w:szCs w:val="24"/>
        </w:rPr>
        <w:t xml:space="preserve">The TCDR-MI v1.0 classification was developed by a single author (see Section 4.2). To address this limitation, the following community validation plan is specified for TCDR-MI v2.0. Within six months of publication, a structured expert review will be conducted using a targeted Delphi process. The target panel comprises five to seven domain experts drawn from four communities: computational biology, pharmaceutical preclinical development, gene therapy engineering, and regulatory science. The Delphi process will consist of two rounds: (1) independent classification of each field into REQUIRED, RECOMMENDED, or OPTIONAL tiers, with written rationale; (2) discussion and convergence round for fields where initial classification diverged. Fields achieving consensus (defined as agreement by five or more of seven panelists) will be confirmed. Fields without consensus will be documented as contested and flagged for empirical resolution in v3.0 based on adoption data.</w:t>
      </w:r>
    </w:p>
    <w:p>
      <w:pPr>
        <w:spacing w:after="120" w:line="480"/>
      </w:pPr>
      <w:r>
        <w:rPr>
          <w:rFonts w:ascii="Times New Roman" w:cs="Times New Roman" w:eastAsia="Times New Roman" w:hAnsi="Times New Roman"/>
          <w:sz w:val="24"/>
          <w:szCs w:val="24"/>
        </w:rPr>
        <w:t xml:space="preserve">The target adoption communities include academic computational biology groups, pharmaceutical preclinical research units, gene therapy development programs, and regulatory science researchers studying evidence standards for computational therapeutics.</w:t>
      </w:r>
    </w:p>
    <w:p>
      <w:pPr>
        <w:pStyle w:val="Heading2"/>
        <w:spacing w:after="120" w:line="480"/>
      </w:pPr>
      <w:r>
        <w:rPr>
          <w:rFonts w:ascii="Times New Roman" w:cs="Times New Roman" w:eastAsia="Times New Roman" w:hAnsi="Times New Roman"/>
          <w:sz w:val="24"/>
          <w:szCs w:val="24"/>
        </w:rPr>
        <w:t xml:space="preserve">8.6 Competitive Landscape Methodology</w:t>
      </w:r>
    </w:p>
    <w:p>
      <w:pPr>
        <w:spacing w:after="120" w:line="480"/>
      </w:pPr>
      <w:r>
        <w:rPr>
          <w:rFonts w:ascii="Times New Roman" w:cs="Times New Roman" w:eastAsia="Times New Roman" w:hAnsi="Times New Roman"/>
          <w:sz w:val="24"/>
          <w:szCs w:val="24"/>
        </w:rPr>
        <w:t xml:space="preserve">The competitive landscape analysis referenced in the abstract was conducted using the following methodology. A structured search was performed across PubMed, IEEE Xplore, ACM Digital Library, and Google Scholar using the query terms: ("minimum information" OR "reporting standard" OR "decision record" OR "computable representation") AND ("therapeutic candidate" OR "drug candidate" OR "translational" OR "drug discovery"). Additional targeted searches were conducted for AI drug discovery frameworks, gene therapy engineering standards, and regulatory guidance documents from FDA, EMA, and ICH. The search was performed in April 2026 with no date restrictions.</w:t>
      </w:r>
    </w:p>
    <w:p>
      <w:pPr>
        <w:spacing w:after="120" w:line="480"/>
      </w:pPr>
      <w:r>
        <w:rPr>
          <w:rFonts w:ascii="Times New Roman" w:cs="Times New Roman" w:eastAsia="Times New Roman" w:hAnsi="Times New Roman"/>
          <w:sz w:val="24"/>
          <w:szCs w:val="24"/>
        </w:rPr>
        <w:t xml:space="preserve">Inclusion criteria: any standard, schema, ontology, or framework that defines structured fields for representing a therapeutic entity (molecule, biologic, vector, or combination) as a decision object. Exclusion criteria: molecular property prediction benchmarks (which represent molecules but not candidates), clinical trial registries (which represent trials but not candidates), and general-purpose biomedical ontologies (which provide vocabulary but not decision-oriented structure). Twenty-five references across six domains (MI standards, AI drug discovery, gene therapy, regulatory guidance, molecular benchmarks, clinical reporting) were included. The complete analysis, including the classification rationale for each reference, is provided in the supplementary materials (competitive_landscape.md).</w:t>
      </w:r>
    </w:p>
    <w:p>
      <w:pPr>
        <w:pStyle w:val="Heading1"/>
        <w:spacing w:after="120" w:line="480"/>
      </w:pPr>
      <w:r>
        <w:rPr>
          <w:rFonts w:ascii="Times New Roman" w:cs="Times New Roman" w:eastAsia="Times New Roman" w:hAnsi="Times New Roman"/>
          <w:sz w:val="24"/>
          <w:szCs w:val="24"/>
        </w:rPr>
        <w:t xml:space="preserve">9. Conclusion</w:t>
      </w:r>
    </w:p>
    <w:p>
      <w:pPr>
        <w:spacing w:after="120" w:line="480"/>
      </w:pPr>
      <w:r>
        <w:rPr>
          <w:rFonts w:ascii="Times New Roman" w:cs="Times New Roman" w:eastAsia="Times New Roman" w:hAnsi="Times New Roman"/>
          <w:sz w:val="24"/>
          <w:szCs w:val="24"/>
        </w:rPr>
        <w:t xml:space="preserve">This paper introduces Therapeutic Candidate Decision Records (TCDRs) and TCDR-MI as the first community reference model for representing therapeutic candidates as structured, computable decision objects. The TCDR schema defines 58 fields across 9 field groups, classified by TCDR-MI into 28 required, 18 recommended, and 12 optional fields. Two reference cases for Complex I deficiency in mitochondrial cardiomyopathy, spanning small-molecule and gene therapy modalities, demonstrate complete schema population from publicly available data and exercise the modality-specific conditional field logic. The MCDA rubric with seven-scenario sensitivity analysis and tipping point analysis provides quantitative decision support for structured advancement logic.</w:t>
      </w:r>
    </w:p>
    <w:p>
      <w:pPr>
        <w:spacing w:after="120" w:line="480"/>
      </w:pPr>
      <w:r>
        <w:rPr>
          <w:rFonts w:ascii="Times New Roman" w:cs="Times New Roman" w:eastAsia="Times New Roman" w:hAnsi="Times New Roman"/>
          <w:sz w:val="24"/>
          <w:szCs w:val="24"/>
        </w:rPr>
        <w:t xml:space="preserve">The contribution is field-forming in two senses. First, it establishes a new category of minimum information standard: one that addresses the therapeutic candidate itself, rather than the experiments, models, or assays that inform its design. Second, it provides the universal internal language for computational therapeutics platforms, enabling cross-modality candidate comparison within a single structured architecture.</w:t>
      </w:r>
    </w:p>
    <w:p>
      <w:pPr>
        <w:spacing w:after="120" w:line="480"/>
      </w:pPr>
      <w:r>
        <w:rPr>
          <w:rFonts w:ascii="Times New Roman" w:cs="Times New Roman" w:eastAsia="Times New Roman" w:hAnsi="Times New Roman"/>
          <w:sz w:val="24"/>
          <w:szCs w:val="24"/>
        </w:rPr>
        <w:t xml:space="preserve">The TCDR schema (Apache 2.0) and TCDR-MI checklist are available for community adoption and feedback. The planned Delphi validation process for TCDR-MI v2.0 (Section 8.5) will strengthen the classification through structured expert consensus.</w:t>
      </w:r>
    </w:p>
    <w:p>
      <w:pPr>
        <w:pStyle w:val="Heading1"/>
        <w:spacing w:after="120" w:line="480"/>
      </w:pPr>
      <w:r>
        <w:rPr>
          <w:rFonts w:ascii="Times New Roman" w:cs="Times New Roman" w:eastAsia="Times New Roman" w:hAnsi="Times New Roman"/>
          <w:sz w:val="24"/>
          <w:szCs w:val="24"/>
        </w:rPr>
        <w:t xml:space="preserve">Data Availability</w:t>
      </w:r>
    </w:p>
    <w:p>
      <w:pPr>
        <w:spacing w:after="120" w:line="480"/>
      </w:pPr>
      <w:r>
        <w:rPr>
          <w:rFonts w:ascii="Times New Roman" w:cs="Times New Roman" w:eastAsia="Times New Roman" w:hAnsi="Times New Roman"/>
          <w:sz w:val="24"/>
          <w:szCs w:val="24"/>
        </w:rPr>
        <w:t xml:space="preserve">The TCDR schema (tcdr_schema_v1.0.yaml), TCDR-MI checklist (tcdr_mi_v1.0.yaml), reference cases (tcdr_example_complex1.json, tcdr_example_aav9_ndufs1.json), and competitive landscape analysis (competitive_landscape.md) are available under the Apache 2.0 license at:</w:t>
      </w:r>
    </w:p>
    <w:p>
      <w:pPr>
        <w:spacing w:after="120" w:line="480"/>
      </w:pPr>
      <w:r>
        <w:rPr>
          <w:rFonts w:ascii="Times New Roman" w:cs="Times New Roman" w:eastAsia="Times New Roman" w:hAnsi="Times New Roman"/>
          <w:sz w:val="24"/>
          <w:szCs w:val="24"/>
        </w:rPr>
        <w:t xml:space="preserve">https://github.com/fxmedus/aidd-gov/tree/main/schemas/tcdr/v1.0</w:t>
      </w:r>
    </w:p>
    <w:p>
      <w:pPr>
        <w:pStyle w:val="Heading1"/>
        <w:spacing w:after="120" w:line="480"/>
      </w:pPr>
      <w:r>
        <w:rPr>
          <w:rFonts w:ascii="Times New Roman" w:cs="Times New Roman" w:eastAsia="Times New Roman" w:hAnsi="Times New Roman"/>
          <w:sz w:val="24"/>
          <w:szCs w:val="24"/>
        </w:rPr>
        <w:t xml:space="preserve">Declarations</w:t>
      </w:r>
    </w:p>
    <w:p>
      <w:pPr>
        <w:pStyle w:val="Heading2"/>
        <w:spacing w:after="120" w:line="480"/>
      </w:pPr>
      <w:r>
        <w:rPr>
          <w:rFonts w:ascii="Times New Roman" w:cs="Times New Roman" w:eastAsia="Times New Roman" w:hAnsi="Times New Roman"/>
          <w:sz w:val="24"/>
          <w:szCs w:val="24"/>
        </w:rPr>
        <w:t xml:space="preserve">Ethics Approval</w:t>
      </w:r>
    </w:p>
    <w:p>
      <w:pPr>
        <w:spacing w:after="120" w:line="480"/>
      </w:pPr>
      <w:r>
        <w:rPr>
          <w:rFonts w:ascii="Times New Roman" w:cs="Times New Roman" w:eastAsia="Times New Roman" w:hAnsi="Times New Roman"/>
          <w:sz w:val="24"/>
          <w:szCs w:val="24"/>
        </w:rPr>
        <w:t xml:space="preserve">Not applicable. This study did not involve human participants, animals, or patient data.</w:t>
      </w:r>
    </w:p>
    <w:p>
      <w:pPr>
        <w:pStyle w:val="Heading2"/>
        <w:spacing w:after="120" w:line="480"/>
      </w:pPr>
      <w:r>
        <w:rPr>
          <w:rFonts w:ascii="Times New Roman" w:cs="Times New Roman" w:eastAsia="Times New Roman" w:hAnsi="Times New Roman"/>
          <w:sz w:val="24"/>
          <w:szCs w:val="24"/>
        </w:rPr>
        <w:t xml:space="preserve">Consent for Publication</w:t>
      </w:r>
    </w:p>
    <w:p>
      <w:pPr>
        <w:spacing w:after="120" w:line="480"/>
      </w:pPr>
      <w:r>
        <w:rPr>
          <w:rFonts w:ascii="Times New Roman" w:cs="Times New Roman" w:eastAsia="Times New Roman" w:hAnsi="Times New Roman"/>
          <w:sz w:val="24"/>
          <w:szCs w:val="24"/>
        </w:rPr>
        <w:t xml:space="preserve">Not applicable.</w:t>
      </w:r>
    </w:p>
    <w:p>
      <w:pPr>
        <w:pStyle w:val="Heading2"/>
        <w:spacing w:after="120" w:line="480"/>
      </w:pPr>
      <w:r>
        <w:rPr>
          <w:rFonts w:ascii="Times New Roman" w:cs="Times New Roman" w:eastAsia="Times New Roman" w:hAnsi="Times New Roman"/>
          <w:sz w:val="24"/>
          <w:szCs w:val="24"/>
        </w:rPr>
        <w:t xml:space="preserve">Competing Interests</w:t>
      </w:r>
    </w:p>
    <w:p>
      <w:pPr>
        <w:spacing w:after="120" w:line="480"/>
      </w:pPr>
      <w:r>
        <w:rPr>
          <w:rFonts w:ascii="Times New Roman" w:cs="Times New Roman" w:eastAsia="Times New Roman" w:hAnsi="Times New Roman"/>
          <w:sz w:val="24"/>
          <w:szCs w:val="24"/>
        </w:rPr>
        <w:t xml:space="preserve">The author is the sole founder of FxMEDUS LLC, which develops the DrugSynthAI platform referenced as a reference implementation in this paper. The TCDR schema is published under an open-source license and is not proprietary to any platform.</w:t>
      </w:r>
    </w:p>
    <w:p>
      <w:pPr>
        <w:pStyle w:val="Heading2"/>
        <w:spacing w:after="120" w:line="480"/>
      </w:pPr>
      <w:r>
        <w:rPr>
          <w:rFonts w:ascii="Times New Roman" w:cs="Times New Roman" w:eastAsia="Times New Roman" w:hAnsi="Times New Roman"/>
          <w:sz w:val="24"/>
          <w:szCs w:val="24"/>
        </w:rPr>
        <w:t xml:space="preserve">Funding</w:t>
      </w:r>
    </w:p>
    <w:p>
      <w:pPr>
        <w:spacing w:after="120" w:line="480"/>
      </w:pPr>
      <w:r>
        <w:rPr>
          <w:rFonts w:ascii="Times New Roman" w:cs="Times New Roman" w:eastAsia="Times New Roman" w:hAnsi="Times New Roman"/>
          <w:sz w:val="24"/>
          <w:szCs w:val="24"/>
        </w:rPr>
        <w:t xml:space="preserve">This research received no external funding.</w:t>
      </w:r>
    </w:p>
    <w:p>
      <w:pPr>
        <w:pStyle w:val="Heading2"/>
        <w:spacing w:after="120" w:line="480"/>
      </w:pPr>
      <w:r>
        <w:rPr>
          <w:rFonts w:ascii="Times New Roman" w:cs="Times New Roman" w:eastAsia="Times New Roman" w:hAnsi="Times New Roman"/>
          <w:sz w:val="24"/>
          <w:szCs w:val="24"/>
        </w:rPr>
        <w:t xml:space="preserve">Author Contributions</w:t>
      </w:r>
    </w:p>
    <w:p>
      <w:pPr>
        <w:spacing w:after="120" w:line="480"/>
      </w:pPr>
      <w:r>
        <w:rPr>
          <w:rFonts w:ascii="Times New Roman" w:cs="Times New Roman" w:eastAsia="Times New Roman" w:hAnsi="Times New Roman"/>
          <w:sz w:val="24"/>
          <w:szCs w:val="24"/>
        </w:rPr>
        <w:t xml:space="preserve">JB conceived the TCDR model, designed the schema, conducted the competitive landscape analysis, constructed both reference cases, performed the MCDA analysis with expanded sensitivity analysis, and wrote the manuscript.</w:t>
      </w:r>
    </w:p>
    <w:p>
      <w:pPr>
        <w:pStyle w:val="Heading2"/>
        <w:spacing w:after="120" w:line="480"/>
      </w:pPr>
      <w:r>
        <w:rPr>
          <w:rFonts w:ascii="Times New Roman" w:cs="Times New Roman" w:eastAsia="Times New Roman" w:hAnsi="Times New Roman"/>
          <w:sz w:val="24"/>
          <w:szCs w:val="24"/>
        </w:rPr>
        <w:t xml:space="preserve">Supplementary Materials</w:t>
      </w:r>
    </w:p>
    <w:p>
      <w:pPr>
        <w:spacing w:after="120" w:line="480"/>
      </w:pPr>
      <w:r>
        <w:rPr>
          <w:rFonts w:ascii="Times New Roman" w:cs="Times New Roman" w:eastAsia="Times New Roman" w:hAnsi="Times New Roman"/>
          <w:sz w:val="24"/>
          <w:szCs w:val="24"/>
        </w:rPr>
        <w:t xml:space="preserve">The following supplementary materials accompany this manuscript: (1) competitive_landscape.md: complete competitive landscape analysis with search strategy, inclusion/exclusion criteria, and classification rationale for all 25 references; (2) tcdr_field_classification_rationale.md: individual classification rationale for each of the 58 fields; (3) tcdr_example_aav9_ndufs1.json: gene therapy reference case JSON.</w:t>
      </w:r>
    </w:p>
    <w:p>
      <w:r>
        <w:br w:type="page"/>
      </w:r>
    </w:p>
    <w:p>
      <w:pPr>
        <w:pStyle w:val="Heading1"/>
        <w:spacing w:after="120" w:line="480"/>
      </w:pPr>
      <w:r>
        <w:rPr>
          <w:rFonts w:ascii="Times New Roman" w:cs="Times New Roman" w:eastAsia="Times New Roman" w:hAnsi="Times New Roman"/>
          <w:sz w:val="24"/>
          <w:szCs w:val="24"/>
        </w:rPr>
        <w:t xml:space="preserve">References</w:t>
      </w:r>
    </w:p>
    <w:p>
      <w:pPr>
        <w:spacing w:after="60" w:line="240"/>
        <w:ind w:left="720" w:hanging="720"/>
      </w:pPr>
      <w:r>
        <w:rPr>
          <w:rFonts w:ascii="Times New Roman" w:cs="Times New Roman" w:eastAsia="Times New Roman" w:hAnsi="Times New Roman"/>
          <w:sz w:val="24"/>
          <w:szCs w:val="24"/>
        </w:rPr>
        <w:t xml:space="preserve">1. Agip AA, Blaza JN, Fedor JG, Hirst J. Cryo-EM structures of complex I from mouse heart mitochondria in two biochemically defined states. Science Advances. 2019;5(12):eaax9484. DOI: 10.1126/sciadv.aax9484</w:t>
      </w:r>
    </w:p>
    <w:p>
      <w:pPr>
        <w:spacing w:after="60" w:line="240"/>
        <w:ind w:left="720" w:hanging="720"/>
      </w:pPr>
      <w:r>
        <w:rPr>
          <w:rFonts w:ascii="Times New Roman" w:cs="Times New Roman" w:eastAsia="Times New Roman" w:hAnsi="Times New Roman"/>
          <w:sz w:val="24"/>
          <w:szCs w:val="24"/>
        </w:rPr>
        <w:t xml:space="preserve">2. Bénit P, Chretien D, Kadhom N, et al. Large-scale deletion and point mutations of the nuclear NDUFV1 and NDUFS1 genes in mitochondrial complex I deficiency. Am J Hum Genet. 2001;68(6):1344-1352. DOI: 10.1086/320603</w:t>
      </w:r>
    </w:p>
    <w:p>
      <w:pPr>
        <w:spacing w:after="60" w:line="240"/>
        <w:ind w:left="720" w:hanging="720"/>
      </w:pPr>
      <w:r>
        <w:rPr>
          <w:rFonts w:ascii="Times New Roman" w:cs="Times New Roman" w:eastAsia="Times New Roman" w:hAnsi="Times New Roman"/>
          <w:sz w:val="24"/>
          <w:szCs w:val="24"/>
        </w:rPr>
        <w:t xml:space="preserve">3. Blaschke T, Arús-Pous J, Chen H, et al. REINVENT 2.0: An AI Tool for De Novo Drug Design. J Chem Inf Model. 2020;60(12):5918-5922. DOI: 10.1021/acs.jcim.0c00915</w:t>
      </w:r>
    </w:p>
    <w:p>
      <w:pPr>
        <w:spacing w:after="60" w:line="240"/>
        <w:ind w:left="720" w:hanging="720"/>
      </w:pPr>
      <w:r>
        <w:rPr>
          <w:rFonts w:ascii="Times New Roman" w:cs="Times New Roman" w:eastAsia="Times New Roman" w:hAnsi="Times New Roman"/>
          <w:sz w:val="24"/>
          <w:szCs w:val="24"/>
        </w:rPr>
        <w:t xml:space="preserve">4. Brazma A, Hingamp P, Quackenbush J, et al. Minimum information about a microarray experiment (MIAME): toward standards for microarray data. Nat Genet. 2001;29(4):365-371. DOI: 10.1038/ng1201-365</w:t>
      </w:r>
    </w:p>
    <w:p>
      <w:pPr>
        <w:spacing w:after="60" w:line="240"/>
        <w:ind w:left="720" w:hanging="720"/>
      </w:pPr>
      <w:r>
        <w:rPr>
          <w:rFonts w:ascii="Times New Roman" w:cs="Times New Roman" w:eastAsia="Times New Roman" w:hAnsi="Times New Roman"/>
          <w:sz w:val="24"/>
          <w:szCs w:val="24"/>
        </w:rPr>
        <w:t xml:space="preserve">5. Brown N, Fiscato M, Segler MHS, Vaucher AC. GuacaMol: Benchmarking Models for de Novo Molecular Design. J Chem Inf Model. 2019;59(3):1096-1108. DOI: 10.1021/acs.jcim.8b00839</w:t>
      </w:r>
    </w:p>
    <w:p>
      <w:pPr>
        <w:spacing w:after="60" w:line="240"/>
        <w:ind w:left="720" w:hanging="720"/>
      </w:pPr>
      <w:r>
        <w:rPr>
          <w:rFonts w:ascii="Times New Roman" w:cs="Times New Roman" w:eastAsia="Times New Roman" w:hAnsi="Times New Roman"/>
          <w:sz w:val="24"/>
          <w:szCs w:val="24"/>
        </w:rPr>
        <w:t xml:space="preserve">6. Bryant DH, Bashir A, Sinai S, et al. Deep diversification of an AAV capsid protein by machine learning. Nat Biotechnol. 2021;39(6):691-696. DOI: 10.1038/s41587-020-00793-4</w:t>
      </w:r>
    </w:p>
    <w:p>
      <w:pPr>
        <w:spacing w:after="60" w:line="240"/>
        <w:ind w:left="720" w:hanging="720"/>
      </w:pPr>
      <w:r>
        <w:rPr>
          <w:rFonts w:ascii="Times New Roman" w:cs="Times New Roman" w:eastAsia="Times New Roman" w:hAnsi="Times New Roman"/>
          <w:sz w:val="24"/>
          <w:szCs w:val="24"/>
        </w:rPr>
        <w:t xml:space="preserve">7. Bustin SA, Benes V, Garson JA, et al. The MIQE guidelines: minimum information for publication of quantitative real-time PCR experiments. Clin Chem. 2009;55(4):611-622. DOI: 10.1373/clinchem.2008.112797</w:t>
      </w:r>
    </w:p>
    <w:p>
      <w:pPr>
        <w:spacing w:after="60" w:line="240"/>
        <w:ind w:left="720" w:hanging="720"/>
      </w:pPr>
      <w:r>
        <w:rPr>
          <w:rFonts w:ascii="Times New Roman" w:cs="Times New Roman" w:eastAsia="Times New Roman" w:hAnsi="Times New Roman"/>
          <w:sz w:val="24"/>
          <w:szCs w:val="24"/>
        </w:rPr>
        <w:t xml:space="preserve">8. Deutsch EW, Ball CA, Berman JJ, et al. Minimum information specification for in situ hybridization and immunohistochemistry experiments (MISFISHIE). Nat Biotechnol. 2008;26(3):305-312. DOI: 10.1038/nbt1391</w:t>
      </w:r>
    </w:p>
    <w:p>
      <w:pPr>
        <w:spacing w:after="60" w:line="240"/>
        <w:ind w:left="720" w:hanging="720"/>
      </w:pPr>
      <w:r>
        <w:rPr>
          <w:rFonts w:ascii="Times New Roman" w:cs="Times New Roman" w:eastAsia="Times New Roman" w:hAnsi="Times New Roman"/>
          <w:sz w:val="24"/>
          <w:szCs w:val="24"/>
        </w:rPr>
        <w:t xml:space="preserve">9. Food and Drug Administration. Using Artificial Intelligence and Machine Learning in the Development of Drug and Biological Products: Discussion Paper. FDA; 2023. Available at: https://www.fda.gov/media/167973/download</w:t>
      </w:r>
    </w:p>
    <w:p>
      <w:pPr>
        <w:spacing w:after="60" w:line="240"/>
        <w:ind w:left="720" w:hanging="720"/>
      </w:pPr>
      <w:r>
        <w:rPr>
          <w:rFonts w:ascii="Times New Roman" w:cs="Times New Roman" w:eastAsia="Times New Roman" w:hAnsi="Times New Roman"/>
          <w:sz w:val="24"/>
          <w:szCs w:val="24"/>
        </w:rPr>
        <w:t xml:space="preserve">10. Granat L, Knorr DY, Ranson DC, et al. Yeast NDI1 reconfigures neuronal metabolism and prevents the unfolded protein response in mitochondrial complex I deficiency. PLoS Genet. 2023;19(7):e1010793. DOI: 10.1371/journal.pgen.1010793</w:t>
      </w:r>
    </w:p>
    <w:p>
      <w:pPr>
        <w:spacing w:after="60" w:line="240"/>
        <w:ind w:left="720" w:hanging="720"/>
      </w:pPr>
      <w:r>
        <w:rPr>
          <w:rFonts w:ascii="Times New Roman" w:cs="Times New Roman" w:eastAsia="Times New Roman" w:hAnsi="Times New Roman"/>
          <w:sz w:val="24"/>
          <w:szCs w:val="24"/>
        </w:rPr>
        <w:t xml:space="preserve">11. Granat L, Knorr DY, Ranson DC, et al. A Drosophila model of mitochondrial disease phenotypic heterogeneity. Biol Open. 2024;13(2):bio060278. DOI: 10.1242/bio.060278</w:t>
      </w:r>
    </w:p>
    <w:p>
      <w:pPr>
        <w:spacing w:after="60" w:line="240"/>
        <w:ind w:left="720" w:hanging="720"/>
      </w:pPr>
      <w:r>
        <w:rPr>
          <w:rFonts w:ascii="Times New Roman" w:cs="Times New Roman" w:eastAsia="Times New Roman" w:hAnsi="Times New Roman"/>
          <w:sz w:val="24"/>
          <w:szCs w:val="24"/>
        </w:rPr>
        <w:t xml:space="preserve">12. Huang K, Fu T, Gao W, et al. Therapeutics Data Commons: Machine Learning Datasets and Tasks for Drug Discovery and Development. NeurIPS Datasets and Benchmarks. 2021. DOI: 10.48550/arXiv.2102.09548</w:t>
      </w:r>
    </w:p>
    <w:p>
      <w:pPr>
        <w:spacing w:after="60" w:line="240"/>
        <w:ind w:left="720" w:hanging="720"/>
      </w:pPr>
      <w:r>
        <w:rPr>
          <w:rFonts w:ascii="Times New Roman" w:cs="Times New Roman" w:eastAsia="Times New Roman" w:hAnsi="Times New Roman"/>
          <w:sz w:val="24"/>
          <w:szCs w:val="24"/>
        </w:rPr>
        <w:t xml:space="preserve">13. International Council for Harmonisation. ICH M3(R2): Nonclinical Safety Studies for the Conduct of Human Clinical Trials and Marketing Authorization for Pharmaceuticals. ICH; 2009. DOI: 10.1002/9780470571224.pse360</w:t>
      </w:r>
    </w:p>
    <w:p>
      <w:pPr>
        <w:spacing w:after="60" w:line="240"/>
        <w:ind w:left="720" w:hanging="720"/>
      </w:pPr>
      <w:r>
        <w:rPr>
          <w:rFonts w:ascii="Times New Roman" w:cs="Times New Roman" w:eastAsia="Times New Roman" w:hAnsi="Times New Roman"/>
          <w:sz w:val="24"/>
          <w:szCs w:val="24"/>
        </w:rPr>
        <w:t xml:space="preserve">14. International Council for Harmonisation. ICH S6(R1): Preclinical Safety Evaluation of Biotechnology-Derived Pharmaceuticals. ICH; 2011. Available at: https://database.ich.org/sites/default/files/S6_R1_Guideline_0.pdf</w:t>
      </w:r>
    </w:p>
    <w:p>
      <w:pPr>
        <w:spacing w:after="60" w:line="240"/>
        <w:ind w:left="720" w:hanging="720"/>
      </w:pPr>
      <w:r>
        <w:rPr>
          <w:rFonts w:ascii="Times New Roman" w:cs="Times New Roman" w:eastAsia="Times New Roman" w:hAnsi="Times New Roman"/>
          <w:sz w:val="24"/>
          <w:szCs w:val="24"/>
        </w:rPr>
        <w:t xml:space="preserve">15. Men L, Feng J, Huang W, et al. Lip cyanosis as the first symptom of Leigh syndrome associated with mitochondrial complex I deficiency due to a compound heterozygous NDUFS1 mutation: A case report. Medicine. 2022;101(34):e30303. DOI: 10.1097/MD.0000000000030303</w:t>
      </w:r>
    </w:p>
    <w:p>
      <w:pPr>
        <w:spacing w:after="60" w:line="240"/>
        <w:ind w:left="720" w:hanging="720"/>
      </w:pPr>
      <w:r>
        <w:rPr>
          <w:rFonts w:ascii="Times New Roman" w:cs="Times New Roman" w:eastAsia="Times New Roman" w:hAnsi="Times New Roman"/>
          <w:sz w:val="24"/>
          <w:szCs w:val="24"/>
        </w:rPr>
        <w:t xml:space="preserve">16. Mendell JR, Al-Zaidy S, Shell R, et al. Single-Dose Gene-Replacement Therapy for Spinal Muscular Atrophy. N Engl J Med. 2017;377(18):1713-1722. DOI: 10.1056/NEJMoa1706198</w:t>
      </w:r>
    </w:p>
    <w:p>
      <w:pPr>
        <w:spacing w:after="60" w:line="240"/>
        <w:ind w:left="720" w:hanging="720"/>
      </w:pPr>
      <w:r>
        <w:rPr>
          <w:rFonts w:ascii="Times New Roman" w:cs="Times New Roman" w:eastAsia="Times New Roman" w:hAnsi="Times New Roman"/>
          <w:sz w:val="24"/>
          <w:szCs w:val="24"/>
        </w:rPr>
        <w:t xml:space="preserve">17. Norgeot B, Quer G, Beaulieu-Jones BK, et al. Minimum information about clinical artificial intelligence modeling: the MI-CLAIM checklist. Nat Med. 2020;26(9):1320-1324. DOI: 10.1038/s41591-020-1041-y</w:t>
      </w:r>
    </w:p>
    <w:p>
      <w:pPr>
        <w:spacing w:after="60" w:line="240"/>
        <w:ind w:left="720" w:hanging="720"/>
      </w:pPr>
      <w:r>
        <w:rPr>
          <w:rFonts w:ascii="Times New Roman" w:cs="Times New Roman" w:eastAsia="Times New Roman" w:hAnsi="Times New Roman"/>
          <w:sz w:val="24"/>
          <w:szCs w:val="24"/>
        </w:rPr>
        <w:t xml:space="preserve">18. Pagniez-Mammeri H, Loublier S, Legrand A, Bénit P, Rustin P, Slama A. Mitochondrial complex I deficiency of nuclear origin I. Structural genes. Mol Genet Metab. 2011;105(2):163-172. DOI: 10.1016/j.ymgme.2011.11.188</w:t>
      </w:r>
    </w:p>
    <w:p>
      <w:pPr>
        <w:spacing w:after="60" w:line="240"/>
        <w:ind w:left="720" w:hanging="720"/>
      </w:pPr>
      <w:r>
        <w:rPr>
          <w:rFonts w:ascii="Times New Roman" w:cs="Times New Roman" w:eastAsia="Times New Roman" w:hAnsi="Times New Roman"/>
          <w:sz w:val="24"/>
          <w:szCs w:val="24"/>
        </w:rPr>
        <w:t xml:space="preserve">19. Shelmerdine SC, Arthurs OJ, Denniston A, Sebire NJ. Review of study reporting guidelines for clinical studies using artificial intelligence in healthcare. BMJ Health Care Inform. 2021;28(1):e100385. DOI: 10.1136/bmjhci-2021-100385</w:t>
      </w:r>
    </w:p>
    <w:p>
      <w:pPr>
        <w:spacing w:after="60" w:line="240"/>
        <w:ind w:left="720" w:hanging="720"/>
      </w:pPr>
      <w:r>
        <w:rPr>
          <w:rFonts w:ascii="Times New Roman" w:cs="Times New Roman" w:eastAsia="Times New Roman" w:hAnsi="Times New Roman"/>
          <w:sz w:val="24"/>
          <w:szCs w:val="24"/>
        </w:rPr>
        <w:t xml:space="preserve">20. Taylor CF, Field D, Sansone SA, et al. Promoting coherent minimum reporting guidelines for biological and biomedical investigations: the MIBBI project. Nat Biotechnol. 2008;26(8):889-896. DOI: 10.1038/nbt.1411</w:t>
      </w:r>
    </w:p>
    <w:p>
      <w:pPr>
        <w:spacing w:after="60" w:line="240"/>
        <w:ind w:left="720" w:hanging="720"/>
      </w:pPr>
      <w:r>
        <w:rPr>
          <w:rFonts w:ascii="Times New Roman" w:cs="Times New Roman" w:eastAsia="Times New Roman" w:hAnsi="Times New Roman"/>
          <w:sz w:val="24"/>
          <w:szCs w:val="24"/>
        </w:rPr>
        <w:t xml:space="preserve">21. Wu Z, Ramsundar B, Feinberg EN, et al. MoleculeNet: a benchmark for molecular machine learning. Chem Sci. 2018;9(2):513-530. DOI: 10.1039/c7sc02664a</w:t>
      </w:r>
    </w:p>
    <w:sectPr>
      <w:headerReference w:type="default" r:id="rId7"/>
      <w:footerReference w:type="default" r:id="rId8"/>
      <w:pgSz w:w="12240" w:h="15840"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right"/>
    </w:pPr>
    <w:r>
      <w:rPr>
        <w:rFonts w:ascii="Times New Roman" w:cs="Times New Roman" w:eastAsia="Times New Roman" w:hAnsi="Times New Roman"/>
        <w:sz w:val="18"/>
        <w:szCs w:val="18"/>
      </w:rPr>
      <w:t xml:space="preserve">Borges </w:t>
    </w:r>
    <w:r>
      <w:rPr>
        <w:rFonts w:ascii="Times New Roman" w:cs="Times New Roman" w:eastAsia="Times New Roman" w:hAnsi="Times New Roman"/>
        <w:sz w:val="18"/>
        <w:szCs w:val="18"/>
      </w:rPr>
      <w:t xml:space="preserve">| TCDR Standards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fcf0e2a4f92bd49b7515a16b27194190daf8b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2026-05-18T18:09:37.263Z</dcterms:created>
  <dcterms:modified xsi:type="dcterms:W3CDTF">2026-05-18T18:09:37.263Z</dcterms:modified>
</cp:coreProperties>
</file>

<file path=docProps/custom.xml><?xml version="1.0" encoding="utf-8"?>
<Properties xmlns="http://schemas.openxmlformats.org/officeDocument/2006/custom-properties" xmlns:vt="http://schemas.openxmlformats.org/officeDocument/2006/docPropsVTypes"/>
</file>