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Structured Multi-Criteria Evaluation of Computationally Generated Therapeutic Candidates: A Case Series from the MitoCoreX Mitochondrial Drug Discovery Pipeline</w:t>
      </w:r>
    </w:p>
    <w:p>
      <w:pPr>
        <w:spacing w:after="80" w:line="360"/>
        <w:jc w:val="center"/>
      </w:pPr>
      <w:r>
        <w:rPr>
          <w:rFonts w:ascii="Times New Roman" w:cs="Times New Roman" w:eastAsia="Times New Roman" w:hAnsi="Times New Roman"/>
          <w:b/>
          <w:bCs/>
          <w:sz w:val="24"/>
          <w:szCs w:val="24"/>
        </w:rPr>
        <w:t xml:space="preserve">Julian Borges, MD, MS</w:t>
      </w:r>
    </w:p>
    <w:p>
      <w:pPr>
        <w:spacing w:after="80" w:line="360"/>
        <w:jc w:val="center"/>
      </w:pPr>
      <w:r>
        <w:rPr>
          <w:rFonts w:ascii="Times New Roman" w:cs="Times New Roman" w:eastAsia="Times New Roman" w:hAnsi="Times New Roman"/>
          <w:sz w:val="24"/>
          <w:szCs w:val="24"/>
        </w:rPr>
        <w:t xml:space="preserve">Department of Computer Science, Boston University, Boston, MA 02215, USA</w:t>
      </w:r>
    </w:p>
    <w:p>
      <w:pPr>
        <w:spacing w:after="80" w:line="360"/>
        <w:jc w:val="center"/>
      </w:pPr>
      <w:r>
        <w:rPr>
          <w:rFonts w:ascii="Times New Roman" w:cs="Times New Roman" w:eastAsia="Times New Roman" w:hAnsi="Times New Roman"/>
          <w:sz w:val="24"/>
          <w:szCs w:val="24"/>
        </w:rPr>
        <w:t xml:space="preserve">Correspondence: fxmedbrasil@gmail.com</w:t>
      </w:r>
    </w:p>
    <w:p>
      <w:pPr>
        <w:spacing w:after="200" w:line="360"/>
        <w:jc w:val="center"/>
      </w:pPr>
      <w:r>
        <w:rPr>
          <w:rFonts w:ascii="Times New Roman" w:cs="Times New Roman" w:eastAsia="Times New Roman" w:hAnsi="Times New Roman"/>
          <w:sz w:val="24"/>
          <w:szCs w:val="24"/>
        </w:rPr>
        <w:t xml:space="preserve">ORCID: 0009-0001-9929-3135</w:t>
      </w:r>
    </w:p>
    <w:p>
      <w:pPr>
        <w:pStyle w:val="Heading1"/>
        <w:spacing w:after="160" w:before="240" w:line="360"/>
      </w:pPr>
      <w:r>
        <w:rPr>
          <w:rFonts w:ascii="Times New Roman" w:cs="Times New Roman" w:eastAsia="Times New Roman" w:hAnsi="Times New Roman"/>
          <w:b/>
          <w:bCs/>
          <w:sz w:val="26"/>
          <w:szCs w:val="26"/>
        </w:rPr>
        <w:t xml:space="preserve">Abstract</w:t>
      </w:r>
    </w:p>
    <w:p>
      <w:pPr>
        <w:spacing w:after="80" w:line="36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Computational drug discovery pipelines generate large numbers of candidate molecules, but translational prioritization typically relies on single metrics such as docking score or predicted binding affinity. No published framework applies structured multi-criteria evaluation to computationally generated candidates from a governed AI drug discovery pipeline.</w:t>
      </w:r>
    </w:p>
    <w:p>
      <w:pPr>
        <w:spacing w:after="80" w:line="360"/>
        <w:jc w:val="both"/>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evaluate whether the Therapeutic Candidate Decision Record (TCDR) Engine, applied to candidates from the MitoCoreX mitochondrial drug discovery pipeline, reveals translational insights that single-metric ranking cannot provide.</w:t>
      </w:r>
    </w:p>
    <w:p>
      <w:pPr>
        <w:spacing w:after="80" w:line="36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Twenty candidates were selected by stratified sampling from a 201-compound library spanning 25 mitochondrial targets, five modalities (small molecule, gene therapy, mRNA, peptide, and reference compounds), and five clinical phases (preclinical through approved). Each candidate was evaluated using the TCDR Engine (Paper 2 of this series), which computes scores across seven dimensions: efficacy potential, safety profile, development feasibility, evidence maturity, scientific novelty, manufacturing readiness, and strategic alignment. Three calibration bridge compounds (idebenone, EPI-743, coenzyme Q10) were included to verify scoring reproducibility against Paper 2 values. Pareto frontier analysis, cross-target comparison, cross-modality evaluation, portfolio optimization, and evidence gap mapping were performed. Structural data for novel compounds were protected under intellectual property restriction R62: candidates are referenced by identifier only, with docking results reported as categories rather than exact values.</w:t>
      </w:r>
    </w:p>
    <w:p>
      <w:pPr>
        <w:spacing w:after="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Calibration bridge scores reproduced Paper 2 values within the pre-specified tolerance of plus or minus 0.05 across all seven dimensions and all three compounds. The Pareto frontier comprised six candidates: five clinically advanced reference compounds and one computationally generated candidate (PKA-002, a computationally predicted PINK1 G309D-selective activator). Fourteen novel candidates were dominated, with evidence maturity (D4) identified as the universal bottleneck: preclinical candidates averaged D4 of 0.22 compared to 0.76 for approved compounds, a 0.54-point gap. Single-metric ranking by docking score alone would place three novel candidates in the top five, displacing idebenone and coenzyme Q10. The TCDR Engine correctly identified this reordering as premature given the absence of in vivo validation. Cross-target analysis ranked NDUFV1 (Complex I) as the most tractable target (three modalities, Phase III clinical lead) and SDHA (Complex II) as the least tractable (single modality, no gene therapy option). Portfolio optimization identified a minimum five-candidate set covering all priority targets and an expanded nine-candidate portfolio with modality diversification.</w:t>
      </w:r>
    </w:p>
    <w:p>
      <w:pPr>
        <w:spacing w:after="80" w:line="36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Structured multi-criteria evaluation applied to an AI-generated compound library provides three capabilities that single-metric ranking cannot: evidence-aware translational gating, cross-modality portfolio construction, and quantified evidence gap identification. The evidence maturity gap between computational and clinical candidates is the primary translational bottleneck in the MitoCoreX pipeline, and resolving it requires targeted experimental validation rather than further computational optimization. These findings derive from a single pipeline targeting one disease domain; replication in additional therapeutic areas is needed to establish generalizability. The TCDR Engine is available under the Apache 2.0 license.</w:t>
      </w:r>
    </w:p>
    <w:p>
      <w:pPr>
        <w:spacing w:after="200" w:line="360"/>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therapeutic candidate evaluation, multi-criteria decision analysis, mitochondrial drug discovery, computational pipeline, Pareto frontier, portfolio optimization, translational gating</w:t>
      </w:r>
    </w:p>
    <w:p>
      <w:r>
        <w:br w:type="page"/>
      </w:r>
    </w:p>
    <w:p>
      <w:pPr>
        <w:pStyle w:val="Heading1"/>
        <w:spacing w:after="160" w:before="240" w:line="360"/>
      </w:pPr>
      <w:r>
        <w:rPr>
          <w:rFonts w:ascii="Times New Roman" w:cs="Times New Roman" w:eastAsia="Times New Roman" w:hAnsi="Times New Roman"/>
          <w:b/>
          <w:bCs/>
          <w:sz w:val="26"/>
          <w:szCs w:val="26"/>
        </w:rPr>
        <w:t xml:space="preserve">1. Introduction</w:t>
      </w:r>
    </w:p>
    <w:p>
      <w:pPr>
        <w:spacing w:after="120" w:line="360"/>
        <w:ind w:firstLine="360"/>
        <w:jc w:val="both"/>
      </w:pPr>
      <w:r>
        <w:rPr>
          <w:rFonts w:ascii="Times New Roman" w:cs="Times New Roman" w:eastAsia="Times New Roman" w:hAnsi="Times New Roman"/>
          <w:sz w:val="24"/>
          <w:szCs w:val="24"/>
        </w:rPr>
        <w:t xml:space="preserve">Computational drug discovery has achieved substantial progress in generating candidate molecules with predicted activity against biological targets. Virtual screening, molecular docking, generative chemistry, and machine learning models can now produce hundreds to thousands of candidate structures in timeframes measured in hours rather than months [1, 2]. The MitoCoreX pipeline, a governed multi-agent AI drug discovery platform, generated 201 candidate compounds across 25 mitochondrial disease targets using a combination of fragment-based design, pharmacophore-constrained generation, and structure-based optimization [3, 4].</w:t>
      </w:r>
    </w:p>
    <w:p>
      <w:pPr>
        <w:spacing w:after="120" w:line="360"/>
        <w:ind w:firstLine="360"/>
        <w:jc w:val="both"/>
      </w:pPr>
      <w:r>
        <w:rPr>
          <w:rFonts w:ascii="Times New Roman" w:cs="Times New Roman" w:eastAsia="Times New Roman" w:hAnsi="Times New Roman"/>
          <w:sz w:val="24"/>
          <w:szCs w:val="24"/>
        </w:rPr>
        <w:t xml:space="preserve">However, the transition from computational candidate generation to translational prioritization remains problematic. The dominant approach ranks candidates by a single metric, typically predicted binding affinity (docking score), and selects the top-ranked compounds for synthesis and experimental validation [5]. This approach has two fundamental limitations. First, docking scores do not capture safety, manufacturability, clinical evidence strength, or strategic alignment, all of which determine whether a candidate can advance through the drug development pipeline. Second, single-metric ranking provides no mechanism for comparing candidates across different therapeutic modalities (small molecules versus gene therapy versus mRNA), which is increasingly relevant as precision medicine expands the range of available intervention types [6, 7].</w:t>
      </w:r>
    </w:p>
    <w:p>
      <w:pPr>
        <w:spacing w:after="120" w:line="360"/>
        <w:ind w:firstLine="360"/>
        <w:jc w:val="both"/>
      </w:pPr>
      <w:r>
        <w:rPr>
          <w:rFonts w:ascii="Times New Roman" w:cs="Times New Roman" w:eastAsia="Times New Roman" w:hAnsi="Times New Roman"/>
          <w:sz w:val="24"/>
          <w:szCs w:val="24"/>
        </w:rPr>
        <w:t xml:space="preserve">The first two papers in this series addressed these limitations by defining the Therapeutic Candidate Decision Record (TCDR) as a computable representation for therapeutic candidates (Paper 1 [8]) and implementing the TCDR Engine as a six-component computational architecture for multi-criteria evaluation (Paper 2 [9]). Papers 1 and 2 validated the TCDR framework using literature-derived candidates for Complex I deficiency: idebenone, EPI-743 (vatiquinone), coenzyme Q10, riboflavin, bezafibrate, sonlicromanol, and AAV9-hNDUFS1. Seven scoring functions were calibrated, and a seven-candidate comparison demonstrated reproducible ranking across seven weight scenarios.</w:t>
      </w:r>
    </w:p>
    <w:p>
      <w:pPr>
        <w:spacing w:after="120" w:line="360"/>
        <w:ind w:firstLine="360"/>
        <w:jc w:val="both"/>
      </w:pPr>
      <w:r>
        <w:rPr>
          <w:rFonts w:ascii="Times New Roman" w:cs="Times New Roman" w:eastAsia="Times New Roman" w:hAnsi="Times New Roman"/>
          <w:sz w:val="24"/>
          <w:szCs w:val="24"/>
        </w:rPr>
        <w:t xml:space="preserve">Paper 1 explicitly noted in Section 8.2 that the TCDR framework "has been validated only on literature candidates with established clinical profiles" and that "application to computationally generated candidates from an active drug discovery pipeline would provide a more rigorous test of the framework's discriminative power" [8]. Paper 2 Section 5.4 further stated that "the calibrated scoring functions should be tested on candidates where the ground truth is unknown" [9].</w:t>
      </w:r>
    </w:p>
    <w:p>
      <w:pPr>
        <w:spacing w:after="120" w:line="360"/>
        <w:ind w:firstLine="360"/>
        <w:jc w:val="both"/>
      </w:pPr>
      <w:r>
        <w:rPr>
          <w:rFonts w:ascii="Times New Roman" w:cs="Times New Roman" w:eastAsia="Times New Roman" w:hAnsi="Times New Roman"/>
          <w:sz w:val="24"/>
          <w:szCs w:val="24"/>
        </w:rPr>
        <w:t xml:space="preserve">This paper addresses both deferrals by applying the TCDR Engine to 20 candidates from the MitoCoreX pipeline, including 14 computationally generated novel candidates, 3 calibration bridge compounds from Paper 2, and 3 pan-mitochondrial reference compounds. The central research question is whether structured multi-criteria evaluation reveals translational insights that single-metric ranking (docking score alone) cannot provide.</w:t>
      </w:r>
    </w:p>
    <w:p>
      <w:pPr>
        <w:spacing w:after="120" w:line="360"/>
        <w:ind w:firstLine="360"/>
        <w:jc w:val="both"/>
      </w:pPr>
      <w:r>
        <w:rPr>
          <w:rFonts w:ascii="Times New Roman" w:cs="Times New Roman" w:eastAsia="Times New Roman" w:hAnsi="Times New Roman"/>
          <w:sz w:val="24"/>
          <w:szCs w:val="24"/>
        </w:rPr>
        <w:t xml:space="preserve">The MitoCoreX pipeline targets mitochondrial disease, a heterogeneous group of genetic disorders affecting approximately 1 in 5,000 live births and collectively representing the most common inherited metabolic disease [16, 17]. Despite decades of research, only one targeted therapy has received regulatory approval for a mitochondrial disease indication (idebenone for Leber hereditary optic neuropathy in the European Union), and most patients receive only supportive care [18]. The compound library evaluated in this paper spans five priority targets selected for their druggability, variant diversity, and disease burden: DNM1L (dynamin-related protein 1, mitochondrial fission), PINK1 (PTEN-induced kinase 1, mitophagy quality control), NFE2L2 (nuclear factor erythroid 2-related factor 2, via Keap1 disruption, oxidative stress response), NDUFV1 (NADH:ubiquinone oxidoreductase core subunit V1, Complex I electron transport), and SDHA (succinate dehydrogenase complex flavoprotein subunit A, Complex II electron transport) [19, 20, 21, 22, 23].</w:t>
      </w:r>
    </w:p>
    <w:p>
      <w:pPr>
        <w:spacing w:after="120" w:line="360"/>
        <w:ind w:firstLine="360"/>
        <w:jc w:val="both"/>
      </w:pPr>
      <w:r>
        <w:rPr>
          <w:rFonts w:ascii="Times New Roman" w:cs="Times New Roman" w:eastAsia="Times New Roman" w:hAnsi="Times New Roman"/>
          <w:sz w:val="24"/>
          <w:szCs w:val="24"/>
        </w:rPr>
        <w:t xml:space="preserve">The challenge of translational prioritization in computational drug discovery is compounded in rare disease settings, where small patient populations limit the commercial incentive structure and where multi-modality approaches (small molecule, gene therapy, mRNA) are increasingly considered simultaneously rather than sequentially [6]. A structured evaluation framework must therefore accommodate modality-agnostic comparison, evidence-proportional ranking, and portfolio-level optimization, capabilities that single-metric docking scores fundamentally cannot provide.</w:t>
      </w:r>
    </w:p>
    <w:p>
      <w:pPr>
        <w:spacing w:after="120" w:line="360"/>
        <w:ind w:firstLine="360"/>
        <w:jc w:val="both"/>
      </w:pPr>
      <w:r>
        <w:rPr>
          <w:rFonts w:ascii="Times New Roman" w:cs="Times New Roman" w:eastAsia="Times New Roman" w:hAnsi="Times New Roman"/>
          <w:sz w:val="24"/>
          <w:szCs w:val="24"/>
        </w:rPr>
        <w:t xml:space="preserve">The remainder of this paper is organized as follows. Section 2 describes the candidate selection strategy, TCDR Engine application methodology, and analytical methods including Pareto frontier computation, cross-target and cross-modality comparison, portfolio optimization, and evidence gap modeling. Section 3 presents results across twelve subsections covering calibration verification, scoring, dominance analysis, tractability ranking, modality comparison, portfolio construction, evidence gap landscape, weight sensitivity, and pan-mitochondrial scaffold identification. Section 4 discusses the principal findings, the evidence maturity paradox, comparison with existing approaches, implications for governed AI pipelines, generalizability, and limitations. Section 5 concludes with recommendations for computational drug discovery pipeline design.</w:t>
      </w:r>
    </w:p>
    <w:p>
      <w:pPr>
        <w:pStyle w:val="Heading1"/>
        <w:spacing w:after="160" w:before="240" w:line="360"/>
      </w:pPr>
      <w:r>
        <w:rPr>
          <w:rFonts w:ascii="Times New Roman" w:cs="Times New Roman" w:eastAsia="Times New Roman" w:hAnsi="Times New Roman"/>
          <w:b/>
          <w:bCs/>
          <w:sz w:val="26"/>
          <w:szCs w:val="26"/>
        </w:rPr>
        <w:t xml:space="preserve">2. Materials and Methods</w:t>
      </w:r>
    </w:p>
    <w:p>
      <w:pPr>
        <w:pStyle w:val="Heading2"/>
        <w:spacing w:after="120" w:before="200" w:line="360"/>
      </w:pPr>
      <w:r>
        <w:rPr>
          <w:rFonts w:ascii="Times New Roman" w:cs="Times New Roman" w:eastAsia="Times New Roman" w:hAnsi="Times New Roman"/>
          <w:b/>
          <w:bCs/>
          <w:sz w:val="24"/>
          <w:szCs w:val="24"/>
        </w:rPr>
        <w:t xml:space="preserve">2.1 Source Data</w:t>
      </w:r>
    </w:p>
    <w:p>
      <w:pPr>
        <w:spacing w:after="120" w:line="360"/>
        <w:ind w:firstLine="360"/>
        <w:jc w:val="both"/>
      </w:pPr>
      <w:r>
        <w:rPr>
          <w:rFonts w:ascii="Times New Roman" w:cs="Times New Roman" w:eastAsia="Times New Roman" w:hAnsi="Times New Roman"/>
          <w:sz w:val="24"/>
          <w:szCs w:val="24"/>
        </w:rPr>
        <w:t xml:space="preserve">Candidates were drawn from two sources: the MitoCoreX compound library (compound_library.yaml version 1.0, containing 201 compounds across 25 mitochondrial targets) and the MitoCoreX target registry (target_registry.yaml version 1.0, containing 25 targets across 10 mitochondrial pathways) [3]. The compound library was generated through the DrugSynth AI pipeline using fragment-based design, pharmacophore-constrained generation, and structure-based optimization, as described in Chapters 4.1 and 4.2 of the MitoCoreX series [4, 10].</w:t>
      </w:r>
    </w:p>
    <w:p>
      <w:pPr>
        <w:pStyle w:val="Heading2"/>
        <w:spacing w:after="120" w:before="200" w:line="360"/>
      </w:pPr>
      <w:r>
        <w:rPr>
          <w:rFonts w:ascii="Times New Roman" w:cs="Times New Roman" w:eastAsia="Times New Roman" w:hAnsi="Times New Roman"/>
          <w:b/>
          <w:bCs/>
          <w:sz w:val="24"/>
          <w:szCs w:val="24"/>
        </w:rPr>
        <w:t xml:space="preserve">2.2 Candidate Selection</w:t>
      </w:r>
    </w:p>
    <w:p>
      <w:pPr>
        <w:spacing w:after="120" w:line="360"/>
        <w:ind w:firstLine="360"/>
        <w:jc w:val="both"/>
      </w:pPr>
      <w:r>
        <w:rPr>
          <w:rFonts w:ascii="Times New Roman" w:cs="Times New Roman" w:eastAsia="Times New Roman" w:hAnsi="Times New Roman"/>
          <w:sz w:val="24"/>
          <w:szCs w:val="24"/>
        </w:rPr>
        <w:t xml:space="preserve">A stratified sampling strategy was applied to select 20 candidates balancing three dimensions: target identity (five priority targets: DNM1L, PINK1, NFE2L2, NDUFV1, SDHA), therapeutic modality (small molecule, gene therapy, mRNA therapy, peptide), and clinical development phase (preclinical through approved). The stratification ensured that each priority target was represented by at least two candidates from at least two distinct modalities, and that each modality category included at least one candidate. The stratum composition of the 201-compound library and the selection counts were as follows: DNM1L (38 library compounds, 3 selected), PINK1 (35 library compounds, 3 selected), NFE2L2 (42 library compounds, 3 selected), NDUFV1 (48 library compounds, 6 selected including 3 calibration bridge), SDHA (22 library compounds, 2 selected), and pan-mitochondrial/multi-target (16 library compounds, 3 selected). By modality, 175 library compounds were small molecules (16 selected), 14 were gene therapy constructs (2 selected), 7 were mRNA constructs (1 selected), and 5 were peptide/PROTAC designs (1 selected). Twelve library compounds were excluded prior to selection for incomplete ADMET profiles (n=7) or ambiguous target assignment (n=5).</w:t>
      </w:r>
    </w:p>
    <w:p>
      <w:pPr>
        <w:spacing w:after="120" w:line="360"/>
        <w:ind w:firstLine="360"/>
        <w:jc w:val="both"/>
      </w:pPr>
      <w:r>
        <w:rPr>
          <w:rFonts w:ascii="Times New Roman" w:cs="Times New Roman" w:eastAsia="Times New Roman" w:hAnsi="Times New Roman"/>
          <w:sz w:val="24"/>
          <w:szCs w:val="24"/>
        </w:rPr>
        <w:t xml:space="preserve">Three calibration bridge compounds (idebenone, EPI-743, coenzyme Q10) were included with their Paper 2 scores as implementation consistency reference values. These compounds must reproduce Paper 2 values within plus or minus 0.05 across all seven dimensions to confirm scoring engine implementation consistency.</w:t>
      </w:r>
    </w:p>
    <w:p>
      <w:pPr>
        <w:pStyle w:val="Heading2"/>
        <w:spacing w:after="120" w:before="200" w:line="360"/>
      </w:pPr>
      <w:r>
        <w:rPr>
          <w:rFonts w:ascii="Times New Roman" w:cs="Times New Roman" w:eastAsia="Times New Roman" w:hAnsi="Times New Roman"/>
          <w:b/>
          <w:bCs/>
          <w:sz w:val="24"/>
          <w:szCs w:val="24"/>
        </w:rPr>
        <w:t xml:space="preserve">2.3 TCDR Engine Application</w:t>
      </w:r>
    </w:p>
    <w:p>
      <w:pPr>
        <w:spacing w:after="120" w:line="360"/>
        <w:ind w:firstLine="360"/>
        <w:jc w:val="both"/>
      </w:pPr>
      <w:r>
        <w:rPr>
          <w:rFonts w:ascii="Times New Roman" w:cs="Times New Roman" w:eastAsia="Times New Roman" w:hAnsi="Times New Roman"/>
          <w:sz w:val="24"/>
          <w:szCs w:val="24"/>
        </w:rPr>
        <w:t xml:space="preserve">Each candidate was processed through the TCDR Engine (version 1.0.0, Paper 2 [9]) using the standard six-component pipeline:</w:t>
      </w:r>
    </w:p>
    <w:p>
      <w:pPr>
        <w:spacing w:after="8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Populator</w:t>
      </w:r>
      <w:r>
        <w:rPr>
          <w:rFonts w:ascii="Times New Roman" w:cs="Times New Roman" w:eastAsia="Times New Roman" w:hAnsi="Times New Roman"/>
          <w:sz w:val="24"/>
          <w:szCs w:val="24"/>
        </w:rPr>
        <w:t xml:space="preserve">: Mapped source data (compound library fields, target registry fields, defect registry classifications, validation registry results) to the 58 TCDR schema fields. For novel compounds, structural data fields (SMILES, InChIKey) were populated internally but redacted in output under intellectual property restriction R62.</w:t>
      </w:r>
    </w:p>
    <w:p>
      <w:pPr>
        <w:spacing w:after="8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Validator</w:t>
      </w:r>
      <w:r>
        <w:rPr>
          <w:rFonts w:ascii="Times New Roman" w:cs="Times New Roman" w:eastAsia="Times New Roman" w:hAnsi="Times New Roman"/>
          <w:sz w:val="24"/>
          <w:szCs w:val="24"/>
        </w:rPr>
        <w:t xml:space="preserve">: Verified TCDR-MI compliance. All 28 required fields must be populated, with validation status recorded as PASS or FAIL.</w:t>
      </w:r>
    </w:p>
    <w:p>
      <w:pPr>
        <w:spacing w:after="8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Scorer</w:t>
      </w:r>
      <w:r>
        <w:rPr>
          <w:rFonts w:ascii="Times New Roman" w:cs="Times New Roman" w:eastAsia="Times New Roman" w:hAnsi="Times New Roman"/>
          <w:sz w:val="24"/>
          <w:szCs w:val="24"/>
        </w:rPr>
        <w:t xml:space="preserve">: Applied seven scoring functions (D1 through D7) as defined and calibrated in Paper 2. Each function computes a normalized score in the range 0.0 to 1.0 using a composite of categorical inputs:</w:t>
      </w:r>
    </w:p>
    <w:p>
      <w:pPr>
        <w:spacing w:after="120" w:line="360"/>
        <w:ind w:firstLine="360"/>
        <w:jc w:val="both"/>
      </w:pPr>
      <w:r>
        <w:rPr>
          <w:rFonts w:ascii="Times New Roman" w:cs="Times New Roman" w:eastAsia="Times New Roman" w:hAnsi="Times New Roman"/>
          <w:sz w:val="24"/>
          <w:szCs w:val="24"/>
        </w:rPr>
        <w:t xml:space="preserve">D1 (Efficacy Potential) combines docking category (strong=0.70, moderate=0.50, weak=0.30), clinical phase bonus (approved=+0.15, Phase III=+0.10, Phase II=+0.05), and variant specificity bonus (+0.05 for activator, inhibitor, or stabilizer rescue classes). The function rewards both computational binding evidence and clinical validation.</w:t>
      </w:r>
    </w:p>
    <w:p>
      <w:pPr>
        <w:spacing w:after="120" w:line="360"/>
        <w:ind w:firstLine="360"/>
        <w:jc w:val="both"/>
      </w:pPr>
      <w:r>
        <w:rPr>
          <w:rFonts w:ascii="Times New Roman" w:cs="Times New Roman" w:eastAsia="Times New Roman" w:hAnsi="Times New Roman"/>
          <w:sz w:val="24"/>
          <w:szCs w:val="24"/>
        </w:rPr>
        <w:t xml:space="preserve">D2 (Safety Profile) assigns modality-specific base scores (small molecule=0.65, gene therapy=0.45, mRNA=0.50, peptide=0.55), adds ADMET pass bonus (+0.10), and applies clinical phase overrides (approved=0.85, Phase III=0.75). Approved compounds receive the highest safety scores because post-marketing surveillance provides the most comprehensive safety data.</w:t>
      </w:r>
    </w:p>
    <w:p>
      <w:pPr>
        <w:spacing w:after="120" w:line="360"/>
        <w:ind w:firstLine="360"/>
        <w:jc w:val="both"/>
      </w:pPr>
      <w:r>
        <w:rPr>
          <w:rFonts w:ascii="Times New Roman" w:cs="Times New Roman" w:eastAsia="Times New Roman" w:hAnsi="Times New Roman"/>
          <w:sz w:val="24"/>
          <w:szCs w:val="24"/>
        </w:rPr>
        <w:t xml:space="preserve">D3 (Development Feasibility) combines synthetic accessibility category (easy=0.75, moderate=0.60, hard=0.40) with delivery complexity penalty (standard oral=0.00, MTP conjugation=-0.10, intrathecal/intravenous=-0.15, LNP with MTS=-0.20). Clinical-stage compounds receive base scores of 0.80 (Phase III) to 0.90 (approved) reflecting established manufacturing processes.</w:t>
      </w:r>
    </w:p>
    <w:p>
      <w:pPr>
        <w:spacing w:after="120" w:line="360"/>
        <w:ind w:firstLine="360"/>
        <w:jc w:val="both"/>
      </w:pPr>
      <w:r>
        <w:rPr>
          <w:rFonts w:ascii="Times New Roman" w:cs="Times New Roman" w:eastAsia="Times New Roman" w:hAnsi="Times New Roman"/>
          <w:sz w:val="24"/>
          <w:szCs w:val="24"/>
        </w:rPr>
        <w:t xml:space="preserve">D4 (Evidence Maturity) maps directly from clinical phase (approved=0.80, Phase III=0.65, Phase II=0.50, Phase I=0.35, preclinical=0.20) with a modest bonus (+0.05) for preclinical candidates with strong docking evidence. This function creates the most differentiation between novel and reference candidates and is the primary driver of ranking differences relative to single-metric approaches.</w:t>
      </w:r>
    </w:p>
    <w:p>
      <w:pPr>
        <w:spacing w:after="120" w:line="360"/>
        <w:ind w:firstLine="360"/>
        <w:jc w:val="both"/>
      </w:pPr>
      <w:r>
        <w:rPr>
          <w:rFonts w:ascii="Times New Roman" w:cs="Times New Roman" w:eastAsia="Times New Roman" w:hAnsi="Times New Roman"/>
          <w:sz w:val="24"/>
          <w:szCs w:val="24"/>
        </w:rPr>
        <w:t xml:space="preserve">D5 (Scientific Novelty) classifies innovation claims using keyword matching: "first" or "most compact" yields 0.85, "novel" yields 0.75, "advance" or "target" yields 0.65, and established therapies receive 0.15. This dimension provides the only scoring pathway through which preclinical candidates can exceed clinical-stage compounds.</w:t>
      </w:r>
    </w:p>
    <w:p>
      <w:pPr>
        <w:spacing w:after="120" w:line="360"/>
        <w:ind w:firstLine="360"/>
        <w:jc w:val="both"/>
      </w:pPr>
      <w:r>
        <w:rPr>
          <w:rFonts w:ascii="Times New Roman" w:cs="Times New Roman" w:eastAsia="Times New Roman" w:hAnsi="Times New Roman"/>
          <w:sz w:val="24"/>
          <w:szCs w:val="24"/>
        </w:rPr>
        <w:t xml:space="preserve">D6 (Manufacturing Readiness) combines modality base score (small molecule=0.65, gene therapy=0.35, mRNA=0.40, peptide=0.45) with synthetic accessibility bonus (easy=+0.10, moderate=+0.05). Clinical-stage overrides apply (approved=0.90, Phase III=0.75).</w:t>
      </w:r>
    </w:p>
    <w:p>
      <w:pPr>
        <w:spacing w:after="120" w:line="360"/>
        <w:ind w:firstLine="360"/>
        <w:jc w:val="both"/>
      </w:pPr>
      <w:r>
        <w:rPr>
          <w:rFonts w:ascii="Times New Roman" w:cs="Times New Roman" w:eastAsia="Times New Roman" w:hAnsi="Times New Roman"/>
          <w:sz w:val="24"/>
          <w:szCs w:val="24"/>
        </w:rPr>
        <w:t xml:space="preserve">D7 (Strategic Alignment) starts at 0.50 and adds bonuses for BBB penetrance (+0.10), non-small-molecule modality (+0.10), first-in-class innovation (+0.10), and clinical advancement (+0.10). This function captures portfolio-level considerations not present in candidate-level metrics.</w:t>
      </w:r>
    </w:p>
    <w:p>
      <w:pPr>
        <w:spacing w:after="8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Comparator</w:t>
      </w:r>
      <w:r>
        <w:rPr>
          <w:rFonts w:ascii="Times New Roman" w:cs="Times New Roman" w:eastAsia="Times New Roman" w:hAnsi="Times New Roman"/>
          <w:sz w:val="24"/>
          <w:szCs w:val="24"/>
        </w:rPr>
        <w:t xml:space="preserve">: Computed pairwise dominance relationships and identified the Pareto frontier in seven-dimensional score space. Applied seven weight scenarios (balanced, efficacy-dominant, safety-dominant, evidence-dominant, novelty-dominant, manufacturing-dominant, strategic-dominant) for sensitivity analysis.</w:t>
      </w:r>
    </w:p>
    <w:p>
      <w:pPr>
        <w:spacing w:after="8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Advancer</w:t>
      </w:r>
      <w:r>
        <w:rPr>
          <w:rFonts w:ascii="Times New Roman" w:cs="Times New Roman" w:eastAsia="Times New Roman" w:hAnsi="Times New Roman"/>
          <w:sz w:val="24"/>
          <w:szCs w:val="24"/>
        </w:rPr>
        <w:t xml:space="preserve">: Generated recommendation classifications (ADVANCE, HOLD, DEFER, TERMINATE) under each weight scenario based on aggregate scores and dimension-specific thresholds.</w:t>
      </w:r>
    </w:p>
    <w:p>
      <w:pPr>
        <w:spacing w:after="80" w:line="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Auditor</w:t>
      </w:r>
      <w:r>
        <w:rPr>
          <w:rFonts w:ascii="Times New Roman" w:cs="Times New Roman" w:eastAsia="Times New Roman" w:hAnsi="Times New Roman"/>
          <w:sz w:val="24"/>
          <w:szCs w:val="24"/>
        </w:rPr>
        <w:t xml:space="preserve">: Recorded all scoring inputs, intermediate calculations, and outputs as immutable audit records in individual TCDR JSON files.</w:t>
      </w:r>
    </w:p>
    <w:p>
      <w:pPr>
        <w:pStyle w:val="Heading2"/>
        <w:spacing w:after="120" w:before="200" w:line="360"/>
      </w:pPr>
      <w:r>
        <w:rPr>
          <w:rFonts w:ascii="Times New Roman" w:cs="Times New Roman" w:eastAsia="Times New Roman" w:hAnsi="Times New Roman"/>
          <w:b/>
          <w:bCs/>
          <w:sz w:val="24"/>
          <w:szCs w:val="24"/>
        </w:rPr>
        <w:t xml:space="preserve">2.4 Analytical Methods</w:t>
      </w:r>
    </w:p>
    <w:p>
      <w:pPr>
        <w:spacing w:after="120" w:line="360"/>
        <w:ind w:firstLine="360"/>
        <w:jc w:val="both"/>
      </w:pPr>
      <w:r>
        <w:rPr>
          <w:rFonts w:ascii="Times New Roman" w:cs="Times New Roman" w:eastAsia="Times New Roman" w:hAnsi="Times New Roman"/>
          <w:b/>
          <w:bCs/>
          <w:sz w:val="24"/>
          <w:szCs w:val="24"/>
        </w:rPr>
        <w:t xml:space="preserve">Pareto frontier analysis</w:t>
      </w:r>
      <w:r>
        <w:rPr>
          <w:rFonts w:ascii="Times New Roman" w:cs="Times New Roman" w:eastAsia="Times New Roman" w:hAnsi="Times New Roman"/>
          <w:sz w:val="24"/>
          <w:szCs w:val="24"/>
        </w:rPr>
        <w:t xml:space="preserve">: A candidate is non-dominated (on the Pareto frontier) if no other candidate scores equal or higher on all seven dimensions simultaneously with at least one dimension strictly higher. All dominated candidates were mapped to their dominating candidate(s).</w:t>
      </w:r>
    </w:p>
    <w:p>
      <w:pPr>
        <w:spacing w:after="120" w:line="360"/>
        <w:ind w:firstLine="360"/>
        <w:jc w:val="both"/>
      </w:pPr>
      <w:r>
        <w:rPr>
          <w:rFonts w:ascii="Times New Roman" w:cs="Times New Roman" w:eastAsia="Times New Roman" w:hAnsi="Times New Roman"/>
          <w:b/>
          <w:bCs/>
          <w:sz w:val="24"/>
          <w:szCs w:val="24"/>
        </w:rPr>
        <w:t xml:space="preserve">Cross-target comparison</w:t>
      </w:r>
      <w:r>
        <w:rPr>
          <w:rFonts w:ascii="Times New Roman" w:cs="Times New Roman" w:eastAsia="Times New Roman" w:hAnsi="Times New Roman"/>
          <w:sz w:val="24"/>
          <w:szCs w:val="24"/>
        </w:rPr>
        <w:t xml:space="preserve">: For each of the five priority targets, the highest-scoring novel candidate was identified, and targets were ranked by their best available aggregate score, modality diversity, and rescue class diversity.</w:t>
      </w:r>
    </w:p>
    <w:p>
      <w:pPr>
        <w:spacing w:after="120" w:line="360"/>
        <w:ind w:firstLine="360"/>
        <w:jc w:val="both"/>
      </w:pPr>
      <w:r>
        <w:rPr>
          <w:rFonts w:ascii="Times New Roman" w:cs="Times New Roman" w:eastAsia="Times New Roman" w:hAnsi="Times New Roman"/>
          <w:b/>
          <w:bCs/>
          <w:sz w:val="24"/>
          <w:szCs w:val="24"/>
        </w:rPr>
        <w:t xml:space="preserve">Cross-modality comparison</w:t>
      </w:r>
      <w:r>
        <w:rPr>
          <w:rFonts w:ascii="Times New Roman" w:cs="Times New Roman" w:eastAsia="Times New Roman" w:hAnsi="Times New Roman"/>
          <w:sz w:val="24"/>
          <w:szCs w:val="24"/>
        </w:rPr>
        <w:t xml:space="preserve">: Candidates were grouped by modality (small molecule clinical-stage, small molecule novel, gene therapy, mRNA, peptide) and mean scores were computed per dimension to identify modality-specific strengths and weaknesses.</w:t>
      </w:r>
    </w:p>
    <w:p>
      <w:pPr>
        <w:spacing w:after="120" w:line="360"/>
        <w:ind w:firstLine="360"/>
        <w:jc w:val="both"/>
      </w:pPr>
      <w:r>
        <w:rPr>
          <w:rFonts w:ascii="Times New Roman" w:cs="Times New Roman" w:eastAsia="Times New Roman" w:hAnsi="Times New Roman"/>
          <w:b/>
          <w:bCs/>
          <w:sz w:val="24"/>
          <w:szCs w:val="24"/>
        </w:rPr>
        <w:t xml:space="preserve">Portfolio optimization</w:t>
      </w:r>
      <w:r>
        <w:rPr>
          <w:rFonts w:ascii="Times New Roman" w:cs="Times New Roman" w:eastAsia="Times New Roman" w:hAnsi="Times New Roman"/>
          <w:sz w:val="24"/>
          <w:szCs w:val="24"/>
        </w:rPr>
        <w:t xml:space="preserve">: The minimum candidate set covering all five priority targets was constructed by selecting the computationally dominant novel candidate per target. An expanded portfolio added one non-small-molecule candidate per target for modality diversification.</w:t>
      </w:r>
    </w:p>
    <w:p>
      <w:pPr>
        <w:spacing w:after="120" w:line="360"/>
        <w:ind w:firstLine="360"/>
        <w:jc w:val="both"/>
      </w:pPr>
      <w:r>
        <w:rPr>
          <w:rFonts w:ascii="Times New Roman" w:cs="Times New Roman" w:eastAsia="Times New Roman" w:hAnsi="Times New Roman"/>
          <w:b/>
          <w:bCs/>
          <w:sz w:val="24"/>
          <w:szCs w:val="24"/>
        </w:rPr>
        <w:t xml:space="preserve">Evidence gap landscape</w:t>
      </w:r>
      <w:r>
        <w:rPr>
          <w:rFonts w:ascii="Times New Roman" w:cs="Times New Roman" w:eastAsia="Times New Roman" w:hAnsi="Times New Roman"/>
          <w:sz w:val="24"/>
          <w:szCs w:val="24"/>
        </w:rPr>
        <w:t xml:space="preserve">: Evidence gaps were classified as universal (affecting all candidates) or target-specific. For each gap, the projected scoring impact of resolution was modeled by adjusting the relevant dimension score and recomputing aggregates and rankings.</w:t>
      </w:r>
    </w:p>
    <w:p>
      <w:pPr>
        <w:pStyle w:val="Heading2"/>
        <w:spacing w:after="120" w:before="200" w:line="360"/>
      </w:pPr>
      <w:r>
        <w:rPr>
          <w:rFonts w:ascii="Times New Roman" w:cs="Times New Roman" w:eastAsia="Times New Roman" w:hAnsi="Times New Roman"/>
          <w:b/>
          <w:bCs/>
          <w:sz w:val="24"/>
          <w:szCs w:val="24"/>
        </w:rPr>
        <w:t xml:space="preserve">2.5 Intellectual Property Protection (R62)</w:t>
      </w:r>
    </w:p>
    <w:p>
      <w:pPr>
        <w:spacing w:after="120" w:line="360"/>
        <w:ind w:firstLine="360"/>
        <w:jc w:val="both"/>
      </w:pPr>
      <w:r>
        <w:rPr>
          <w:rFonts w:ascii="Times New Roman" w:cs="Times New Roman" w:eastAsia="Times New Roman" w:hAnsi="Times New Roman"/>
          <w:sz w:val="24"/>
          <w:szCs w:val="24"/>
        </w:rPr>
        <w:t xml:space="preserve">All novel compounds generated by the MitoCoreX pipeline are referenced by identifier only (MCX-001 through MCX-017). Structural data (SMILES, InChIKey, 2D/3D coordinates) are not disclosed. Docking scores for novel compounds are reported as categorical rankings (strong, moderate, weak) rather than exact numerical values. Molecular weights are reported as ranges (e.g., 280-330 Da) rather than precise values. This restriction creates a reproducibility tradeoff: the multi-criteria evaluation is fully reproducible from categorical inputs, but independent verification of the underlying structural analyses (binding mode predictions, ADMET calculations, molecular weight determinations) is not possible from the published data alone. Structural data will be deposited upon patent publication; in the interim, a confidential data supplement may be made available to journal reviewers upon request.</w:t>
      </w:r>
    </w:p>
    <w:p>
      <w:pPr>
        <w:pStyle w:val="Heading2"/>
        <w:spacing w:after="120" w:before="200" w:line="360"/>
      </w:pPr>
      <w:r>
        <w:rPr>
          <w:rFonts w:ascii="Times New Roman" w:cs="Times New Roman" w:eastAsia="Times New Roman" w:hAnsi="Times New Roman"/>
          <w:b/>
          <w:bCs/>
          <w:sz w:val="24"/>
          <w:szCs w:val="24"/>
        </w:rPr>
        <w:t xml:space="preserve">2.6 Implementation Consistency Protocol</w:t>
      </w:r>
    </w:p>
    <w:p>
      <w:pPr>
        <w:spacing w:after="120" w:line="360"/>
        <w:ind w:firstLine="360"/>
        <w:jc w:val="both"/>
      </w:pPr>
      <w:r>
        <w:rPr>
          <w:rFonts w:ascii="Times New Roman" w:cs="Times New Roman" w:eastAsia="Times New Roman" w:hAnsi="Times New Roman"/>
          <w:sz w:val="24"/>
          <w:szCs w:val="24"/>
        </w:rPr>
        <w:t xml:space="preserve">The three calibration bridge compounds (idebenone, EPI-743, coenzyme Q10) serve as implementation consistency controls rather than external validation references. Their Paper 2 scores are treated as reference values for verifying that the scoring engine operates as specified. Because the scoring functions are deterministic and the categorical inputs for these compounds are unchanged from Paper 2, exact reproduction is the expected outcome; deviations would indicate implementation errors rather than scientific disagreement. The consistency protocol requires:</w:t>
      </w:r>
    </w:p>
    <w:p>
      <w:pPr>
        <w:spacing w:after="120" w:line="360"/>
        <w:ind w:firstLine="360"/>
        <w:jc w:val="both"/>
      </w:pPr>
      <w:r>
        <w:rPr>
          <w:rFonts w:ascii="Times New Roman" w:cs="Times New Roman" w:eastAsia="Times New Roman" w:hAnsi="Times New Roman"/>
          <w:sz w:val="24"/>
          <w:szCs w:val="24"/>
        </w:rPr>
        <w:t xml:space="preserve">(a) All seven dimension scores for each bridge compound must reproduce Paper 2 values within plus or minus 0.05.</w:t>
      </w:r>
    </w:p>
    <w:p>
      <w:pPr>
        <w:spacing w:after="120" w:line="360"/>
        <w:ind w:firstLine="360"/>
        <w:jc w:val="both"/>
      </w:pPr>
      <w:r>
        <w:rPr>
          <w:rFonts w:ascii="Times New Roman" w:cs="Times New Roman" w:eastAsia="Times New Roman" w:hAnsi="Times New Roman"/>
          <w:sz w:val="24"/>
          <w:szCs w:val="24"/>
        </w:rPr>
        <w:t xml:space="preserve">(b) The relative ranking among the three bridge compounds must be preserved.</w:t>
      </w:r>
    </w:p>
    <w:p>
      <w:pPr>
        <w:spacing w:after="120" w:line="360"/>
        <w:ind w:firstLine="360"/>
        <w:jc w:val="both"/>
      </w:pPr>
      <w:r>
        <w:rPr>
          <w:rFonts w:ascii="Times New Roman" w:cs="Times New Roman" w:eastAsia="Times New Roman" w:hAnsi="Times New Roman"/>
          <w:sz w:val="24"/>
          <w:szCs w:val="24"/>
        </w:rPr>
        <w:t xml:space="preserve">(c) Any deviation exceeding 0.05 triggers a scoring function audit and recalibration before proceeding.</w:t>
      </w:r>
    </w:p>
    <w:p>
      <w:pPr>
        <w:pStyle w:val="Heading1"/>
        <w:spacing w:after="160" w:before="240" w:line="360"/>
      </w:pPr>
      <w:r>
        <w:rPr>
          <w:rFonts w:ascii="Times New Roman" w:cs="Times New Roman" w:eastAsia="Times New Roman" w:hAnsi="Times New Roman"/>
          <w:b/>
          <w:bCs/>
          <w:sz w:val="26"/>
          <w:szCs w:val="26"/>
        </w:rPr>
        <w:t xml:space="preserve">3. Results</w:t>
      </w:r>
    </w:p>
    <w:p>
      <w:pPr>
        <w:pStyle w:val="Heading2"/>
        <w:spacing w:after="120" w:before="200" w:line="360"/>
      </w:pPr>
      <w:r>
        <w:rPr>
          <w:rFonts w:ascii="Times New Roman" w:cs="Times New Roman" w:eastAsia="Times New Roman" w:hAnsi="Times New Roman"/>
          <w:b/>
          <w:bCs/>
          <w:sz w:val="24"/>
          <w:szCs w:val="24"/>
        </w:rPr>
        <w:t xml:space="preserve">3.1 Calibration Bridge: Implementation Consistency Verification</w:t>
      </w:r>
    </w:p>
    <w:p>
      <w:pPr>
        <w:spacing w:after="120" w:line="360"/>
        <w:ind w:firstLine="360"/>
        <w:jc w:val="both"/>
      </w:pPr>
      <w:r>
        <w:rPr>
          <w:rFonts w:ascii="Times New Roman" w:cs="Times New Roman" w:eastAsia="Times New Roman" w:hAnsi="Times New Roman"/>
          <w:sz w:val="24"/>
          <w:szCs w:val="24"/>
        </w:rPr>
        <w:t xml:space="preserve">All three calibration bridge compounds reproduced Paper 2 scores exactly (maximum absolute deviation = 0.00 across all 21 score comparisons). Relative ranking was preserved: EPI-743 (aggregate 0.705) ranked above idebenone (0.688) and coenzyme Q10 (0.640) under balanced weighting, consistent with Paper 2. This result confirms implementation consistency: the same scoring functions applied to the same categorical inputs produce identical outputs. It does not constitute external validation, which would require scoring candidates with known experimental outcomes that were not used during calibration. The distinction is important: implementation consistency demonstrates that the engine operates as specified, whereas external validity would demonstrate that the scoring functions predict real-world translational success. The latter remains an open question addressed further in Section 4.2.</w:t>
      </w:r>
    </w:p>
    <w:p>
      <w:pPr>
        <w:pStyle w:val="Heading2"/>
        <w:spacing w:after="120" w:before="200" w:line="360"/>
      </w:pPr>
      <w:r>
        <w:rPr>
          <w:rFonts w:ascii="Times New Roman" w:cs="Times New Roman" w:eastAsia="Times New Roman" w:hAnsi="Times New Roman"/>
          <w:b/>
          <w:bCs/>
          <w:sz w:val="24"/>
          <w:szCs w:val="24"/>
        </w:rPr>
        <w:t xml:space="preserve">3.2 TCDR-MI Compliance</w:t>
      </w:r>
    </w:p>
    <w:p>
      <w:pPr>
        <w:spacing w:after="120" w:line="360"/>
        <w:ind w:firstLine="360"/>
        <w:jc w:val="both"/>
      </w:pPr>
      <w:r>
        <w:rPr>
          <w:rFonts w:ascii="Times New Roman" w:cs="Times New Roman" w:eastAsia="Times New Roman" w:hAnsi="Times New Roman"/>
          <w:sz w:val="24"/>
          <w:szCs w:val="24"/>
        </w:rPr>
        <w:t xml:space="preserve">All 20 candidates passed TCDR-MI validation with all 28 required fields populated. Clinical-stage candidates populated 14 of 18 recommended fields on average, compared to 10 of 18 for preclinical candidates. The primary recommended field gap for preclinical candidates was clinical trial data (not applicable) and regulatory filing history (not applicable).</w:t>
      </w:r>
    </w:p>
    <w:p>
      <w:pPr>
        <w:pStyle w:val="Heading2"/>
        <w:spacing w:after="120" w:before="200" w:line="360"/>
      </w:pPr>
      <w:r>
        <w:rPr>
          <w:rFonts w:ascii="Times New Roman" w:cs="Times New Roman" w:eastAsia="Times New Roman" w:hAnsi="Times New Roman"/>
          <w:b/>
          <w:bCs/>
          <w:sz w:val="24"/>
          <w:szCs w:val="24"/>
        </w:rPr>
        <w:t xml:space="preserve">3.3 Seven-Dimension Scoring</w:t>
      </w:r>
    </w:p>
    <w:p>
      <w:pPr>
        <w:spacing w:after="120" w:line="360"/>
        <w:ind w:firstLine="360"/>
        <w:jc w:val="both"/>
      </w:pPr>
      <w:r>
        <w:rPr>
          <w:rFonts w:ascii="Times New Roman" w:cs="Times New Roman" w:eastAsia="Times New Roman" w:hAnsi="Times New Roman"/>
          <w:sz w:val="24"/>
          <w:szCs w:val="24"/>
        </w:rPr>
        <w:t xml:space="preserve">Table 1 presents the complete scoring matrix for all 20 candidates under balanced weighting.</w:t>
      </w:r>
    </w:p>
    <w:p>
      <w:pPr>
        <w:spacing w:after="120" w:line="360"/>
        <w:ind w:firstLine="360"/>
        <w:jc w:val="both"/>
      </w:pPr>
      <w:r>
        <w:rPr>
          <w:rFonts w:ascii="Times New Roman" w:cs="Times New Roman" w:eastAsia="Times New Roman" w:hAnsi="Times New Roman"/>
          <w:b/>
          <w:bCs/>
          <w:sz w:val="24"/>
          <w:szCs w:val="24"/>
        </w:rPr>
        <w:t xml:space="preserve">Table 1. TCDR Engine Scoring Matrix (Balanced Weight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
        <w:gridCol w:w="668"/>
        <w:gridCol w:w="668"/>
        <w:gridCol w:w="668"/>
        <w:gridCol w:w="668"/>
        <w:gridCol w:w="668"/>
        <w:gridCol w:w="668"/>
        <w:gridCol w:w="668"/>
        <w:gridCol w:w="668"/>
        <w:gridCol w:w="668"/>
        <w:gridCol w:w="668"/>
        <w:gridCol w:w="668"/>
        <w:gridCol w:w="668"/>
        <w:gridCol w:w="676"/>
      </w:tblGrid>
      <w:tr>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Rank</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ID</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Name</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Target</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Modality</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Phase</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D1</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D2</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D3</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D4</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D5</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D6</w:t>
            </w:r>
          </w:p>
        </w:tc>
        <w:tc>
          <w:tcPr>
            <w:tcW w:type="dxa" w:w="668"/>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D7</w:t>
            </w:r>
          </w:p>
        </w:tc>
        <w:tc>
          <w:tcPr>
            <w:tcW w:type="dxa" w:w="676"/>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Agg</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CAL-002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EPI-743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NDUFV1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Ph III</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0.705</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CAL-001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Idebenone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NDUFV1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Appr</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0.688</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Riboflavin</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Multi</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Appr</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0.15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0.688</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MCX-017</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Bezafibrate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Multi</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Appr</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0.15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0.688</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MCX-004</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PKA-002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PINK1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0.677</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MCX-007</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KND-002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NFE2L2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0.652</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CAL-003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CoQ10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NDUFV1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Appr</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0.10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0.95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0.640</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DSA-001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DNM1L</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0.635</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SDA-002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SDHA</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0.602</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NDS-002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NDUFV1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0.602</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PKA-004</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PINK1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0.548</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DSA-003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DNM1L</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0.533</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MCX-014</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SDA-005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SDHA</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0.553</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MCX-008</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KND-005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NFE2L2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0.533</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NDS-004</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NDUFV1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0.510</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MCX-016</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MitoQ</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Multi</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Ph II</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0.15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0.495</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MCX-009</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PROTAC</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NFE2L2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Peptide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0.445</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MCX-012</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AAV9-hNDUFS1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NDUFV1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GT</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0.75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0.435</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19</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MCX-003</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AAV9-hDNM1L</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DNM1L</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GT</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0.420</w:t>
            </w:r>
          </w:p>
        </w:tc>
      </w:tr>
      <w:tr>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MCX-006</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mRNA-PINK1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PINK1</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mRNA</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Pre</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0.50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0.20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0.65</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w:t>
            </w:r>
          </w:p>
        </w:tc>
        <w:tc>
          <w:tcPr>
            <w:tcW w:type="dxa" w:w="668"/>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0.60</w:t>
            </w:r>
          </w:p>
        </w:tc>
        <w:tc>
          <w:tcPr>
            <w:tcW w:type="dxa" w:w="676"/>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0.403</w:t>
            </w:r>
          </w:p>
        </w:tc>
      </w:tr>
    </w:tbl>
    <w:p>
      <w:pPr>
        <w:spacing w:after="120"/>
      </w:pPr>
    </w:p>
    <w:p>
      <w:pPr>
        <w:spacing w:after="120" w:line="360"/>
        <w:ind w:firstLine="360"/>
        <w:jc w:val="both"/>
      </w:pPr>
      <w:r>
        <w:rPr>
          <w:rFonts w:ascii="Times New Roman" w:cs="Times New Roman" w:eastAsia="Times New Roman" w:hAnsi="Times New Roman"/>
          <w:sz w:val="24"/>
          <w:szCs w:val="24"/>
        </w:rPr>
        <w:t xml:space="preserve">SM = small molecule; GT = gene therapy; Pre = preclinical; Ph = phase; Appr = approved; Agg = balanced aggregate score.</w:t>
      </w:r>
    </w:p>
    <w:p>
      <w:pPr>
        <w:spacing w:after="120" w:line="360"/>
        <w:ind w:firstLine="360"/>
        <w:jc w:val="both"/>
      </w:pPr>
      <w:r>
        <w:rPr>
          <w:rFonts w:ascii="Times New Roman" w:cs="Times New Roman" w:eastAsia="Times New Roman" w:hAnsi="Times New Roman"/>
          <w:sz w:val="24"/>
          <w:szCs w:val="24"/>
        </w:rPr>
        <w:t xml:space="preserve">All rankings reported in this paper are conditional on the deterministic scoring assumptions described in Section 2.3. Because the scoring functions produce point estimates without confidence intervals, the minimum aggregate score difference required for a ranking change under balanced weighting was computed for adjacent-ranked candidates. The smallest pairwise gap occurs between SDA-002 and NDS-002 (ranks 9 and 10, both scoring 0.602, effectively tied) and between DSA-003 and KND-005 (ranks 12 and 14, both at 0.533). The largest gap in the top tier separates PKA-002 (rank 5, 0.677) from KND-002 (rank 6, 0.652), a difference of 0.025. Under balanced weighting, a single categorical input change (e.g., reclassifying one docking category from "strong" to "moderate") would shift D1 by 0.20, which propagates to an aggregate change of 0.040 (D1 weight = 0.20), sufficient to reverse any adjacent ranking pair. Consequently, rankings within 0.040 aggregate points of each other should be interpreted as effectively equivalent under the current deterministic framework, and readers should focus on the cluster structure (clinical-stage cluster above 0.640; novel strong-docking cluster at 0.600-0.677; novel moderate-docking cluster at 0.495-0.553; non-small-molecule cluster below 0.445) rather than individual rank positions. This 0.040 threshold reflects single-input perturbation only; correlated changes across multiple dimensions (e.g., docking category and synthetic accessibility reclassified simultaneously) would produce larger aggregate shifts of 0.06 to 0.08, making the 0.040 value a conservative lower bound on ranking uncertainty.</w:t>
      </w:r>
    </w:p>
    <w:p>
      <w:pPr>
        <w:pStyle w:val="Heading2"/>
        <w:spacing w:after="120" w:before="200" w:line="360"/>
      </w:pPr>
      <w:r>
        <w:rPr>
          <w:rFonts w:ascii="Times New Roman" w:cs="Times New Roman" w:eastAsia="Times New Roman" w:hAnsi="Times New Roman"/>
          <w:b/>
          <w:bCs/>
          <w:sz w:val="24"/>
          <w:szCs w:val="24"/>
        </w:rPr>
        <w:t xml:space="preserve">3.4 Pareto Frontier</w:t>
      </w:r>
    </w:p>
    <w:p>
      <w:pPr>
        <w:spacing w:after="120" w:line="360"/>
        <w:ind w:firstLine="360"/>
        <w:jc w:val="both"/>
      </w:pPr>
      <w:r>
        <w:rPr>
          <w:rFonts w:ascii="Times New Roman" w:cs="Times New Roman" w:eastAsia="Times New Roman" w:hAnsi="Times New Roman"/>
          <w:sz w:val="24"/>
          <w:szCs w:val="24"/>
        </w:rPr>
        <w:t xml:space="preserve">The Pareto frontier comprises six candidates: EPI-743, idebenone, riboflavin, bezafibrate, PKA-002, and coenzyme Q10. Fourteen candidates are dominated.</w:t>
      </w:r>
    </w:p>
    <w:p>
      <w:pPr>
        <w:spacing w:after="120" w:line="360"/>
        <w:ind w:firstLine="360"/>
        <w:jc w:val="both"/>
      </w:pPr>
      <w:r>
        <w:rPr>
          <w:rFonts w:ascii="Times New Roman" w:cs="Times New Roman" w:eastAsia="Times New Roman" w:hAnsi="Times New Roman"/>
          <w:sz w:val="24"/>
          <w:szCs w:val="24"/>
        </w:rPr>
        <w:t xml:space="preserve">PKA-002 (MCX-004) is the sole computationally generated candidate on the Pareto frontier. Its non-dominated status derives from its novelty score (D5=0.85), which exceeds all other candidates. No clinically advanced compound can dominate PKA-002 because none matches its novelty dimension. This demonstrates that the TCDR Engine preserves a pathway for novel candidates to achieve non-dominated status through scientific innovation, even when they cannot compete on evidence maturity.</w:t>
      </w:r>
    </w:p>
    <w:p>
      <w:pPr>
        <w:spacing w:after="120" w:line="360"/>
        <w:ind w:firstLine="360"/>
        <w:jc w:val="both"/>
      </w:pPr>
      <w:r>
        <w:rPr>
          <w:rFonts w:ascii="Times New Roman" w:cs="Times New Roman" w:eastAsia="Times New Roman" w:hAnsi="Times New Roman"/>
          <w:sz w:val="24"/>
          <w:szCs w:val="24"/>
        </w:rPr>
        <w:t xml:space="preserve">The most frequent dominating candidate is EPI-743, which dominates 8 of the 14 dominated candidates. The domination mechanism is consistent: EPI-743 matches or exceeds preclinical candidates on efficacy (D1), vastly outperforms on evidence (D4=0.65 versus 0.20-0.25), and maintains higher manufacturing readiness (D6=0.75 versus 0.35-0.70).</w:t>
      </w:r>
    </w:p>
    <w:p>
      <w:pPr>
        <w:spacing w:after="120" w:line="360"/>
        <w:ind w:firstLine="360"/>
        <w:jc w:val="both"/>
      </w:pPr>
      <w:r>
        <w:rPr>
          <w:rFonts w:ascii="Times New Roman" w:cs="Times New Roman" w:eastAsia="Times New Roman" w:hAnsi="Times New Roman"/>
          <w:sz w:val="24"/>
          <w:szCs w:val="24"/>
        </w:rPr>
        <w:t xml:space="preserve">PKA-002 itself dominates four candidates (KND-002, DSA-001, SDA-002, DSA-003), functioning as the internal reference standard among novel candidates. The PKA-002 dominance derives from its unique combination of predicted BBB penetrance (boosting D7), computationally estimated easy synthetic accessibility (boosting D3 and D6), and computationally proposed first-in-class innovation claim (maximizing D5). Candidates that PKA-002 dominates lack at least one of these attributes.</w:t>
      </w:r>
    </w:p>
    <w:p>
      <w:pPr>
        <w:spacing w:after="120" w:line="360"/>
        <w:ind w:firstLine="360"/>
        <w:jc w:val="both"/>
      </w:pPr>
      <w:r>
        <w:rPr>
          <w:rFonts w:ascii="Times New Roman" w:cs="Times New Roman" w:eastAsia="Times New Roman" w:hAnsi="Times New Roman"/>
          <w:sz w:val="24"/>
          <w:szCs w:val="24"/>
        </w:rPr>
        <w:t xml:space="preserve">Within each target, a clear dominance hierarchy emerges. For DNM1L, DSA-001 dominates DSA-003 through stronger docking (strong versus moderate category). For PINK1, PKA-002 dominates both PKA-004 (lower docking, moderate SA) and mRNA-PINK1-LNP (manufacturing and delivery penalties). For NFE2L2, KND-002 dominates KND-005 (predicted BBB penetrance advantage) and the Keap1 PROTAC (across D2, D3, and D6). For NDUFV1, NDS-002 dominates NDS-004 (docking and SA advantages) and AAV9-hNDUFS1 (manufacturing penalty). For SDHA, SDA-002 dominates SDA-005 through stronger docking. This pattern means that each priority target has exactly one computationally dominant novel candidate, a finding that directly enables minimum portfolio construction.</w:t>
      </w:r>
    </w:p>
    <w:p>
      <w:pPr>
        <w:pStyle w:val="Heading2"/>
        <w:spacing w:after="120" w:before="200" w:line="360"/>
      </w:pPr>
      <w:r>
        <w:rPr>
          <w:rFonts w:ascii="Times New Roman" w:cs="Times New Roman" w:eastAsia="Times New Roman" w:hAnsi="Times New Roman"/>
          <w:b/>
          <w:bCs/>
          <w:sz w:val="24"/>
          <w:szCs w:val="24"/>
        </w:rPr>
        <w:t xml:space="preserve">3.5 Evidence Maturity as Universal Bottleneck</w:t>
      </w:r>
    </w:p>
    <w:p>
      <w:pPr>
        <w:spacing w:after="120" w:line="360"/>
        <w:ind w:firstLine="360"/>
        <w:jc w:val="both"/>
      </w:pPr>
      <w:r>
        <w:rPr>
          <w:rFonts w:ascii="Times New Roman" w:cs="Times New Roman" w:eastAsia="Times New Roman" w:hAnsi="Times New Roman"/>
          <w:sz w:val="24"/>
          <w:szCs w:val="24"/>
        </w:rPr>
        <w:t xml:space="preserve">The most prominent finding across all analyses is the systematic evidence gap between computationally generated and clinically advanced candidates. The mean D4 score for preclinical novel candidates (0.22, n=14) is 0.54 points below the mean for approved candidates (0.76, n=4). This gap is the single largest scoring differential in the entire dataset and is the primary driver of the dominance structure.</w:t>
      </w:r>
    </w:p>
    <w:p>
      <w:pPr>
        <w:spacing w:after="120" w:line="360"/>
        <w:ind w:firstLine="360"/>
        <w:jc w:val="both"/>
      </w:pPr>
      <w:r>
        <w:rPr>
          <w:rFonts w:ascii="Times New Roman" w:cs="Times New Roman" w:eastAsia="Times New Roman" w:hAnsi="Times New Roman"/>
          <w:sz w:val="24"/>
          <w:szCs w:val="24"/>
        </w:rPr>
        <w:t xml:space="preserve">Critically, this gap cannot be closed by further computational optimization. Improving docking scores, reducing molecular weight, or enhancing ADMET profiles for novel candidates would increase D1, D2, D3, or D6 by modest increments (0.05-0.10), but D4 can only increase through experimental validation (cell-based assays, animal models, clinical trials). The TCDR Engine makes this bottleneck quantitatively explicit, whereas single-metric ranking by docking score would mask it entirely.</w:t>
      </w:r>
    </w:p>
    <w:p>
      <w:pPr>
        <w:pStyle w:val="Heading2"/>
        <w:spacing w:after="120" w:before="200" w:line="360"/>
      </w:pPr>
      <w:r>
        <w:rPr>
          <w:rFonts w:ascii="Times New Roman" w:cs="Times New Roman" w:eastAsia="Times New Roman" w:hAnsi="Times New Roman"/>
          <w:b/>
          <w:bCs/>
          <w:sz w:val="24"/>
          <w:szCs w:val="24"/>
        </w:rPr>
        <w:t xml:space="preserve">3.6 Single-Metric Versus Multi-Criteria Comparison</w:t>
      </w:r>
    </w:p>
    <w:p>
      <w:pPr>
        <w:spacing w:after="120" w:line="360"/>
        <w:ind w:firstLine="360"/>
        <w:jc w:val="both"/>
      </w:pPr>
      <w:r>
        <w:rPr>
          <w:rFonts w:ascii="Times New Roman" w:cs="Times New Roman" w:eastAsia="Times New Roman" w:hAnsi="Times New Roman"/>
          <w:sz w:val="24"/>
          <w:szCs w:val="24"/>
        </w:rPr>
        <w:t xml:space="preserve">If candidates were ranked by D1 (efficacy, which correlates most closely with docking performance) alone, the top five would be: PKA-002 (0.75), KND-002 (0.75), DSA-001 (0.75), NDS-002 (0.75), and SDA-002 (0.75), with EPI-743 ranked sixth (0.70) and CoQ10 ranked fourteenth (0.50). Under this single-metric ranking, three approved or Phase III compounds (idebenone, riboflavin, bezafibrate) would fall below all novel candidates with strong docking.</w:t>
      </w:r>
    </w:p>
    <w:p>
      <w:pPr>
        <w:spacing w:after="120" w:line="360"/>
        <w:ind w:firstLine="360"/>
        <w:jc w:val="both"/>
      </w:pPr>
      <w:r>
        <w:rPr>
          <w:rFonts w:ascii="Times New Roman" w:cs="Times New Roman" w:eastAsia="Times New Roman" w:hAnsi="Times New Roman"/>
          <w:sz w:val="24"/>
          <w:szCs w:val="24"/>
        </w:rPr>
        <w:t xml:space="preserve">Under balanced multi-criteria evaluation, the ranking reverses: EPI-743 ranks first, idebenone second, and riboflavin and bezafibrate tied third. The reversal is driven by D4 (evidence), D2 (safety), and D6 (manufacturing), dimensions that single-metric approaches do not capture. This demonstrates the core thesis of the paper: multi-criteria evaluation reveals translational structure that single-metric ranking cannot.</w:t>
      </w:r>
    </w:p>
    <w:p>
      <w:pPr>
        <w:pStyle w:val="Heading2"/>
        <w:spacing w:after="120" w:before="200" w:line="360"/>
      </w:pPr>
      <w:r>
        <w:rPr>
          <w:rFonts w:ascii="Times New Roman" w:cs="Times New Roman" w:eastAsia="Times New Roman" w:hAnsi="Times New Roman"/>
          <w:b/>
          <w:bCs/>
          <w:sz w:val="24"/>
          <w:szCs w:val="24"/>
        </w:rPr>
        <w:t xml:space="preserve">3.7 Cross-Target Tractability</w:t>
      </w:r>
    </w:p>
    <w:p>
      <w:pPr>
        <w:spacing w:after="120" w:line="360"/>
        <w:ind w:firstLine="360"/>
        <w:jc w:val="both"/>
      </w:pPr>
      <w:r>
        <w:rPr>
          <w:rFonts w:ascii="Times New Roman" w:cs="Times New Roman" w:eastAsia="Times New Roman" w:hAnsi="Times New Roman"/>
          <w:sz w:val="24"/>
          <w:szCs w:val="24"/>
        </w:rPr>
        <w:t xml:space="preserve">Target tractability was assessed by combining the best available aggregate score per target, modality diversity (number of distinct modalities represented), rescue class diversity, and the presence or absence of clinical-stage compounds.</w:t>
      </w:r>
    </w:p>
    <w:p>
      <w:pPr>
        <w:spacing w:after="120" w:line="360"/>
        <w:ind w:firstLine="360"/>
        <w:jc w:val="both"/>
      </w:pPr>
      <w:r>
        <w:rPr>
          <w:rFonts w:ascii="Times New Roman" w:cs="Times New Roman" w:eastAsia="Times New Roman" w:hAnsi="Times New Roman"/>
          <w:b/>
          <w:bCs/>
          <w:sz w:val="24"/>
          <w:szCs w:val="24"/>
        </w:rPr>
        <w:t xml:space="preserve">NDUFV1 (Complex I)</w:t>
      </w:r>
      <w:r>
        <w:rPr>
          <w:rFonts w:ascii="Times New Roman" w:cs="Times New Roman" w:eastAsia="Times New Roman" w:hAnsi="Times New Roman"/>
          <w:sz w:val="24"/>
          <w:szCs w:val="24"/>
        </w:rPr>
        <w:t xml:space="preserve"> ranks as the most tractable target. It benefits from the highest-scoring candidate in the entire set (EPI-743, 0.705), four approved or clinical-stage reference compounds (idebenone, EPI-743, CoQ10, riboflavin, bezafibrate), and two novel pipeline candidates (NDS-002, NDS-004) spanning compensator and stabilizer rescue classes. Three modalities are represented (small molecule, gene therapy via AAV9-hNDUFS1, and cofactor supplementation). The clinical infrastructure around Complex I deficiency is the most mature of any mitochondrial target, with multiple ongoing clinical trials and established natural history data.</w:t>
      </w:r>
    </w:p>
    <w:p>
      <w:pPr>
        <w:spacing w:after="120" w:line="360"/>
        <w:ind w:firstLine="360"/>
        <w:jc w:val="both"/>
      </w:pPr>
      <w:r>
        <w:rPr>
          <w:rFonts w:ascii="Times New Roman" w:cs="Times New Roman" w:eastAsia="Times New Roman" w:hAnsi="Times New Roman"/>
          <w:b/>
          <w:bCs/>
          <w:sz w:val="24"/>
          <w:szCs w:val="24"/>
        </w:rPr>
        <w:t xml:space="preserve">PINK1 (mitophagy quality control)</w:t>
      </w:r>
      <w:r>
        <w:rPr>
          <w:rFonts w:ascii="Times New Roman" w:cs="Times New Roman" w:eastAsia="Times New Roman" w:hAnsi="Times New Roman"/>
          <w:sz w:val="24"/>
          <w:szCs w:val="24"/>
        </w:rPr>
        <w:t xml:space="preserve"> ranks second. PKA-002 is the only novel compound on the Pareto frontier and the only computationally predicted BBB-penetrant PINK1 activator in the set. Three modalities are available (two small molecules and one mRNA construct), and three rescue classes are represented (activator, stabilizer, replacement). The PINK1 program has the largest addressable market because PINK1 loss-of-function mutations cause both rare mitochondrial disease and the more common PARK6-associated early-onset Parkinson disease [20], potentially enabling a dual-indication development strategy.</w:t>
      </w:r>
    </w:p>
    <w:p>
      <w:pPr>
        <w:spacing w:after="120" w:line="360"/>
        <w:ind w:firstLine="360"/>
        <w:jc w:val="both"/>
      </w:pPr>
      <w:r>
        <w:rPr>
          <w:rFonts w:ascii="Times New Roman" w:cs="Times New Roman" w:eastAsia="Times New Roman" w:hAnsi="Times New Roman"/>
          <w:b/>
          <w:bCs/>
          <w:sz w:val="24"/>
          <w:szCs w:val="24"/>
        </w:rPr>
        <w:t xml:space="preserve">NFE2L2 (Keap1-Nrf2 signaling)</w:t>
      </w:r>
      <w:r>
        <w:rPr>
          <w:rFonts w:ascii="Times New Roman" w:cs="Times New Roman" w:eastAsia="Times New Roman" w:hAnsi="Times New Roman"/>
          <w:sz w:val="24"/>
          <w:szCs w:val="24"/>
        </w:rPr>
        <w:t xml:space="preserve"> ranks third. KND-002 achieves the second-highest novel compound score (0.652) and is computationally predicted to be the most compact Keap1 disruptor in the set at an estimated 271 Da with predicted BBB penetrance. Three modalities are represented (two small molecules and one PROTAC peptide). The Keap1 kelch domain is one of the most extensively characterized PPI drug targets in oncology [21], providing extensive structural and pharmacological precedent that de-risks the NFE2L2 program relative to less-studied targets.</w:t>
      </w:r>
    </w:p>
    <w:p>
      <w:pPr>
        <w:spacing w:after="120" w:line="360"/>
        <w:ind w:firstLine="360"/>
        <w:jc w:val="both"/>
      </w:pPr>
      <w:r>
        <w:rPr>
          <w:rFonts w:ascii="Times New Roman" w:cs="Times New Roman" w:eastAsia="Times New Roman" w:hAnsi="Times New Roman"/>
          <w:b/>
          <w:bCs/>
          <w:sz w:val="24"/>
          <w:szCs w:val="24"/>
        </w:rPr>
        <w:t xml:space="preserve">DNM1L (mitochondrial fission)</w:t>
      </w:r>
      <w:r>
        <w:rPr>
          <w:rFonts w:ascii="Times New Roman" w:cs="Times New Roman" w:eastAsia="Times New Roman" w:hAnsi="Times New Roman"/>
          <w:sz w:val="24"/>
          <w:szCs w:val="24"/>
        </w:rPr>
        <w:t xml:space="preserve"> ranks fourth. DSA-001 is computationally proposed as a first-in-class stalk-domain inhibitor, advancing beyond the GTPase-only mechanism of Mdivi-1 [19]; however, this binding mode has not been experimentally confirmed. However, no clinical-stage compound exists for any DRP1 indication, and only two modalities are represented (small molecule and gene therapy). The patient population for germline DRP1 mutations is small (approximately 50 reported cases globally), which limits commercial viability but increases orphan drug designation potential.</w:t>
      </w:r>
    </w:p>
    <w:p>
      <w:pPr>
        <w:spacing w:after="120" w:line="360"/>
        <w:ind w:firstLine="360"/>
        <w:jc w:val="both"/>
      </w:pPr>
      <w:r>
        <w:rPr>
          <w:rFonts w:ascii="Times New Roman" w:cs="Times New Roman" w:eastAsia="Times New Roman" w:hAnsi="Times New Roman"/>
          <w:b/>
          <w:bCs/>
          <w:sz w:val="24"/>
          <w:szCs w:val="24"/>
        </w:rPr>
        <w:t xml:space="preserve">SDHA (Complex II)</w:t>
      </w:r>
      <w:r>
        <w:rPr>
          <w:rFonts w:ascii="Times New Roman" w:cs="Times New Roman" w:eastAsia="Times New Roman" w:hAnsi="Times New Roman"/>
          <w:sz w:val="24"/>
          <w:szCs w:val="24"/>
        </w:rPr>
        <w:t xml:space="preserve"> ranks last. Both candidates (SDA-002, SDA-005) are preclinical small molecules requiring MTP conjugation for mitochondrial matrix delivery, and no gene therapy or mRNA construct has been designed. The absence of recombinant R589W SDHA protein for biochemical screening represents a critical target-specific evidence gap that must be resolved before any SDHA candidate can advance. SDHA deficiency is clinically heterogeneous, presenting as Leigh syndrome, cardiomyopathy, or paraganglioma susceptibility, complicating clinical trial endpoint selection [23].</w:t>
      </w:r>
    </w:p>
    <w:p>
      <w:pPr>
        <w:pStyle w:val="Heading2"/>
        <w:spacing w:after="120" w:before="200" w:line="360"/>
      </w:pPr>
      <w:r>
        <w:rPr>
          <w:rFonts w:ascii="Times New Roman" w:cs="Times New Roman" w:eastAsia="Times New Roman" w:hAnsi="Times New Roman"/>
          <w:b/>
          <w:bCs/>
          <w:sz w:val="24"/>
          <w:szCs w:val="24"/>
        </w:rPr>
        <w:t xml:space="preserve">3.8 Cross-Modality Analysis</w:t>
      </w:r>
    </w:p>
    <w:p>
      <w:pPr>
        <w:spacing w:after="120" w:line="360"/>
        <w:ind w:firstLine="360"/>
        <w:jc w:val="both"/>
      </w:pPr>
      <w:r>
        <w:rPr>
          <w:rFonts w:ascii="Times New Roman" w:cs="Times New Roman" w:eastAsia="Times New Roman" w:hAnsi="Times New Roman"/>
          <w:sz w:val="24"/>
          <w:szCs w:val="24"/>
        </w:rPr>
        <w:t xml:space="preserve">Small molecules dominate the portfolio numerically (16 of 20) and in aggregate scoring. Clinical-stage small molecules achieve a mean aggregate of 0.680 (range 0.640-0.705), while novel small molecules average 0.586 (range 0.495-0.677). The 0.094-point gap between clinical and novel small molecules is driven almost entirely by D4 (evidence maturity), with clinical compounds averaging D4 of 0.72 versus 0.22 for novel compounds, a 0.50-point difference. On computational dimensions (D1, D5), novel small molecules actually outperform their clinical counterparts: mean D1 of 0.65 versus 0.55, and mean D5 of 0.68 versus 0.24.</w:t>
      </w:r>
    </w:p>
    <w:p>
      <w:pPr>
        <w:spacing w:after="120" w:line="360"/>
        <w:ind w:firstLine="360"/>
        <w:jc w:val="both"/>
      </w:pPr>
      <w:r>
        <w:rPr>
          <w:rFonts w:ascii="Times New Roman" w:cs="Times New Roman" w:eastAsia="Times New Roman" w:hAnsi="Times New Roman"/>
          <w:sz w:val="24"/>
          <w:szCs w:val="24"/>
        </w:rPr>
        <w:t xml:space="preserve">Gene therapy candidates (n=2: AAV9-hDNM1L, AAV9-hNDUFS1) score lowest overall (mean 0.428, range 0.420-0.435). The mRNA candidate (mRNA-PINK1-LNP, aggregate 0.403) is reported separately because mRNA therapy has distinct delivery, manufacturing, and regulatory characteristics: repeat dosing capability, LNP-based delivery rather than viral transduction, and a different immunogenicity profile. The primary scoring penalties for both modalities arise from D6 (manufacturing readiness, mean 0.35-0.40) and D3 (development feasibility, mean 0.30-0.35), reflecting the genuine complexity of GMP-grade production. However, gene therapy provides a capability that no small molecule modality can match: variant-agnostic rescue. For loss-of-function mutations, gene replacement bypasses the need to design variant-specific small molecule mechanisms, making it the only viable approach for truncating mutations (such as PINK1 p.Q456X) where no protein target exists for small molecule binding.</w:t>
      </w:r>
    </w:p>
    <w:p>
      <w:pPr>
        <w:spacing w:after="120" w:line="360"/>
        <w:ind w:firstLine="360"/>
        <w:jc w:val="both"/>
      </w:pPr>
      <w:r>
        <w:rPr>
          <w:rFonts w:ascii="Times New Roman" w:cs="Times New Roman" w:eastAsia="Times New Roman" w:hAnsi="Times New Roman"/>
          <w:sz w:val="24"/>
          <w:szCs w:val="24"/>
        </w:rPr>
        <w:t xml:space="preserve">The PROTAC candidate (MCX-009, Keap1-targeting) occupies a distinct position in score space. Its D5 (novelty=0.75) is the highest among non-small-molecule modalities, and its rescue mechanism (targeted protein degradation) is fundamentally different from reversible PPI disruption. However, PROTAC technology carries known limitations in this context: high molecular weight (750-900 Da range), limited oral bioavailability, and uncertain CNS penetration. The TCDR Engine correctly assigns a low D3 (feasibility=0.30) reflecting these challenges.</w:t>
      </w:r>
    </w:p>
    <w:p>
      <w:pPr>
        <w:spacing w:after="120" w:line="360"/>
        <w:ind w:firstLine="360"/>
        <w:jc w:val="both"/>
      </w:pPr>
      <w:r>
        <w:rPr>
          <w:rFonts w:ascii="Times New Roman" w:cs="Times New Roman" w:eastAsia="Times New Roman" w:hAnsi="Times New Roman"/>
          <w:sz w:val="24"/>
          <w:szCs w:val="24"/>
        </w:rPr>
        <w:t xml:space="preserve">MitoQ (MCX-016, Phase II) represents an intermediate case: a clinically tested small molecule with higher D4 (0.50) than any novel candidate but lower D1 (0.45) and D5 (0.15) than most. Its aggregate (0.495) places it below all novel small molecules with strong docking, illustrating that clinical advancement alone does not guarantee competitive ranking if the mechanism is non-specific (mitochondrial antioxidant rather than target-directed rescue).</w:t>
      </w:r>
    </w:p>
    <w:p>
      <w:pPr>
        <w:spacing w:after="120" w:line="360"/>
        <w:ind w:firstLine="360"/>
        <w:jc w:val="both"/>
      </w:pPr>
      <w:r>
        <w:rPr>
          <w:rFonts w:ascii="Times New Roman" w:cs="Times New Roman" w:eastAsia="Times New Roman" w:hAnsi="Times New Roman"/>
          <w:sz w:val="24"/>
          <w:szCs w:val="24"/>
        </w:rPr>
        <w:t xml:space="preserve">The cross-modality analysis demonstrates that single-metric ranking by docking score would exclude gene therapy, mRNA, and PROTAC candidates entirely from evaluation because these modalities do not produce docking scores. The TCDR Engine's modality-aware scoring functions preserve non-small-molecule candidates in the portfolio through D5 (novelty) and D7 (strategic alignment), enabling the risk-aware portfolio diversification described in Section 3.9.</w:t>
      </w:r>
    </w:p>
    <w:p>
      <w:pPr>
        <w:pStyle w:val="Heading2"/>
        <w:spacing w:after="120" w:before="200" w:line="360"/>
      </w:pPr>
      <w:r>
        <w:rPr>
          <w:rFonts w:ascii="Times New Roman" w:cs="Times New Roman" w:eastAsia="Times New Roman" w:hAnsi="Times New Roman"/>
          <w:b/>
          <w:bCs/>
          <w:sz w:val="24"/>
          <w:szCs w:val="24"/>
        </w:rPr>
        <w:t xml:space="preserve">3.9 Portfolio Optimization</w:t>
      </w:r>
    </w:p>
    <w:p>
      <w:pPr>
        <w:spacing w:after="120" w:line="360"/>
        <w:ind w:firstLine="360"/>
        <w:jc w:val="both"/>
      </w:pPr>
      <w:r>
        <w:rPr>
          <w:rFonts w:ascii="Times New Roman" w:cs="Times New Roman" w:eastAsia="Times New Roman" w:hAnsi="Times New Roman"/>
          <w:sz w:val="24"/>
          <w:szCs w:val="24"/>
        </w:rPr>
        <w:t xml:space="preserve">The minimum viable portfolio consists of five candidates (one per priority target): PKA-002 (PINK1), KND-002 (NFE2L2), DSA-001 (DNM1L), NDS-002 (NDUFV1), and SDA-002 (SDHA). These five candidates represent the computationally dominant novel compound for each target.</w:t>
      </w:r>
    </w:p>
    <w:p>
      <w:pPr>
        <w:spacing w:after="120" w:line="360"/>
        <w:ind w:firstLine="360"/>
        <w:jc w:val="both"/>
      </w:pPr>
      <w:r>
        <w:rPr>
          <w:rFonts w:ascii="Times New Roman" w:cs="Times New Roman" w:eastAsia="Times New Roman" w:hAnsi="Times New Roman"/>
          <w:sz w:val="24"/>
          <w:szCs w:val="24"/>
        </w:rPr>
        <w:t xml:space="preserve">The selection of one candidate per target is not arbitrary but follows directly from the within-target dominance analysis in Section 3.4. Because each target has exactly one computationally dominant novel candidate, the minimum portfolio is uniquely determined by the Pareto structure. Any substitution (e.g., replacing DSA-001 with DSA-003 for DNM1L) would introduce a dominated candidate and reduce the portfolio's aggregate efficiency.</w:t>
      </w:r>
    </w:p>
    <w:p>
      <w:pPr>
        <w:spacing w:after="120" w:line="360"/>
        <w:ind w:firstLine="360"/>
        <w:jc w:val="both"/>
      </w:pPr>
      <w:r>
        <w:rPr>
          <w:rFonts w:ascii="Times New Roman" w:cs="Times New Roman" w:eastAsia="Times New Roman" w:hAnsi="Times New Roman"/>
          <w:sz w:val="24"/>
          <w:szCs w:val="24"/>
        </w:rPr>
        <w:t xml:space="preserve">The expanded portfolio adds four non-small-molecule candidates for risk mitigation: AAV9-hDNM1L (gene therapy for DNM1L), mRNA-PINK1-LNP (mRNA for PINK1), Keap1 PROTAC (peptide for NFE2L2), and AAV9-hNDUFS1 (gene therapy for NDUFV1). Total: nine candidates covering all five targets with at least two modalities each.</w:t>
      </w:r>
    </w:p>
    <w:p>
      <w:pPr>
        <w:spacing w:after="120" w:line="360"/>
        <w:ind w:firstLine="360"/>
        <w:jc w:val="both"/>
      </w:pPr>
      <w:r>
        <w:rPr>
          <w:rFonts w:ascii="Times New Roman" w:cs="Times New Roman" w:eastAsia="Times New Roman" w:hAnsi="Times New Roman"/>
          <w:sz w:val="24"/>
          <w:szCs w:val="24"/>
        </w:rPr>
        <w:t xml:space="preserve">The expanded portfolio addresses a specific failure mode: if the lead small molecule for a given target fails in experimental validation (e.g., the predicted binding mode does not reproduce in a crystal structure), the alternate-modality candidate provides a mechanistically orthogonal fallback. For DNM1L, if stalk-domain small molecule inhibition proves infeasible, AAV9-mediated gene replacement offers a mechanism-independent rescue. For PINK1, if small molecule activation of the G309D mutant is insufficient, mRNA replacement of the entire kinase provides variant-agnostic coverage. This modality diversification strategy is enabled by the TCDR Engine's cross-modality scoring capability and cannot be constructed from docking scores alone.</w:t>
      </w:r>
    </w:p>
    <w:p>
      <w:pPr>
        <w:spacing w:after="120" w:line="360"/>
        <w:ind w:firstLine="360"/>
        <w:jc w:val="both"/>
      </w:pPr>
      <w:r>
        <w:rPr>
          <w:rFonts w:ascii="Times New Roman" w:cs="Times New Roman" w:eastAsia="Times New Roman" w:hAnsi="Times New Roman"/>
          <w:sz w:val="24"/>
          <w:szCs w:val="24"/>
        </w:rPr>
        <w:t xml:space="preserve">The portfolio does not include SDHA modality diversification because no gene therapy or mRNA construct for SDHA was designed in the current pipeline version. This gap is flagged as a target-specific portfolio deficiency and represents a design input for the next iteration of the MitoCoreX compound library.</w:t>
      </w:r>
    </w:p>
    <w:p>
      <w:pPr>
        <w:pStyle w:val="Heading2"/>
        <w:spacing w:after="120" w:before="200" w:line="360"/>
      </w:pPr>
      <w:r>
        <w:rPr>
          <w:rFonts w:ascii="Times New Roman" w:cs="Times New Roman" w:eastAsia="Times New Roman" w:hAnsi="Times New Roman"/>
          <w:b/>
          <w:bCs/>
          <w:sz w:val="24"/>
          <w:szCs w:val="24"/>
        </w:rPr>
        <w:t xml:space="preserve">3.10 Evidence Gap Landscape</w:t>
      </w:r>
    </w:p>
    <w:p>
      <w:pPr>
        <w:spacing w:after="120" w:line="360"/>
        <w:ind w:firstLine="360"/>
        <w:jc w:val="both"/>
      </w:pPr>
      <w:r>
        <w:rPr>
          <w:rFonts w:ascii="Times New Roman" w:cs="Times New Roman" w:eastAsia="Times New Roman" w:hAnsi="Times New Roman"/>
          <w:sz w:val="24"/>
          <w:szCs w:val="24"/>
        </w:rPr>
        <w:t xml:space="preserve">Three universal evidence gaps affect all novel candidates: absence of in vivo efficacy data (UEG-1), absence of head-to-head comparison with reference compounds (UEG-2), and absence of measured pharmacokinetic data for matrix-targeted candidates (UEG-3).</w:t>
      </w:r>
    </w:p>
    <w:p>
      <w:pPr>
        <w:spacing w:after="120" w:line="360"/>
        <w:ind w:firstLine="360"/>
        <w:jc w:val="both"/>
      </w:pPr>
      <w:r>
        <w:rPr>
          <w:rFonts w:ascii="Times New Roman" w:cs="Times New Roman" w:eastAsia="Times New Roman" w:hAnsi="Times New Roman"/>
          <w:sz w:val="24"/>
          <w:szCs w:val="24"/>
        </w:rPr>
        <w:t xml:space="preserve">UEG-1 (no in vivo efficacy) is the most impactful universal gap. All 14 novel candidates exist only as computational designs with predicted binding and predicted ADMET properties. No cell-based assay, animal model, or patient-derived tissue experiment has been performed. Resolution would require synthesis of the top five candidates followed by enzymatic activity assays (for stabilizers and activators) or functional rescue assays in patient-derived fibroblasts (for compensators and replacements). The projected D4 impact of resolving UEG-1 is an increase from 0.20-0.25 to 0.35-0.40 per candidate.</w:t>
      </w:r>
    </w:p>
    <w:p>
      <w:pPr>
        <w:spacing w:after="120" w:line="360"/>
        <w:ind w:firstLine="360"/>
        <w:jc w:val="both"/>
      </w:pPr>
      <w:r>
        <w:rPr>
          <w:rFonts w:ascii="Times New Roman" w:cs="Times New Roman" w:eastAsia="Times New Roman" w:hAnsi="Times New Roman"/>
          <w:sz w:val="24"/>
          <w:szCs w:val="24"/>
        </w:rPr>
        <w:t xml:space="preserve">UEG-2 (no head-to-head comparison) prevents direct assessment of whether novel candidates outperform established therapies in the same experimental system. Resolution would require testing novel and reference compounds (idebenone, EPI-743) in parallel using the same cell lines, concentrations, and readouts. This comparison is the gold standard for demonstrating added therapeutic value and would impact both D1 (efficacy) and D4 (evidence).</w:t>
      </w:r>
    </w:p>
    <w:p>
      <w:pPr>
        <w:spacing w:after="120" w:line="360"/>
        <w:ind w:firstLine="360"/>
        <w:jc w:val="both"/>
      </w:pPr>
      <w:r>
        <w:rPr>
          <w:rFonts w:ascii="Times New Roman" w:cs="Times New Roman" w:eastAsia="Times New Roman" w:hAnsi="Times New Roman"/>
          <w:sz w:val="24"/>
          <w:szCs w:val="24"/>
        </w:rPr>
        <w:t xml:space="preserve">UEG-3 (no measured PK for matrix-targeted candidates) affects MCX-010, MCX-011, MCX-013, and MCX-014, all of which require mitochondrial targeting peptide conjugation or TPP+ delivery for matrix accumulation. Predicted ADMET properties do not reliably model the PK of conjugated compounds, and actual mitochondrial fractionation assays are required to validate matrix accumulation. Resolution would impact D2 (safety), D3 (feasibility), and D4 (evidence) simultaneously.</w:t>
      </w:r>
    </w:p>
    <w:p>
      <w:pPr>
        <w:spacing w:after="120" w:line="360"/>
        <w:ind w:firstLine="360"/>
        <w:jc w:val="both"/>
      </w:pPr>
      <w:r>
        <w:rPr>
          <w:rFonts w:ascii="Times New Roman" w:cs="Times New Roman" w:eastAsia="Times New Roman" w:hAnsi="Times New Roman"/>
          <w:sz w:val="24"/>
          <w:szCs w:val="24"/>
        </w:rPr>
        <w:t xml:space="preserve">Five target-specific gaps were identified:</w:t>
      </w:r>
    </w:p>
    <w:p>
      <w:pPr>
        <w:spacing w:after="120" w:line="360"/>
        <w:ind w:firstLine="360"/>
        <w:jc w:val="both"/>
      </w:pPr>
      <w:r>
        <w:rPr>
          <w:rFonts w:ascii="Times New Roman" w:cs="Times New Roman" w:eastAsia="Times New Roman" w:hAnsi="Times New Roman"/>
          <w:sz w:val="24"/>
          <w:szCs w:val="24"/>
        </w:rPr>
        <w:t xml:space="preserve">(1) PINK1 G309D crystal structure (critical, affects PKA-002): The allosteric site prediction for PKA-002 depends on homology modeling from wild-type PINK1 kinase structures. A crystal structure of the G309D mutant would either validate or invalidate the binding mode hypothesis, with direct implications for PKA-002 advancement.</w:t>
      </w:r>
    </w:p>
    <w:p>
      <w:pPr>
        <w:spacing w:after="120" w:line="360"/>
        <w:ind w:firstLine="360"/>
        <w:jc w:val="both"/>
      </w:pPr>
      <w:r>
        <w:rPr>
          <w:rFonts w:ascii="Times New Roman" w:cs="Times New Roman" w:eastAsia="Times New Roman" w:hAnsi="Times New Roman"/>
          <w:sz w:val="24"/>
          <w:szCs w:val="24"/>
        </w:rPr>
        <w:t xml:space="preserve">(2) Recombinant R589W SDHA protein (critical, affects SDA-002): No recombinant mutant SDHA protein is commercially available, blocking biochemical screening of SDA-002 and SDA-005. Resolution requires expression and purification of the R589W variant in a suitable system (E. coli or insect cell).</w:t>
      </w:r>
    </w:p>
    <w:p>
      <w:pPr>
        <w:spacing w:after="120" w:line="360"/>
        <w:ind w:firstLine="360"/>
        <w:jc w:val="both"/>
      </w:pPr>
      <w:r>
        <w:rPr>
          <w:rFonts w:ascii="Times New Roman" w:cs="Times New Roman" w:eastAsia="Times New Roman" w:hAnsi="Times New Roman"/>
          <w:sz w:val="24"/>
          <w:szCs w:val="24"/>
        </w:rPr>
        <w:t xml:space="preserve">(3) DNM1L stalk domain co-crystal (high priority, affects DSA-001): The computationally proposed stalk-domain inhibition mechanism is novel, and no co-crystal structure of any DRP1 inhibitor bound at the stalk interface has been published. Resolution would confirm the novel binding mode and differentiate DSA-001 from GTPase-directed inhibitors.</w:t>
      </w:r>
    </w:p>
    <w:p>
      <w:pPr>
        <w:spacing w:after="120" w:line="360"/>
        <w:ind w:firstLine="360"/>
        <w:jc w:val="both"/>
      </w:pPr>
      <w:r>
        <w:rPr>
          <w:rFonts w:ascii="Times New Roman" w:cs="Times New Roman" w:eastAsia="Times New Roman" w:hAnsi="Times New Roman"/>
          <w:sz w:val="24"/>
          <w:szCs w:val="24"/>
        </w:rPr>
        <w:t xml:space="preserve">(4) CNS tissue Keap1 PPI disruption selectivity (moderate, affects KND-002): KND-002 is claimed as BBB-penetrant based on predicted properties, but Keap1-Nrf2 PPI disruption has been characterized primarily in hepatic and renal tissue. CNS pharmacodynamic validation is required to support the BBB penetrance claim.</w:t>
      </w:r>
    </w:p>
    <w:p>
      <w:pPr>
        <w:spacing w:after="120" w:line="360"/>
        <w:ind w:firstLine="360"/>
        <w:jc w:val="both"/>
      </w:pPr>
      <w:r>
        <w:rPr>
          <w:rFonts w:ascii="Times New Roman" w:cs="Times New Roman" w:eastAsia="Times New Roman" w:hAnsi="Times New Roman"/>
          <w:sz w:val="24"/>
          <w:szCs w:val="24"/>
        </w:rPr>
        <w:t xml:space="preserve">(5) NDUFV1 FMN cleft accessibility in assembled Complex I (high priority, affects NDS-004): The FMN binding cleft stabilization mechanism of NDS-004 was designed using isolated NDUFV1 subunit structures. Accessibility of this site in fully assembled Complex I embedded in the inner mitochondrial membrane is uncertain.</w:t>
      </w:r>
    </w:p>
    <w:p>
      <w:pPr>
        <w:spacing w:after="120" w:line="360"/>
        <w:ind w:firstLine="360"/>
        <w:jc w:val="both"/>
      </w:pPr>
      <w:r>
        <w:rPr>
          <w:rFonts w:ascii="Times New Roman" w:cs="Times New Roman" w:eastAsia="Times New Roman" w:hAnsi="Times New Roman"/>
          <w:sz w:val="24"/>
          <w:szCs w:val="24"/>
        </w:rPr>
        <w:t xml:space="preserve">Modeling the impact of resolving UEG-1 (in vivo data) for the top five novel candidates projects a D4 increase from 0.25 to 0.40, which improves aggregate scores by approximately 0.023 and moves PKA-002 from rank 5 to rank 4 but does not displace any clinical-stage compound from the top three positions. Full resolution of UEG-1 through UEG-3 combined with one target-specific gap per candidate would project D4 to approximately 0.45-0.50, narrowing the gap with Phase II compounds but still falling short of Phase III or approved compound scores. This quantitative projection confirms that the evidence gap is not a short-term deficiency but a structural feature of early-stage computational pipelines that requires sustained experimental investment over multiple years.</w:t>
      </w:r>
    </w:p>
    <w:p>
      <w:pPr>
        <w:pStyle w:val="Heading2"/>
        <w:spacing w:after="120" w:before="200" w:line="360"/>
      </w:pPr>
      <w:r>
        <w:rPr>
          <w:rFonts w:ascii="Times New Roman" w:cs="Times New Roman" w:eastAsia="Times New Roman" w:hAnsi="Times New Roman"/>
          <w:b/>
          <w:bCs/>
          <w:sz w:val="24"/>
          <w:szCs w:val="24"/>
        </w:rPr>
        <w:t xml:space="preserve">3.11 Weight Scenario Sensitivity</w:t>
      </w:r>
    </w:p>
    <w:p>
      <w:pPr>
        <w:spacing w:after="120" w:line="360"/>
        <w:ind w:firstLine="360"/>
        <w:jc w:val="both"/>
      </w:pPr>
      <w:r>
        <w:rPr>
          <w:rFonts w:ascii="Times New Roman" w:cs="Times New Roman" w:eastAsia="Times New Roman" w:hAnsi="Times New Roman"/>
          <w:sz w:val="24"/>
          <w:szCs w:val="24"/>
        </w:rPr>
        <w:t xml:space="preserve">Applying all seven weight scenarios from Paper 2 to the 20-candidate set reveals the sensitivity of rankings to stakeholder priorities:</w:t>
      </w:r>
    </w:p>
    <w:p>
      <w:pPr>
        <w:spacing w:after="120" w:line="360"/>
        <w:ind w:firstLine="360"/>
        <w:jc w:val="both"/>
      </w:pPr>
      <w:r>
        <w:rPr>
          <w:rFonts w:ascii="Times New Roman" w:cs="Times New Roman" w:eastAsia="Times New Roman" w:hAnsi="Times New Roman"/>
          <w:sz w:val="24"/>
          <w:szCs w:val="24"/>
        </w:rPr>
        <w:t xml:space="preserve">Under the balanced scenario (D1=0.20, D2=0.15, D3=0.15, D4=0.15, D5=0.10, D6=0.10, D7=0.15), EPI-743 ranks first with an aggregate of 0.705. Under the efficacy-dominant scenario (D1=0.40), EPI-743 retains first position because its D1 score (0.70) is only marginally below the novel candidates (0.75), and its advantages on D2 through D7 compensate. Under the safety-dominant scenario (D2=0.40), CoQ10 rises to first (D2=0.90), displacing EPI-743 (D2=0.75). Under the evidence-dominant scenario (D4=0.40), bezafibrate and riboflavin rise to first (D4=0.80), reflecting the maximum evidence maturity achievable in this candidate set.</w:t>
      </w:r>
    </w:p>
    <w:p>
      <w:pPr>
        <w:spacing w:after="120" w:line="360"/>
        <w:ind w:firstLine="360"/>
        <w:jc w:val="both"/>
      </w:pPr>
      <w:r>
        <w:rPr>
          <w:rFonts w:ascii="Times New Roman" w:cs="Times New Roman" w:eastAsia="Times New Roman" w:hAnsi="Times New Roman"/>
          <w:sz w:val="24"/>
          <w:szCs w:val="24"/>
        </w:rPr>
        <w:t xml:space="preserve">The most consequential scenario for novel candidates is the novelty-dominant configuration (D5=0.40). Under this weighting, PKA-002 rises from rank 5 to rank 1 with an aggregate of 0.735, and KND-002 rises to rank 2. This scenario represents a stakeholder perspective that prioritizes scientific innovation and first-in-class mechanisms over established clinical evidence. It is the only scenario under which a computationally generated candidate achieves the top-ranked position.</w:t>
      </w:r>
    </w:p>
    <w:p>
      <w:pPr>
        <w:spacing w:after="120" w:line="360"/>
        <w:ind w:firstLine="360"/>
        <w:jc w:val="both"/>
      </w:pPr>
      <w:r>
        <w:rPr>
          <w:rFonts w:ascii="Times New Roman" w:cs="Times New Roman" w:eastAsia="Times New Roman" w:hAnsi="Times New Roman"/>
          <w:sz w:val="24"/>
          <w:szCs w:val="24"/>
        </w:rPr>
        <w:t xml:space="preserve">Under the strategic-dominant scenario (D7=0.40), PKA-002 again ranks first, reflecting its combination of predicted BBB penetrance, computationally proposed first-in-class status, and potential dual-indication applicability (mitochondrial disease plus Parkinson disease). The manufacturing-dominant scenario (D6=0.40) favors CoQ10 (D6=0.95) and approved compounds generally, penalizing gene therapy and mRNA candidates most severely.</w:t>
      </w:r>
    </w:p>
    <w:p>
      <w:pPr>
        <w:spacing w:after="120" w:line="360"/>
        <w:ind w:firstLine="360"/>
        <w:jc w:val="both"/>
      </w:pPr>
      <w:r>
        <w:rPr>
          <w:rFonts w:ascii="Times New Roman" w:cs="Times New Roman" w:eastAsia="Times New Roman" w:hAnsi="Times New Roman"/>
          <w:sz w:val="24"/>
          <w:szCs w:val="24"/>
        </w:rPr>
        <w:t xml:space="preserve">The key finding from the sensitivity analysis is that the identity of the top-ranked candidate changes across scenarios, but the evidence maturity bottleneck persists regardless of weighting. Even under novelty-dominant weighting, 12 of 14 novel candidates remain below rank 5, because D5 alone cannot compensate for simultaneous deficiencies across D2, D3, D4, and D6. The bottleneck is structural, not weight-dependent.</w:t>
      </w:r>
    </w:p>
    <w:p>
      <w:pPr>
        <w:pStyle w:val="Heading2"/>
        <w:spacing w:after="120" w:before="200" w:line="360"/>
      </w:pPr>
      <w:r>
        <w:rPr>
          <w:rFonts w:ascii="Times New Roman" w:cs="Times New Roman" w:eastAsia="Times New Roman" w:hAnsi="Times New Roman"/>
          <w:b/>
          <w:bCs/>
          <w:sz w:val="24"/>
          <w:szCs w:val="24"/>
        </w:rPr>
        <w:t xml:space="preserve">3.12 Pan-Mitochondrial Scaffold and Delivery Platform Identification</w:t>
      </w:r>
    </w:p>
    <w:p>
      <w:pPr>
        <w:spacing w:after="120" w:line="360"/>
        <w:ind w:firstLine="360"/>
        <w:jc w:val="both"/>
      </w:pPr>
      <w:r>
        <w:rPr>
          <w:rFonts w:ascii="Times New Roman" w:cs="Times New Roman" w:eastAsia="Times New Roman" w:hAnsi="Times New Roman"/>
          <w:sz w:val="24"/>
          <w:szCs w:val="24"/>
        </w:rPr>
        <w:t xml:space="preserve">Three candidates in the evaluated set target multiple mitochondrial pathways simultaneously: riboflavin (MCX-015, targeting NDUFV1 and SDHA via FAD cofactor supplementation), MitoQ (MCX-016, targeting NFE2L2 and NDUFV1 via mitochondrial antioxidant activity), and bezafibrate (MCX-017, targeting NDUFV1 and SDHA via PGC-1alpha/PPAR-mediated mitochondrial biogenesis stimulation). These pan-mitochondrial compounds achieve their multi-target coverage through upstream or cofactor-level mechanisms rather than target-specific binding, distinguishing them from the variant-directed novel candidates.</w:t>
      </w:r>
    </w:p>
    <w:p>
      <w:pPr>
        <w:spacing w:after="120" w:line="360"/>
        <w:ind w:firstLine="360"/>
        <w:jc w:val="both"/>
      </w:pPr>
      <w:r>
        <w:rPr>
          <w:rFonts w:ascii="Times New Roman" w:cs="Times New Roman" w:eastAsia="Times New Roman" w:hAnsi="Times New Roman"/>
          <w:sz w:val="24"/>
          <w:szCs w:val="24"/>
        </w:rPr>
        <w:t xml:space="preserve">The TCDR analysis reveals that pan-mitochondrial compounds consistently rank in the top tier under balanced weighting (riboflavin and bezafibrate both at 0.688, tied for second place) because their approved clinical status provides maximum D4 (evidence=0.80) and D6 (manufacturing=0.90) scores. However, their D5 (novelty) scores are minimal (0.15), reflecting established rather than innovative mechanisms. This pattern creates a complementary relationship in portfolio construction: pan-mitochondrial compounds provide the evidence-supported foundation of the portfolio, while target-directed novel compounds (PKA-002, KND-002, DSA-001) provide the innovation and specificity required for precision medicine.</w:t>
      </w:r>
    </w:p>
    <w:p>
      <w:pPr>
        <w:spacing w:after="120" w:line="360"/>
        <w:ind w:firstLine="360"/>
        <w:jc w:val="both"/>
      </w:pPr>
      <w:r>
        <w:rPr>
          <w:rFonts w:ascii="Times New Roman" w:cs="Times New Roman" w:eastAsia="Times New Roman" w:hAnsi="Times New Roman"/>
          <w:sz w:val="24"/>
          <w:szCs w:val="24"/>
        </w:rPr>
        <w:t xml:space="preserve">Beyond individual compounds, the analysis identifies the triphenylphosphonium (TPP+) cation moiety as a pan-mitochondrial delivery platform. This observation is qualitative and falls outside the formal TCDR scoring dimensions; it is noted here because it represents a design-level insight that emerged from reviewing the candidate set rather than from the scoring functions themselves. MitoQ uses TPP+ conjugation to achieve 100-fold to 1000-fold mitochondrial matrix accumulation driven by the mitochondrial membrane potential [18]. Within the broader 201-compound library, 12 compounds incorporate TPP+ or structurally analogous cationic delivery moieties targeting matrix-localized proteins. This represents a delivery chassis rather than a pharmacophore: the TPP+ moiety could be conjugated to any of the matrix-targeted novel candidates (NDS-002, NDS-004, SDA-002, SDA-005) to improve mitochondrial accumulation. The TCDR Engine does not currently model delivery platform modularity, but this observation motivates a planned scoring function extension in which delivery platform compatibility is captured as a component of D3 (feasibility).</w:t>
      </w:r>
    </w:p>
    <w:p>
      <w:pPr>
        <w:pStyle w:val="Heading1"/>
        <w:spacing w:after="160" w:before="240" w:line="360"/>
      </w:pPr>
      <w:r>
        <w:rPr>
          <w:rFonts w:ascii="Times New Roman" w:cs="Times New Roman" w:eastAsia="Times New Roman" w:hAnsi="Times New Roman"/>
          <w:b/>
          <w:bCs/>
          <w:sz w:val="26"/>
          <w:szCs w:val="26"/>
        </w:rPr>
        <w:t xml:space="preserve">4. Discussion</w:t>
      </w:r>
    </w:p>
    <w:p>
      <w:pPr>
        <w:pStyle w:val="Heading2"/>
        <w:spacing w:after="120" w:before="200" w:line="360"/>
      </w:pPr>
      <w:r>
        <w:rPr>
          <w:rFonts w:ascii="Times New Roman" w:cs="Times New Roman" w:eastAsia="Times New Roman" w:hAnsi="Times New Roman"/>
          <w:b/>
          <w:bCs/>
          <w:sz w:val="24"/>
          <w:szCs w:val="24"/>
        </w:rPr>
        <w:t xml:space="preserve">4.1 Principal Findings</w:t>
      </w:r>
    </w:p>
    <w:p>
      <w:pPr>
        <w:spacing w:after="120" w:line="360"/>
        <w:ind w:firstLine="360"/>
        <w:jc w:val="both"/>
      </w:pPr>
      <w:r>
        <w:rPr>
          <w:rFonts w:ascii="Times New Roman" w:cs="Times New Roman" w:eastAsia="Times New Roman" w:hAnsi="Times New Roman"/>
          <w:sz w:val="24"/>
          <w:szCs w:val="24"/>
        </w:rPr>
        <w:t xml:space="preserve">This study demonstrates three capabilities of structured multi-criteria evaluation that single-metric ranking cannot provide.</w:t>
      </w:r>
    </w:p>
    <w:p>
      <w:pPr>
        <w:spacing w:after="120" w:line="360"/>
        <w:ind w:firstLine="360"/>
        <w:jc w:val="both"/>
      </w:pPr>
      <w:r>
        <w:rPr>
          <w:rFonts w:ascii="Times New Roman" w:cs="Times New Roman" w:eastAsia="Times New Roman" w:hAnsi="Times New Roman"/>
          <w:sz w:val="24"/>
          <w:szCs w:val="24"/>
        </w:rPr>
        <w:t xml:space="preserve">First, evidence-aware translational gating. The TCDR Engine identifies evidence maturity as the primary translational bottleneck quantitatively and prevents premature advancement of computationally promising but experimentally unvalidated candidates. A pipeline relying solely on docking scores would advance the wrong candidates.</w:t>
      </w:r>
    </w:p>
    <w:p>
      <w:pPr>
        <w:spacing w:after="120" w:line="360"/>
        <w:ind w:firstLine="360"/>
        <w:jc w:val="both"/>
      </w:pPr>
      <w:r>
        <w:rPr>
          <w:rFonts w:ascii="Times New Roman" w:cs="Times New Roman" w:eastAsia="Times New Roman" w:hAnsi="Times New Roman"/>
          <w:sz w:val="24"/>
          <w:szCs w:val="24"/>
        </w:rPr>
        <w:t xml:space="preserve">Second, cross-modality portfolio construction. By scoring all modalities on the same seven dimensions, the TCDR Engine enables direct comparison between small molecules, gene therapies, mRNA constructs, and peptide-based approaches. This capability is essential for modern precision medicine programs that operate across multiple therapeutic modalities simultaneously [6, 7].</w:t>
      </w:r>
    </w:p>
    <w:p>
      <w:pPr>
        <w:spacing w:after="120" w:line="360"/>
        <w:ind w:firstLine="360"/>
        <w:jc w:val="both"/>
      </w:pPr>
      <w:r>
        <w:rPr>
          <w:rFonts w:ascii="Times New Roman" w:cs="Times New Roman" w:eastAsia="Times New Roman" w:hAnsi="Times New Roman"/>
          <w:sz w:val="24"/>
          <w:szCs w:val="24"/>
        </w:rPr>
        <w:t xml:space="preserve">Third, quantified evidence gap identification. The evidence gap landscape provides a structured roadmap for experimental validation, prioritized by projected scoring impact. This transforms the evidence gap from a qualitative observation ("we need more data") into a quantitative investment decision ("resolving gap X will increase the aggregate score of candidate Y by Z points").</w:t>
      </w:r>
    </w:p>
    <w:p>
      <w:pPr>
        <w:pStyle w:val="Heading2"/>
        <w:spacing w:after="120" w:before="200" w:line="360"/>
      </w:pPr>
      <w:r>
        <w:rPr>
          <w:rFonts w:ascii="Times New Roman" w:cs="Times New Roman" w:eastAsia="Times New Roman" w:hAnsi="Times New Roman"/>
          <w:b/>
          <w:bCs/>
          <w:sz w:val="24"/>
          <w:szCs w:val="24"/>
        </w:rPr>
        <w:t xml:space="preserve">4.2 The Evidence Maturity Paradox</w:t>
      </w:r>
    </w:p>
    <w:p>
      <w:pPr>
        <w:spacing w:after="120" w:line="360"/>
        <w:ind w:firstLine="360"/>
        <w:jc w:val="both"/>
      </w:pPr>
      <w:r>
        <w:rPr>
          <w:rFonts w:ascii="Times New Roman" w:cs="Times New Roman" w:eastAsia="Times New Roman" w:hAnsi="Times New Roman"/>
          <w:sz w:val="24"/>
          <w:szCs w:val="24"/>
        </w:rPr>
        <w:t xml:space="preserve">The most striking finding is that the highest-scoring novel candidates are not the ones closest to clinical translation. PKA-002 ranks fifth overall and occupies the Pareto frontier, but its advancement to clinical testing requires resolution of a target-specific evidence gap (PINK1 G309D crystal structure) that is not captured by any computational optimization. This creates a paradox: the most computationally optimized candidates are precisely the ones that need the most experimental investment, and the TCDR Engine makes this investment need quantitatively visible.</w:t>
      </w:r>
    </w:p>
    <w:p>
      <w:pPr>
        <w:spacing w:after="120" w:line="360"/>
        <w:ind w:firstLine="360"/>
        <w:jc w:val="both"/>
      </w:pPr>
      <w:r>
        <w:rPr>
          <w:rFonts w:ascii="Times New Roman" w:cs="Times New Roman" w:eastAsia="Times New Roman" w:hAnsi="Times New Roman"/>
          <w:sz w:val="24"/>
          <w:szCs w:val="24"/>
        </w:rPr>
        <w:t xml:space="preserve">This finding has implications beyond MitoCoreX. Any computational drug discovery pipeline that ranks candidates by computational metrics alone will systematically overestimate the translational readiness of its outputs. The TCDR framework provides a correction mechanism.</w:t>
      </w:r>
    </w:p>
    <w:p>
      <w:pPr>
        <w:pStyle w:val="Heading2"/>
        <w:spacing w:after="120" w:before="200" w:line="360"/>
      </w:pPr>
      <w:r>
        <w:rPr>
          <w:rFonts w:ascii="Times New Roman" w:cs="Times New Roman" w:eastAsia="Times New Roman" w:hAnsi="Times New Roman"/>
          <w:b/>
          <w:bCs/>
          <w:sz w:val="24"/>
          <w:szCs w:val="24"/>
        </w:rPr>
        <w:t xml:space="preserve">4.3 Pareto Frontier Interpretation</w:t>
      </w:r>
    </w:p>
    <w:p>
      <w:pPr>
        <w:spacing w:after="120" w:line="360"/>
        <w:ind w:firstLine="360"/>
        <w:jc w:val="both"/>
      </w:pPr>
      <w:r>
        <w:rPr>
          <w:rFonts w:ascii="Times New Roman" w:cs="Times New Roman" w:eastAsia="Times New Roman" w:hAnsi="Times New Roman"/>
          <w:sz w:val="24"/>
          <w:szCs w:val="24"/>
        </w:rPr>
        <w:t xml:space="preserve">The Pareto frontier composition (five clinical-stage compounds plus one novel) raises a question about whether the scoring functions are biased toward clinical precedent. We argue that this is not bias but rather accurate reflection of translational reality. Clinical-phase candidates have undergone safety testing, manufacturing optimization, and regulatory interaction that genuinely reduce development risk. A scoring system that did not reward these achievements would be scientifically misleading.</w:t>
      </w:r>
    </w:p>
    <w:p>
      <w:pPr>
        <w:spacing w:after="120" w:line="360"/>
        <w:ind w:firstLine="360"/>
        <w:jc w:val="both"/>
      </w:pPr>
      <w:r>
        <w:rPr>
          <w:rFonts w:ascii="Times New Roman" w:cs="Times New Roman" w:eastAsia="Times New Roman" w:hAnsi="Times New Roman"/>
          <w:sz w:val="24"/>
          <w:szCs w:val="24"/>
        </w:rPr>
        <w:t xml:space="preserve">However, the inclusion of PKA-002 on the Pareto frontier demonstrates that the system is not entirely clinical-phase-dependent. A computationally generated candidate with sufficient novelty (D5) and strategic value (D7) can achieve non-dominated status. The novelty dimension functions as a protected pathway for innovation.</w:t>
      </w:r>
    </w:p>
    <w:p>
      <w:pPr>
        <w:pStyle w:val="Heading2"/>
        <w:spacing w:after="120" w:before="200" w:line="360"/>
      </w:pPr>
      <w:r>
        <w:rPr>
          <w:rFonts w:ascii="Times New Roman" w:cs="Times New Roman" w:eastAsia="Times New Roman" w:hAnsi="Times New Roman"/>
          <w:b/>
          <w:bCs/>
          <w:sz w:val="24"/>
          <w:szCs w:val="24"/>
        </w:rPr>
        <w:t xml:space="preserve">4.4 Comparison with Existing Approaches</w:t>
      </w:r>
    </w:p>
    <w:p>
      <w:pPr>
        <w:spacing w:after="120" w:line="360"/>
        <w:ind w:firstLine="360"/>
        <w:jc w:val="both"/>
      </w:pPr>
      <w:r>
        <w:rPr>
          <w:rFonts w:ascii="Times New Roman" w:cs="Times New Roman" w:eastAsia="Times New Roman" w:hAnsi="Times New Roman"/>
          <w:sz w:val="24"/>
          <w:szCs w:val="24"/>
        </w:rPr>
        <w:t xml:space="preserve">The most widely used computational prioritization approaches in drug discovery are ligand-based scoring (docking, MM-GBSA), ADMET filtering cascades, and machine learning ranking models [5, 11, 12]. All three are single-domain: they evaluate candidates within one dimension (binding, safety, or predicted activity) without integrating across translational dimensions. Multi-criteria decision analysis (MCDA) has been applied in health technology assessment (HTA) [13, 14] and clinical guideline development [15], but these applications evaluate approved therapies, not computational candidates. The TCDR Engine bridges these two traditions by applying MCDA to computationally generated candidates within a governed AI pipeline.</w:t>
      </w:r>
    </w:p>
    <w:p>
      <w:pPr>
        <w:spacing w:after="120" w:line="360"/>
        <w:ind w:firstLine="360"/>
        <w:jc w:val="both"/>
      </w:pPr>
      <w:r>
        <w:rPr>
          <w:rFonts w:ascii="Times New Roman" w:cs="Times New Roman" w:eastAsia="Times New Roman" w:hAnsi="Times New Roman"/>
          <w:sz w:val="24"/>
          <w:szCs w:val="24"/>
        </w:rPr>
        <w:t xml:space="preserve">Several recent publications have proposed multi-objective optimization for drug design, including Pareto-based evolutionary algorithms for molecular property optimization and multi-task learning approaches for simultaneous ADMET prediction [11, 12]. These methods optimize molecular properties during the generation phase but do not address post-generation translational prioritization. The TCDR Engine operates downstream of generation, accepting candidates as fixed inputs and evaluating their translational readiness across dimensions that generation-phase optimization cannot address (evidence maturity, manufacturing readiness, strategic alignment).</w:t>
      </w:r>
    </w:p>
    <w:p>
      <w:pPr>
        <w:spacing w:after="120" w:line="360"/>
        <w:ind w:firstLine="360"/>
        <w:jc w:val="both"/>
      </w:pPr>
      <w:r>
        <w:rPr>
          <w:rFonts w:ascii="Times New Roman" w:cs="Times New Roman" w:eastAsia="Times New Roman" w:hAnsi="Times New Roman"/>
          <w:sz w:val="24"/>
          <w:szCs w:val="24"/>
        </w:rPr>
        <w:t xml:space="preserve">The National Center for Advancing Translational Sciences (NCATS) Assay Guidance Manual and the Target Product Profile (TPP) framework used by pharmaceutical companies both incorporate multi-dimensional candidate assessment, but neither provides computable scoring functions or automated comparison capabilities. The TCDR Engine formalizes the multi-dimensional assessment implicit in TPP review into reproducible, auditable computations.</w:t>
      </w:r>
    </w:p>
    <w:p>
      <w:pPr>
        <w:spacing w:after="120" w:line="360"/>
        <w:ind w:firstLine="360"/>
        <w:jc w:val="both"/>
      </w:pPr>
      <w:r>
        <w:rPr>
          <w:rFonts w:ascii="Times New Roman" w:cs="Times New Roman" w:eastAsia="Times New Roman" w:hAnsi="Times New Roman"/>
          <w:sz w:val="24"/>
          <w:szCs w:val="24"/>
        </w:rPr>
        <w:t xml:space="preserve">A quantitative benchmark against an alternative prioritization method was performed by computing the D1-only ranking (docking score proxy) and a composite druglikeness ranking (mean of D2 and D3) for the same 20 candidates and comparing concordance with the TCDR balanced ranking. The D1-only ranking produces a Spearman rank correlation of rho=0.821 (p&lt;0.001, n=20) with the TCDR balanced ranking, indicating that the overall rank order is preserved at the macro level. However, this high correlation obscures consequential inversions in the top tier: PKA-002 ranks first by D1 but fifth by TCDR; idebenone ranks seventh by D1 but second by TCDR; CoQ10 ranks thirteenth by D1 but seventh by TCDR. Of 190 pairwise rank comparisons, 28 (14.7%) are inverted between D1-only and TCDR balanced rankings. The druglikeness composite produces rho=0.938 (p&lt;0.001), which is expected because D2 and D3 are components of the TCDR aggregate. The high correlations confirm that TCDR preserves the broad structure of single-metric rankings, while the specific top-tier inversions demonstrate that multi-criteria evaluation produces materially different prioritization decisions where translational investment is concentrated. A more rigorous external benchmark using a published HTA framework such as EVIDEM applied to the same candidates is recommended as a future validation exercise.</w:t>
      </w:r>
    </w:p>
    <w:p>
      <w:pPr>
        <w:spacing w:after="120" w:line="360"/>
        <w:ind w:firstLine="360"/>
        <w:jc w:val="both"/>
      </w:pPr>
      <w:r>
        <w:rPr>
          <w:rFonts w:ascii="Times New Roman" w:cs="Times New Roman" w:eastAsia="Times New Roman" w:hAnsi="Times New Roman"/>
          <w:sz w:val="24"/>
          <w:szCs w:val="24"/>
        </w:rPr>
        <w:t xml:space="preserve">The observation that riboflavin (MCX-015) and bezafibrate (MCX-017) receive identical scores across all seven dimensions (both 0.688 aggregate) despite having different mechanisms (FAD cofactor supplementation versus PGC-1alpha/PPAR-mediated biogenesis) represents a scoring resolution limitation. Both compounds share the same clinical phase (approved), modality (small molecule), delivery (oral), and categorical innovation classification (none/established). The scoring functions, operating on categorical rather than continuous inputs, cannot distinguish them. This is an accurate reflection of their translational equivalence at the categorical assessment level, but finer-grained mechanistic differentiation would require sub-dimension scoring not currently implemented.</w:t>
      </w:r>
    </w:p>
    <w:p>
      <w:pPr>
        <w:pStyle w:val="Heading2"/>
        <w:spacing w:after="120" w:before="200" w:line="360"/>
      </w:pPr>
      <w:r>
        <w:rPr>
          <w:rFonts w:ascii="Times New Roman" w:cs="Times New Roman" w:eastAsia="Times New Roman" w:hAnsi="Times New Roman"/>
          <w:b/>
          <w:bCs/>
          <w:sz w:val="24"/>
          <w:szCs w:val="24"/>
        </w:rPr>
        <w:t xml:space="preserve">4.5 Implications for Governed AI Drug Discovery Pipelines</w:t>
      </w:r>
    </w:p>
    <w:p>
      <w:pPr>
        <w:spacing w:after="120" w:line="360"/>
        <w:ind w:firstLine="360"/>
        <w:jc w:val="both"/>
      </w:pPr>
      <w:r>
        <w:rPr>
          <w:rFonts w:ascii="Times New Roman" w:cs="Times New Roman" w:eastAsia="Times New Roman" w:hAnsi="Times New Roman"/>
          <w:sz w:val="24"/>
          <w:szCs w:val="24"/>
        </w:rPr>
        <w:t xml:space="preserve">The findings of this case series have direct implications for the design and operation of governed AI drug discovery platforms. First, pipelines should integrate multi-criteria evaluation at the candidate prioritization stage rather than relegating it to post hoc review. The dominance structure identified in this study (14 of 14 novel candidates dominated primarily by D4 deficiency) would be invisible to a pipeline that advances candidates based on docking score alone.</w:t>
      </w:r>
    </w:p>
    <w:p>
      <w:pPr>
        <w:spacing w:after="120" w:line="360"/>
        <w:ind w:firstLine="360"/>
        <w:jc w:val="both"/>
      </w:pPr>
      <w:r>
        <w:rPr>
          <w:rFonts w:ascii="Times New Roman" w:cs="Times New Roman" w:eastAsia="Times New Roman" w:hAnsi="Times New Roman"/>
          <w:sz w:val="24"/>
          <w:szCs w:val="24"/>
        </w:rPr>
        <w:t xml:space="preserve">Second, the evidence gap landscape provides a structured research planning tool. Rather than generating additional computational candidates (which would share the same D4 deficiency), resources should be directed toward resolving the specific experimental gaps identified in Section 3.10. The TCDR Engine transforms the gap from a qualitative concern into a quantitative investment framework: each gap resolution has a modeled impact on candidate ranking, enabling prioritized allocation of experimental resources.</w:t>
      </w:r>
    </w:p>
    <w:p>
      <w:pPr>
        <w:spacing w:after="120" w:line="360"/>
        <w:ind w:firstLine="360"/>
        <w:jc w:val="both"/>
      </w:pPr>
      <w:r>
        <w:rPr>
          <w:rFonts w:ascii="Times New Roman" w:cs="Times New Roman" w:eastAsia="Times New Roman" w:hAnsi="Times New Roman"/>
          <w:sz w:val="24"/>
          <w:szCs w:val="24"/>
        </w:rPr>
        <w:t xml:space="preserve">Third, the portfolio optimization capability enables platform-level decision making that candidate-level metrics cannot support. The minimum five-candidate portfolio and the expanded nine-candidate portfolio represent strategic choices about resource allocation, risk tolerance, and modality diversification that require simultaneous consideration of all candidates and all dimensions.</w:t>
      </w:r>
    </w:p>
    <w:p>
      <w:pPr>
        <w:pStyle w:val="Heading2"/>
        <w:spacing w:after="120" w:before="200" w:line="360"/>
      </w:pPr>
      <w:r>
        <w:rPr>
          <w:rFonts w:ascii="Times New Roman" w:cs="Times New Roman" w:eastAsia="Times New Roman" w:hAnsi="Times New Roman"/>
          <w:b/>
          <w:bCs/>
          <w:sz w:val="24"/>
          <w:szCs w:val="24"/>
        </w:rPr>
        <w:t xml:space="preserve">4.6 Generalizability</w:t>
      </w:r>
    </w:p>
    <w:p>
      <w:pPr>
        <w:spacing w:after="120" w:line="360"/>
        <w:ind w:firstLine="360"/>
        <w:jc w:val="both"/>
      </w:pPr>
      <w:r>
        <w:rPr>
          <w:rFonts w:ascii="Times New Roman" w:cs="Times New Roman" w:eastAsia="Times New Roman" w:hAnsi="Times New Roman"/>
          <w:sz w:val="24"/>
          <w:szCs w:val="24"/>
        </w:rPr>
        <w:t xml:space="preserve">The TCDR Engine was designed for cross-domain applicability (Paper 1 [8]), and the scoring functions use categorical inputs (clinical phase, modality, docking category) that are in principle applicable to any therapeutic domain. However, the framework has been tested only on candidates from one pipeline (MitoCoreX) targeting one disease domain (mitochondrial disease), and generalizability beyond this scope remains an architectural claim rather than an empirical finding. The specific weight calibrations and threshold values used in this study reflect the mitochondrial disease context: the delivery penalty structure is calibrated for mitochondrial matrix targeting, and the strategic alignment function rewards predicted BBB penetrance (relevant for mitochondrial encephalopathies). Application to cardiovascular, oncology, or metabolic disease domains would require recalibration of these domain-specific parameters while preserving the seven-dimension architecture. Empirical validation of cross-domain applicability requires application to at least one additional disease domain with independently generated candidates, which is planned as a future direction (Section 4.8).</w:t>
      </w:r>
    </w:p>
    <w:p>
      <w:pPr>
        <w:pStyle w:val="Heading2"/>
        <w:spacing w:after="120" w:before="200" w:line="360"/>
      </w:pPr>
      <w:r>
        <w:rPr>
          <w:rFonts w:ascii="Times New Roman" w:cs="Times New Roman" w:eastAsia="Times New Roman" w:hAnsi="Times New Roman"/>
          <w:b/>
          <w:bCs/>
          <w:sz w:val="24"/>
          <w:szCs w:val="24"/>
        </w:rPr>
        <w:t xml:space="preserve">4.7 Limitations</w:t>
      </w:r>
    </w:p>
    <w:p>
      <w:pPr>
        <w:spacing w:after="120" w:line="360"/>
        <w:ind w:firstLine="360"/>
        <w:jc w:val="both"/>
      </w:pPr>
      <w:r>
        <w:rPr>
          <w:rFonts w:ascii="Times New Roman" w:cs="Times New Roman" w:eastAsia="Times New Roman" w:hAnsi="Times New Roman"/>
          <w:sz w:val="24"/>
          <w:szCs w:val="24"/>
        </w:rPr>
        <w:t xml:space="preserve">Several limitations should be acknowledged. First, the scoring functions are deterministic and do not model uncertainty. A probabilistic extension (e.g., Monte Carlo simulation of score distributions) would provide confidence intervals on rankings and enable risk-adjusted portfolio optimization. As noted in Section 3.3, ranking differences below the minimum perturbation threshold of 0.040 aggregate points should be interpreted with caution. Second, the D4 (evidence maturity) scoring function maps directly from clinical phase to score, which creates a structural conflation between measurement and evaluation: clinical phase is a proxy for evidence quality but also reflects commercial investment, regulatory pathway success, and historical timing, none of which are measures of intrinsic therapeutic potential. The result is that the 0.54-point D4 gap between novel and approved candidates partly reflects this conflation. A more granular evidence decomposition distinguishing in vitro evidence, in vivo evidence, human PK data, and efficacy trial data as separate milestones would improve discrimination among preclinical candidates (which currently all cluster at D4 of 0.20 to 0.25) and reduce the dependence on clinical phase as a single proxy. Third, the R62 restriction prevents independent reproduction of structural analyses, although all scoring function inputs are categorical and fully disclosed, enabling independent verification of the scoring computation itself. A confidential data supplement for journal reviewers could address this concern without public structural disclosure. Fourth, the 20-candidate sample represents 10 percent of the 201-compound library. No formal power analysis or sample size justification was performed for Pareto frontier characterization. A bootstrap stability analysis (repeatedly sampling 15 of 20 candidates and recomputing the frontier) would assess whether the observed frontier composition is robust to sample variation; this is recommended for the full-library evaluation. Fifth, the seven weight scenarios from Paper 2 do not exhaust all reasonable weighting configurations; a systematic weight space exploration (e.g., grid search over the seven-dimensional weight simplex) would strengthen the sensitivity analysis. Sixth, the scoring functions do not incorporate temporal dynamics: a candidate's score is a snapshot rather than a trajectory, and a dynamic model tracking score evolution over experimental milestones would better support longitudinal decision-making. Seventh, the D5 (novelty) scoring function relies on keyword matching of innovation claims (Section 2.3), which is sensitive to phrasing choices in the compound description. A structured novelty classification scheme (first-in-class, novel target, novel mechanism, novel modality, incremental optimization) would provide more robust and reproducible scoring than text-based keyword detection. Eighth, external validation of the TCDR Engine's scoring functions against independently characterized candidates (e.g., compounds from another pipeline with published experimental outcomes) has not been performed; the calibration bridge verification demonstrates implementation consistency rather than predictive validity.</w:t>
      </w:r>
    </w:p>
    <w:p>
      <w:pPr>
        <w:pStyle w:val="Heading2"/>
        <w:spacing w:after="120" w:before="200" w:line="360"/>
      </w:pPr>
      <w:r>
        <w:rPr>
          <w:rFonts w:ascii="Times New Roman" w:cs="Times New Roman" w:eastAsia="Times New Roman" w:hAnsi="Times New Roman"/>
          <w:b/>
          <w:bCs/>
          <w:sz w:val="24"/>
          <w:szCs w:val="24"/>
        </w:rPr>
        <w:t xml:space="preserve">4.8 Future Directions</w:t>
      </w:r>
    </w:p>
    <w:p>
      <w:pPr>
        <w:spacing w:after="120" w:line="360"/>
        <w:ind w:firstLine="360"/>
        <w:jc w:val="both"/>
      </w:pPr>
      <w:r>
        <w:rPr>
          <w:rFonts w:ascii="Times New Roman" w:cs="Times New Roman" w:eastAsia="Times New Roman" w:hAnsi="Times New Roman"/>
          <w:sz w:val="24"/>
          <w:szCs w:val="24"/>
        </w:rPr>
        <w:t xml:space="preserve">Three extensions are planned. First, Paper 4 of this series will introduce the Evidence Readiness Index (ERI), a quantitative metric for the experimental investment required to close the evidence gap for each candidate. The ERI will transform the qualitative evidence gap landscape presented in Section 3.10 into a cost-weighted optimization problem: given a fixed experimental budget, which gap resolutions maximize the aggregate portfolio improvement? Second, the scoring functions will be extended with a probabilistic uncertainty model incorporating Monte Carlo sampling of input parameter distributions to generate confidence-bounded rankings rather than point estimates. Third, the TCDR Engine will be applied to a second disease domain (cardiovascular or neurodegenerative) to demonstrate cross-domain generalizability and identify domain-specific calibration requirements. A fourth longer-term extension involves integrating the TCDR Engine directly into the DrugSynth AI pipeline as a real-time decision component, enabling candidates to be scored and compared during the generation process rather than only post hoc.</w:t>
      </w:r>
    </w:p>
    <w:p>
      <w:pPr>
        <w:pStyle w:val="Heading1"/>
        <w:spacing w:after="160" w:before="240" w:line="360"/>
      </w:pPr>
      <w:r>
        <w:rPr>
          <w:rFonts w:ascii="Times New Roman" w:cs="Times New Roman" w:eastAsia="Times New Roman" w:hAnsi="Times New Roman"/>
          <w:b/>
          <w:bCs/>
          <w:sz w:val="26"/>
          <w:szCs w:val="26"/>
        </w:rPr>
        <w:t xml:space="preserve">5. Conclusion</w:t>
      </w:r>
    </w:p>
    <w:p>
      <w:pPr>
        <w:spacing w:after="120" w:line="360"/>
        <w:ind w:firstLine="360"/>
        <w:jc w:val="both"/>
      </w:pPr>
      <w:r>
        <w:rPr>
          <w:rFonts w:ascii="Times New Roman" w:cs="Times New Roman" w:eastAsia="Times New Roman" w:hAnsi="Times New Roman"/>
          <w:sz w:val="24"/>
          <w:szCs w:val="24"/>
        </w:rPr>
        <w:t xml:space="preserve">Structured multi-criteria evaluation of computationally generated therapeutic candidates reveals three categories of translational insight that single-metric ranking cannot provide: evidence-aware gating, cross-modality portfolio construction, and quantified evidence gap mapping. When applied to 20 candidates from the MitoCoreX mitochondrial drug discovery pipeline, the TCDR Engine correctly identifies evidence maturity as the universal translational bottleneck, preserves a Pareto frontier pathway for scientifically novel candidates, and produces a minimum five-candidate portfolio covering all five priority targets. These findings, derived from a single pipeline targeting one disease domain, support the integration of structured decision frameworks into computational drug discovery pipelines, particularly those operating across multiple therapeutic modalities, although replication in additional disease domains is needed to establish generalizability.</w:t>
      </w:r>
    </w:p>
    <w:p>
      <w:pPr>
        <w:spacing w:after="120" w:line="360"/>
        <w:ind w:firstLine="360"/>
        <w:jc w:val="both"/>
      </w:pPr>
      <w:r>
        <w:rPr>
          <w:rFonts w:ascii="Times New Roman" w:cs="Times New Roman" w:eastAsia="Times New Roman" w:hAnsi="Times New Roman"/>
          <w:sz w:val="24"/>
          <w:szCs w:val="24"/>
        </w:rPr>
        <w:t xml:space="preserve">The evidence maturity gap between computational and clinical candidates cannot be closed by further computational optimization; it requires targeted experimental investment, and the TCDR Engine makes this investment need quantitatively explicit. The projected impact analysis demonstrates that resolving the highest-priority evidence gaps (PINK1 G309D crystal structure, recombinant R589W SDHA protein, in vivo efficacy testing for the top five candidates) would improve novel candidate aggregates by 0.10 to 0.15 points but would not alter the fundamental dominance structure until candidates reach Phase I clinical testing.</w:t>
      </w:r>
    </w:p>
    <w:p>
      <w:pPr>
        <w:spacing w:after="120" w:line="360"/>
        <w:ind w:firstLine="360"/>
        <w:jc w:val="both"/>
      </w:pPr>
      <w:r>
        <w:rPr>
          <w:rFonts w:ascii="Times New Roman" w:cs="Times New Roman" w:eastAsia="Times New Roman" w:hAnsi="Times New Roman"/>
          <w:sz w:val="24"/>
          <w:szCs w:val="24"/>
        </w:rPr>
        <w:t xml:space="preserve">For the field of computational drug discovery broadly, this case series demonstrates that the transition from candidate generation to translational prioritization requires evaluation infrastructure that is currently absent from most computational pipelines. Docking-based ranking systematically overestimates translational readiness by ignoring dimensions (evidence, safety, manufacturing, strategic fit) that determine real-world advancement probability. The TCDR framework provides a reproducible, auditable, and extensible architecture for this evaluation, and its application to the MitoCoreX pipeline demonstrates that structured evaluation of an AI pipeline's own outputs reveals the gap between computational promise and translational reality with a precision that informal review processes cannot match.</w:t>
      </w:r>
    </w:p>
    <w:p>
      <w:pPr>
        <w:spacing w:after="120" w:line="360"/>
        <w:ind w:firstLine="360"/>
        <w:jc w:val="both"/>
      </w:pPr>
      <w:r>
        <w:rPr>
          <w:rFonts w:ascii="Times New Roman" w:cs="Times New Roman" w:eastAsia="Times New Roman" w:hAnsi="Times New Roman"/>
          <w:sz w:val="24"/>
          <w:szCs w:val="24"/>
        </w:rPr>
        <w:t xml:space="preserve">The TCDR Engine, TCDR schema, and TCDR-MI checklist are available under the Apache 2.0 license. The complete scoring data, individual TCDR JSONs, comparison matrix, and supplementary analyses are provided to enable independent replication of all findings reported in this paper.</w:t>
      </w:r>
    </w:p>
    <w:p>
      <w:pPr>
        <w:pStyle w:val="Heading1"/>
        <w:spacing w:after="160" w:before="240" w:line="360"/>
      </w:pPr>
      <w:r>
        <w:rPr>
          <w:rFonts w:ascii="Times New Roman" w:cs="Times New Roman" w:eastAsia="Times New Roman" w:hAnsi="Times New Roman"/>
          <w:b/>
          <w:bCs/>
          <w:sz w:val="26"/>
          <w:szCs w:val="26"/>
        </w:rPr>
        <w:t xml:space="preserve">6. Data Availability</w:t>
      </w:r>
    </w:p>
    <w:p>
      <w:pPr>
        <w:spacing w:after="120" w:line="360"/>
        <w:ind w:firstLine="360"/>
        <w:jc w:val="both"/>
      </w:pPr>
      <w:r>
        <w:rPr>
          <w:rFonts w:ascii="Times New Roman" w:cs="Times New Roman" w:eastAsia="Times New Roman" w:hAnsi="Times New Roman"/>
          <w:sz w:val="24"/>
          <w:szCs w:val="24"/>
        </w:rPr>
        <w:t xml:space="preserve">The TCDR schema (version 1.0.0), TCDR-MI checklist, and TCDR Engine specification are available under the Apache 2.0 license at [GITHUB_URL_PLACEHOLDER]. Individual TCDR JSON files for all 20 candidates, the comparison matrix, Pareto analysis results, and cross-target analysis are provided as supplementary data. Structural data (SMILES, InChIKey) for novel compounds are withheld under intellectual property restriction R62 and will be deposited upon patent publication.</w:t>
      </w:r>
    </w:p>
    <w:p>
      <w:pPr>
        <w:pStyle w:val="Heading1"/>
        <w:spacing w:after="160" w:before="240" w:line="360"/>
      </w:pPr>
      <w:r>
        <w:rPr>
          <w:rFonts w:ascii="Times New Roman" w:cs="Times New Roman" w:eastAsia="Times New Roman" w:hAnsi="Times New Roman"/>
          <w:b/>
          <w:bCs/>
          <w:sz w:val="26"/>
          <w:szCs w:val="26"/>
        </w:rPr>
        <w:t xml:space="preserve">7. Competing Interests</w:t>
      </w:r>
    </w:p>
    <w:p>
      <w:pPr>
        <w:spacing w:after="120" w:line="360"/>
        <w:ind w:firstLine="360"/>
        <w:jc w:val="both"/>
      </w:pPr>
      <w:r>
        <w:rPr>
          <w:rFonts w:ascii="Times New Roman" w:cs="Times New Roman" w:eastAsia="Times New Roman" w:hAnsi="Times New Roman"/>
          <w:sz w:val="24"/>
          <w:szCs w:val="24"/>
        </w:rPr>
        <w:t xml:space="preserve">The author declares no competing interests. DrugSynth AI provisional patent application 64/018,624 covers the governed pipeline architecture; the TCDR standard itself is released under Apache 2.0 with no intellectual property restrictions on use or modification.</w:t>
      </w:r>
    </w:p>
    <w:p>
      <w:pPr>
        <w:pStyle w:val="Heading1"/>
        <w:spacing w:after="160" w:before="240" w:line="360"/>
      </w:pPr>
      <w:r>
        <w:rPr>
          <w:rFonts w:ascii="Times New Roman" w:cs="Times New Roman" w:eastAsia="Times New Roman" w:hAnsi="Times New Roman"/>
          <w:b/>
          <w:bCs/>
          <w:sz w:val="26"/>
          <w:szCs w:val="26"/>
        </w:rPr>
        <w:t xml:space="preserve">8. Funding</w:t>
      </w:r>
    </w:p>
    <w:p>
      <w:pPr>
        <w:spacing w:after="120" w:line="360"/>
        <w:ind w:firstLine="360"/>
        <w:jc w:val="both"/>
      </w:pPr>
      <w:r>
        <w:rPr>
          <w:rFonts w:ascii="Times New Roman" w:cs="Times New Roman" w:eastAsia="Times New Roman" w:hAnsi="Times New Roman"/>
          <w:sz w:val="24"/>
          <w:szCs w:val="24"/>
        </w:rPr>
        <w:t xml:space="preserve">This research received no external funding.</w:t>
      </w:r>
    </w:p>
    <w:p>
      <w:pPr>
        <w:pStyle w:val="Heading1"/>
        <w:spacing w:after="160" w:before="240" w:line="360"/>
      </w:pPr>
      <w:r>
        <w:rPr>
          <w:rFonts w:ascii="Times New Roman" w:cs="Times New Roman" w:eastAsia="Times New Roman" w:hAnsi="Times New Roman"/>
          <w:b/>
          <w:bCs/>
          <w:sz w:val="26"/>
          <w:szCs w:val="26"/>
        </w:rPr>
        <w:t xml:space="preserve">9. Acknowledgments</w:t>
      </w:r>
    </w:p>
    <w:p>
      <w:pPr>
        <w:spacing w:after="120" w:line="360"/>
        <w:ind w:firstLine="360"/>
        <w:jc w:val="both"/>
      </w:pPr>
      <w:r>
        <w:rPr>
          <w:rFonts w:ascii="Times New Roman" w:cs="Times New Roman" w:eastAsia="Times New Roman" w:hAnsi="Times New Roman"/>
          <w:sz w:val="24"/>
          <w:szCs w:val="24"/>
        </w:rPr>
        <w:t xml:space="preserve">Computational infrastructure was provided by the Frontier Translational Research Lab, Department of Computer Science, Boston University.</w:t>
      </w:r>
    </w:p>
    <w:p>
      <w:pPr>
        <w:pStyle w:val="Heading1"/>
        <w:spacing w:after="160" w:before="240" w:line="360"/>
      </w:pPr>
      <w:r>
        <w:rPr>
          <w:rFonts w:ascii="Times New Roman" w:cs="Times New Roman" w:eastAsia="Times New Roman" w:hAnsi="Times New Roman"/>
          <w:b/>
          <w:bCs/>
          <w:sz w:val="26"/>
          <w:szCs w:val="26"/>
        </w:rPr>
        <w:t xml:space="preserve">10. Author Contributions</w:t>
      </w:r>
    </w:p>
    <w:p>
      <w:pPr>
        <w:spacing w:after="120" w:line="360"/>
        <w:ind w:firstLine="360"/>
        <w:jc w:val="both"/>
      </w:pPr>
      <w:r>
        <w:rPr>
          <w:rFonts w:ascii="Times New Roman" w:cs="Times New Roman" w:eastAsia="Times New Roman" w:hAnsi="Times New Roman"/>
          <w:sz w:val="24"/>
          <w:szCs w:val="24"/>
        </w:rPr>
        <w:t xml:space="preserve">JB conceived the study, designed the TCDR Engine scoring functions, performed all analyses, and wrote the manuscript. This is a sole-author publication.</w:t>
      </w:r>
    </w:p>
    <w:p>
      <w:pPr>
        <w:spacing w:after="60" w:line="276"/>
        <w:jc w:val="both"/>
      </w:pPr>
      <w:r>
        <w:rPr>
          <w:rFonts w:ascii="Times New Roman" w:cs="Times New Roman" w:eastAsia="Times New Roman" w:hAnsi="Times New Roman"/>
          <w:sz w:val="20"/>
          <w:szCs w:val="20"/>
        </w:rPr>
        <w:t xml:space="preserve">[1] Vamathevan J, Clark D, Czodrowski P, et al. Applications of machine learning in drug discovery and development. Nat Rev Drug Discov. 2019;18(6):463-477. doi:10.1038/s41573-019-0024-5</w:t>
      </w:r>
    </w:p>
    <w:p>
      <w:pPr>
        <w:spacing w:after="60" w:line="276"/>
        <w:jc w:val="both"/>
      </w:pPr>
      <w:r>
        <w:rPr>
          <w:rFonts w:ascii="Times New Roman" w:cs="Times New Roman" w:eastAsia="Times New Roman" w:hAnsi="Times New Roman"/>
          <w:sz w:val="20"/>
          <w:szCs w:val="20"/>
        </w:rPr>
        <w:t xml:space="preserve">[2] Schneider P, Walters WP, Plowright AT, et al. Rethinking drug design in the artificial intelligence era. Nat Rev Drug Discov. 2020;19(5):353-364. doi:10.1038/s41573-020-0059-2</w:t>
      </w:r>
    </w:p>
    <w:p>
      <w:pPr>
        <w:spacing w:after="60" w:line="276"/>
        <w:jc w:val="both"/>
      </w:pPr>
      <w:r>
        <w:rPr>
          <w:rFonts w:ascii="Times New Roman" w:cs="Times New Roman" w:eastAsia="Times New Roman" w:hAnsi="Times New Roman"/>
          <w:sz w:val="20"/>
          <w:szCs w:val="20"/>
        </w:rPr>
        <w:t xml:space="preserve">[3] Borges J. DrugSynth AI: A governed multi-agent platform for precision medicine drug discovery. Provisional Patent Application 64/018,624. 2026.</w:t>
      </w:r>
    </w:p>
    <w:p>
      <w:pPr>
        <w:spacing w:after="60" w:line="276"/>
        <w:jc w:val="both"/>
      </w:pPr>
      <w:r>
        <w:rPr>
          <w:rFonts w:ascii="Times New Roman" w:cs="Times New Roman" w:eastAsia="Times New Roman" w:hAnsi="Times New Roman"/>
          <w:sz w:val="20"/>
          <w:szCs w:val="20"/>
        </w:rPr>
        <w:t xml:space="preserve">[4] Borges J. MitoCoreX Chapter 4.2: De novo molecule design for mitochondrial disease targets. Manuscript. 2026.</w:t>
      </w:r>
    </w:p>
    <w:p>
      <w:pPr>
        <w:spacing w:after="60" w:line="276"/>
        <w:jc w:val="both"/>
      </w:pPr>
      <w:r>
        <w:rPr>
          <w:rFonts w:ascii="Times New Roman" w:cs="Times New Roman" w:eastAsia="Times New Roman" w:hAnsi="Times New Roman"/>
          <w:sz w:val="20"/>
          <w:szCs w:val="20"/>
        </w:rPr>
        <w:t xml:space="preserve">[5] Sliwoski G, Kothiwale S, Meiler J, Lowe EW. Computational methods in drug discovery. Pharmacol Rev. 2014;66(1):334-395. doi:10.1124/pr.112.007336</w:t>
      </w:r>
    </w:p>
    <w:p>
      <w:pPr>
        <w:spacing w:after="60" w:line="276"/>
        <w:jc w:val="both"/>
      </w:pPr>
      <w:r>
        <w:rPr>
          <w:rFonts w:ascii="Times New Roman" w:cs="Times New Roman" w:eastAsia="Times New Roman" w:hAnsi="Times New Roman"/>
          <w:sz w:val="20"/>
          <w:szCs w:val="20"/>
        </w:rPr>
        <w:t xml:space="preserve">[6] Dunbar CE, High KA, Joung JK, Kohn DB, Ozawa K, Sadelain M. Gene therapy comes of age. Science. 2018;359(6372):eaan4672. doi:10.1126/science.aan4672</w:t>
      </w:r>
    </w:p>
    <w:p>
      <w:pPr>
        <w:spacing w:after="60" w:line="276"/>
        <w:jc w:val="both"/>
      </w:pPr>
      <w:r>
        <w:rPr>
          <w:rFonts w:ascii="Times New Roman" w:cs="Times New Roman" w:eastAsia="Times New Roman" w:hAnsi="Times New Roman"/>
          <w:sz w:val="20"/>
          <w:szCs w:val="20"/>
        </w:rPr>
        <w:t xml:space="preserve">[7] Sahin U, Kariko K, Tureci O. mRNA-based therapeutics: developing a new class of drugs. Nat Rev Drug Discov. 2014;13(10):759-780. doi:10.1038/nrd4278</w:t>
      </w:r>
    </w:p>
    <w:p>
      <w:pPr>
        <w:spacing w:after="60" w:line="276"/>
        <w:jc w:val="both"/>
      </w:pPr>
      <w:r>
        <w:rPr>
          <w:rFonts w:ascii="Times New Roman" w:cs="Times New Roman" w:eastAsia="Times New Roman" w:hAnsi="Times New Roman"/>
          <w:sz w:val="20"/>
          <w:szCs w:val="20"/>
        </w:rPr>
        <w:t xml:space="preserve">[8] Borges J. The Therapeutic Candidate Decision Record: a minimum information standard for translational therapeutics evaluation. Manuscript (Paper 1 of GeneVector Track). 2026.</w:t>
      </w:r>
    </w:p>
    <w:p>
      <w:pPr>
        <w:spacing w:after="60" w:line="276"/>
        <w:jc w:val="both"/>
      </w:pPr>
      <w:r>
        <w:rPr>
          <w:rFonts w:ascii="Times New Roman" w:cs="Times New Roman" w:eastAsia="Times New Roman" w:hAnsi="Times New Roman"/>
          <w:sz w:val="20"/>
          <w:szCs w:val="20"/>
        </w:rPr>
        <w:t xml:space="preserve">[9] Borges J. The TCDR Engine: a computational architecture for reproducible therapeutic candidate evaluation. Manuscript (Paper 2 of GeneVector Track). 2026.</w:t>
      </w:r>
    </w:p>
    <w:p>
      <w:pPr>
        <w:spacing w:after="60" w:line="276"/>
        <w:jc w:val="both"/>
      </w:pPr>
      <w:r>
        <w:rPr>
          <w:rFonts w:ascii="Times New Roman" w:cs="Times New Roman" w:eastAsia="Times New Roman" w:hAnsi="Times New Roman"/>
          <w:sz w:val="20"/>
          <w:szCs w:val="20"/>
        </w:rPr>
        <w:t xml:space="preserve">[10] Borges J. MitoCoreX Chapter 4.1: DrugSynth AI engine description. Manuscript. 2026.</w:t>
      </w:r>
    </w:p>
    <w:p>
      <w:pPr>
        <w:spacing w:after="60" w:line="276"/>
        <w:jc w:val="both"/>
      </w:pPr>
      <w:r>
        <w:rPr>
          <w:rFonts w:ascii="Times New Roman" w:cs="Times New Roman" w:eastAsia="Times New Roman" w:hAnsi="Times New Roman"/>
          <w:sz w:val="20"/>
          <w:szCs w:val="20"/>
        </w:rPr>
        <w:t xml:space="preserve">[11] Tropsha A. Best practices for QSAR model development, validation, and exploitation. Mol Inform. 2010;29(6-7):476-488. doi:10.1002/minf.201000061</w:t>
      </w:r>
    </w:p>
    <w:p>
      <w:pPr>
        <w:spacing w:after="60" w:line="276"/>
        <w:jc w:val="both"/>
      </w:pPr>
      <w:r>
        <w:rPr>
          <w:rFonts w:ascii="Times New Roman" w:cs="Times New Roman" w:eastAsia="Times New Roman" w:hAnsi="Times New Roman"/>
          <w:sz w:val="20"/>
          <w:szCs w:val="20"/>
        </w:rPr>
        <w:t xml:space="preserve">[12] Jimenez-Luna J, Grisoni F, Schneider G. Drug discovery with explainable artificial intelligence. Nat Mach Intell. 2020;2(10):573-584. doi:10.1038/s42256-020-00236-4</w:t>
      </w:r>
    </w:p>
    <w:p>
      <w:pPr>
        <w:spacing w:after="60" w:line="276"/>
        <w:jc w:val="both"/>
      </w:pPr>
      <w:r>
        <w:rPr>
          <w:rFonts w:ascii="Times New Roman" w:cs="Times New Roman" w:eastAsia="Times New Roman" w:hAnsi="Times New Roman"/>
          <w:sz w:val="20"/>
          <w:szCs w:val="20"/>
        </w:rPr>
        <w:t xml:space="preserve">[13] Thokala P, Devlin N, Marsh K, et al. Multiple criteria decision analysis for health care decision making: an introduction. Value Health. 2016;19(1):1-13. doi:10.1016/j.jval.2015.12.003</w:t>
      </w:r>
    </w:p>
    <w:p>
      <w:pPr>
        <w:spacing w:after="60" w:line="276"/>
        <w:jc w:val="both"/>
      </w:pPr>
      <w:r>
        <w:rPr>
          <w:rFonts w:ascii="Times New Roman" w:cs="Times New Roman" w:eastAsia="Times New Roman" w:hAnsi="Times New Roman"/>
          <w:sz w:val="20"/>
          <w:szCs w:val="20"/>
        </w:rPr>
        <w:t xml:space="preserve">[14] Marsh K, IJzerman M, Thokala P, et al. Multiple criteria decision analysis for health care decision making: emerging good practices. Value Health. 2016;19(2):125-137. doi:10.1016/j.jval.2015.12.016</w:t>
      </w:r>
    </w:p>
    <w:p>
      <w:pPr>
        <w:spacing w:after="60" w:line="276"/>
        <w:jc w:val="both"/>
      </w:pPr>
      <w:r>
        <w:rPr>
          <w:rFonts w:ascii="Times New Roman" w:cs="Times New Roman" w:eastAsia="Times New Roman" w:hAnsi="Times New Roman"/>
          <w:sz w:val="20"/>
          <w:szCs w:val="20"/>
        </w:rPr>
        <w:t xml:space="preserve">[15] Baltussen R, Niessen L. Priority setting of health interventions: the need for multi-criteria decision analysis. Cost Eff Resour Alloc. 2006;4:14. doi:10.1186/1478-7547-4-14</w:t>
      </w:r>
    </w:p>
    <w:p>
      <w:pPr>
        <w:spacing w:after="60" w:line="276"/>
        <w:jc w:val="both"/>
      </w:pPr>
      <w:r>
        <w:rPr>
          <w:rFonts w:ascii="Times New Roman" w:cs="Times New Roman" w:eastAsia="Times New Roman" w:hAnsi="Times New Roman"/>
          <w:sz w:val="20"/>
          <w:szCs w:val="20"/>
        </w:rPr>
        <w:t xml:space="preserve">[16] Gorman GS, Chinnery PF, DiMauro S, et al. Mitochondrial diseases. Nat Rev Dis Primers. 2016;2:16080. doi:10.1038/nrdp.2016.80</w:t>
      </w:r>
    </w:p>
    <w:p>
      <w:pPr>
        <w:spacing w:after="60" w:line="276"/>
        <w:jc w:val="both"/>
      </w:pPr>
      <w:r>
        <w:rPr>
          <w:rFonts w:ascii="Times New Roman" w:cs="Times New Roman" w:eastAsia="Times New Roman" w:hAnsi="Times New Roman"/>
          <w:sz w:val="20"/>
          <w:szCs w:val="20"/>
        </w:rPr>
        <w:t xml:space="preserve">[17] Suomalainen A, Battersby BJ. Mitochondrial diseases: the contribution of organelle stress responses to pathology. Nat Rev Mol Cell Biol. 2018;19(2):77-92. doi:10.1038/nrm.2017.66</w:t>
      </w:r>
    </w:p>
    <w:p>
      <w:pPr>
        <w:spacing w:after="60" w:line="276"/>
        <w:jc w:val="both"/>
      </w:pPr>
      <w:r>
        <w:rPr>
          <w:rFonts w:ascii="Times New Roman" w:cs="Times New Roman" w:eastAsia="Times New Roman" w:hAnsi="Times New Roman"/>
          <w:sz w:val="20"/>
          <w:szCs w:val="20"/>
        </w:rPr>
        <w:t xml:space="preserve">[18] Murphy MP, Hartley RC. Mitochondria as a therapeutic target for common pathologies. Nat Rev Drug Discov. 2018;17(12):865-886. doi:10.1038/nrd.2018.174</w:t>
      </w:r>
    </w:p>
    <w:p>
      <w:pPr>
        <w:spacing w:after="60" w:line="276"/>
        <w:jc w:val="both"/>
      </w:pPr>
      <w:r>
        <w:rPr>
          <w:rFonts w:ascii="Times New Roman" w:cs="Times New Roman" w:eastAsia="Times New Roman" w:hAnsi="Times New Roman"/>
          <w:sz w:val="20"/>
          <w:szCs w:val="20"/>
        </w:rPr>
        <w:t xml:space="preserve">[19] Cassidy-Stone A, Chipuk JE, Ingerman E, et al. Chemical inhibition of the mitochondrial division dynamin reveals its role in Bax/Bak-dependent mitochondrial outer membrane permeabilization. Dev Cell. 2008;14(2):193-204. doi:10.1016/j.devcel.2007.11.019</w:t>
      </w:r>
    </w:p>
    <w:p>
      <w:pPr>
        <w:spacing w:after="60" w:line="276"/>
        <w:jc w:val="both"/>
      </w:pPr>
      <w:r>
        <w:rPr>
          <w:rFonts w:ascii="Times New Roman" w:cs="Times New Roman" w:eastAsia="Times New Roman" w:hAnsi="Times New Roman"/>
          <w:sz w:val="20"/>
          <w:szCs w:val="20"/>
        </w:rPr>
        <w:t xml:space="preserve">[20] Valente EM, Abou-Sleiman PM, Caputo V, et al. Hereditary early-onset Parkinson's disease caused by mutations in PINK1. Science. 2004;304(5674):1158-1160. doi:10.1126/science.1096284</w:t>
      </w:r>
    </w:p>
    <w:p>
      <w:pPr>
        <w:spacing w:after="60" w:line="276"/>
        <w:jc w:val="both"/>
      </w:pPr>
      <w:r>
        <w:rPr>
          <w:rFonts w:ascii="Times New Roman" w:cs="Times New Roman" w:eastAsia="Times New Roman" w:hAnsi="Times New Roman"/>
          <w:sz w:val="20"/>
          <w:szCs w:val="20"/>
        </w:rPr>
        <w:t xml:space="preserve">[21] Dinkova-Kostova AT, Copple IM. Advances and challenges in therapeutic targeting of NRF2. Trends Pharmacol Sci. 2023;44(3):137-149. doi:10.1016/j.tips.2022.12.003</w:t>
      </w:r>
    </w:p>
    <w:p>
      <w:pPr>
        <w:spacing w:after="60" w:line="276"/>
        <w:jc w:val="both"/>
      </w:pPr>
      <w:r>
        <w:rPr>
          <w:rFonts w:ascii="Times New Roman" w:cs="Times New Roman" w:eastAsia="Times New Roman" w:hAnsi="Times New Roman"/>
          <w:sz w:val="20"/>
          <w:szCs w:val="20"/>
        </w:rPr>
        <w:t xml:space="preserve">[22] Fassone E, Rahman S. Complex I deficiency: clinical features, biochemistry and molecular genetics. J Med Genet. 2012;49(9):578-590. doi:10.1136/jmedgenet-2012-101159</w:t>
      </w:r>
    </w:p>
    <w:p>
      <w:pPr>
        <w:spacing w:after="60" w:line="276"/>
        <w:jc w:val="both"/>
      </w:pPr>
      <w:r>
        <w:rPr>
          <w:rFonts w:ascii="Times New Roman" w:cs="Times New Roman" w:eastAsia="Times New Roman" w:hAnsi="Times New Roman"/>
          <w:sz w:val="20"/>
          <w:szCs w:val="20"/>
        </w:rPr>
        <w:t xml:space="preserve">[23] Rutter J, Winge DR, Schiffman JD. Succinate dehydrogenase: assembly, regulation and role in human disease. Mitochondrion. 2010;10(4):393-401. doi:10.1016/j.mito.2010.03.001</w:t>
      </w:r>
    </w:p>
    <w:p>
      <w:pPr>
        <w:spacing w:after="60" w:line="276"/>
        <w:jc w:val="both"/>
      </w:pPr>
      <w:r>
        <w:rPr>
          <w:rFonts w:ascii="Times New Roman" w:cs="Times New Roman" w:eastAsia="Times New Roman" w:hAnsi="Times New Roman"/>
          <w:sz w:val="20"/>
          <w:szCs w:val="20"/>
        </w:rPr>
        <w:t xml:space="preserve">[24] Lipinski CA, Lombardo F, Dominy BW, Feeney PJ. Experimental and computational approaches to estimate solubility and permeability in drug discovery and development settings. Adv Drug Deliv Rev. 2001;46(1-3):3-26. doi:10.1016/s0169-409x(00)00129-0</w:t>
      </w:r>
    </w:p>
    <w:p>
      <w:pPr>
        <w:spacing w:after="60" w:line="276"/>
        <w:jc w:val="both"/>
      </w:pPr>
      <w:r>
        <w:rPr>
          <w:rFonts w:ascii="Times New Roman" w:cs="Times New Roman" w:eastAsia="Times New Roman" w:hAnsi="Times New Roman"/>
          <w:sz w:val="20"/>
          <w:szCs w:val="20"/>
        </w:rPr>
        <w:t xml:space="preserve">[25] Trott O, Olson AJ. AutoDock Vina: improving the speed and accuracy of docking with a new scoring function, efficient optimization, and multithreading. J Comput Chem. 2010;31(2):455-461. doi:10.1002/jcc.21334</w:t>
      </w:r>
    </w:p>
    <w:sectPr>
      <w:headerReference w:type="default" r:id="rId7"/>
      <w:footerReference w:type="default" r:id="rId8"/>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Times New Roman" w:cs="Times New Roman" w:eastAsia="Times New Roman" w:hAnsi="Times New Roman"/>
        <w:color w:val="666666"/>
        <w:sz w:val="16"/>
        <w:szCs w:val="16"/>
      </w:rPr>
      <w:t xml:space="preserve">Julian Borges, MD, MS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Times New Roman" w:cs="Times New Roman" w:eastAsia="Times New Roman" w:hAnsi="Times New Roman"/>
        <w:b/>
        <w:bCs/>
        <w:color w:val="2E75B6"/>
        <w:sz w:val="16"/>
        <w:szCs w:val="16"/>
      </w:rPr>
      <w:t xml:space="preserve">PAPER GV3  |  MitoCoreX TCDR Case Series  |  Borges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2026-05-19T01:31:18.316Z</dcterms:created>
  <dcterms:modified xsi:type="dcterms:W3CDTF">2026-05-19T01:31:18.329Z</dcterms:modified>
</cp:coreProperties>
</file>

<file path=docProps/custom.xml><?xml version="1.0" encoding="utf-8"?>
<Properties xmlns="http://schemas.openxmlformats.org/officeDocument/2006/custom-properties" xmlns:vt="http://schemas.openxmlformats.org/officeDocument/2006/docPropsVTypes"/>
</file>