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40"/>
      </w:pPr>
      <w:r>
        <w:rPr>
          <w:rFonts w:ascii="Times New Roman" w:cs="Times New Roman" w:eastAsia="Times New Roman" w:hAnsi="Times New Roman"/>
          <w:b/>
          <w:bCs/>
          <w:sz w:val="24"/>
          <w:szCs w:val="24"/>
        </w:rPr>
        <w:t xml:space="preserve">PAPER GV4  |  Evidence Readiness Index  |  Borges 2026</w:t>
      </w:r>
    </w:p>
    <w:p>
      <w:pPr>
        <w:spacing w:after="200" w:line="480"/>
        <w:jc w:val="center"/>
      </w:pPr>
      <w:r>
        <w:rPr>
          <w:rFonts w:ascii="Times New Roman" w:cs="Times New Roman" w:eastAsia="Times New Roman" w:hAnsi="Times New Roman"/>
          <w:b/>
          <w:bCs/>
          <w:sz w:val="28"/>
          <w:szCs w:val="28"/>
        </w:rPr>
        <w:t xml:space="preserve">The Evidence Readiness Index: A Budget Constrained Optimization Framework for Translational Gap Resolution in Computational Drug Discovery</w:t>
      </w:r>
    </w:p>
    <w:p>
      <w:pPr>
        <w:spacing w:after="60" w:line="240"/>
        <w:jc w:val="center"/>
      </w:pPr>
      <w:r>
        <w:rPr>
          <w:rFonts w:ascii="Times New Roman" w:cs="Times New Roman" w:eastAsia="Times New Roman" w:hAnsi="Times New Roman"/>
          <w:b/>
          <w:bCs/>
          <w:sz w:val="24"/>
          <w:szCs w:val="24"/>
        </w:rPr>
        <w:t xml:space="preserve">Julian Borges, MD, MS</w:t>
      </w:r>
    </w:p>
    <w:p>
      <w:pPr>
        <w:spacing w:after="60" w:line="240"/>
        <w:jc w:val="center"/>
      </w:pPr>
      <w:r>
        <w:rPr>
          <w:rFonts w:ascii="Times New Roman" w:cs="Times New Roman" w:eastAsia="Times New Roman" w:hAnsi="Times New Roman"/>
          <w:sz w:val="24"/>
          <w:szCs w:val="24"/>
        </w:rPr>
        <w:t xml:space="preserve">Department of Computer Science, Boston University, Boston, MA 02215, USA</w:t>
      </w:r>
    </w:p>
    <w:p>
      <w:pPr>
        <w:spacing w:after="60" w:line="240"/>
        <w:jc w:val="center"/>
      </w:pPr>
      <w:r>
        <w:rPr>
          <w:rFonts w:ascii="Times New Roman" w:cs="Times New Roman" w:eastAsia="Times New Roman" w:hAnsi="Times New Roman"/>
          <w:sz w:val="24"/>
          <w:szCs w:val="24"/>
        </w:rPr>
        <w:t xml:space="preserve">Correspondence: jyborges@bu.edu</w:t>
      </w:r>
    </w:p>
    <w:p>
      <w:pPr>
        <w:spacing w:after="200" w:line="240"/>
        <w:jc w:val="center"/>
      </w:pPr>
      <w:r>
        <w:rPr>
          <w:rFonts w:ascii="Times New Roman" w:cs="Times New Roman" w:eastAsia="Times New Roman" w:hAnsi="Times New Roman"/>
          <w:sz w:val="24"/>
          <w:szCs w:val="24"/>
        </w:rPr>
        <w:t xml:space="preserve">ORCID: 0009-0001-9929-3135</w:t>
      </w:r>
    </w:p>
    <w:p>
      <w:pPr>
        <w:pStyle w:val="Heading1"/>
        <w:spacing w:after="120" w:line="480" w:lineRule="auto"/>
      </w:pPr>
      <w:r>
        <w:rPr>
          <w:rFonts w:ascii="Times New Roman" w:cs="Times New Roman" w:eastAsia="Times New Roman" w:hAnsi="Times New Roman"/>
          <w:sz w:val="24"/>
          <w:szCs w:val="24"/>
        </w:rPr>
        <w:t xml:space="preserve">Abstract</w:t>
      </w:r>
    </w:p>
    <w:p>
      <w:pPr>
        <w:spacing w:after="120" w:line="480" w:lineRule="auto"/>
      </w:pPr>
      <w:r>
        <w:rPr>
          <w:rFonts w:ascii="Times New Roman" w:cs="Times New Roman" w:eastAsia="Times New Roman" w:hAnsi="Times New Roman"/>
          <w:sz w:val="24"/>
          <w:szCs w:val="24"/>
        </w:rPr>
        <w:t xml:space="preserve">Background: Computational drug discovery pipelines generate candidate molecules with predicted properties, but the transition from computational output to experimental validation remains unstructured. Paper 3 of this series identified evidence maturity as the universal translational bottleneck in the MitoCoreX pipeline, with a 0.54 point gap between novel (0.22) and approved (0.76) candidates on the D4 dimension of the Therapeutic Candidate Decision Record (TCDR) Engine. That analysis quantified the gap but did not specify how to resolve it.</w:t>
      </w:r>
    </w:p>
    <w:p>
      <w:pPr>
        <w:spacing w:after="120" w:line="480" w:lineRule="auto"/>
      </w:pPr>
      <w:r>
        <w:rPr>
          <w:rFonts w:ascii="Times New Roman" w:cs="Times New Roman" w:eastAsia="Times New Roman" w:hAnsi="Times New Roman"/>
          <w:sz w:val="24"/>
          <w:szCs w:val="24"/>
        </w:rPr>
        <w:t xml:space="preserve">Objective: To introduce the Evidence Readiness Index (ERI), a quantitative framework that transforms qualitative evidence gaps into a budget constrained optimization problem, answering: given a fixed experimental budget, which gap resolutions maximize aggregate portfolio improvement?</w:t>
      </w:r>
    </w:p>
    <w:p>
      <w:pPr>
        <w:spacing w:after="120" w:line="480" w:lineRule="auto"/>
      </w:pPr>
      <w:r>
        <w:rPr>
          <w:rFonts w:ascii="Times New Roman" w:cs="Times New Roman" w:eastAsia="Times New Roman" w:hAnsi="Times New Roman"/>
          <w:sz w:val="24"/>
          <w:szCs w:val="24"/>
        </w:rPr>
        <w:t xml:space="preserve">Methods: Eight evidence gaps (3 universal, 5 target specific) from Paper 3 were formalized as structured objects with cost ranges, duration estimates, success probabilities, dependency constraints, and projected scoring impacts derived from the TCDR Engine scoring functions. Experimental costs were benchmarked against contract research organization pricing and academic core facility fee schedules. A knapsack optimization algorithm identified optimal gap resolution subsets under four budget scenarios ($50,000, $150,000, $250,000, $500,000) with continuous budget response analysis at $25,000 increments. Sensitivity analyses assessed robustness to success probability and cost estimate perturbation across all key budget levels.</w:t>
      </w:r>
    </w:p>
    <w:p>
      <w:pPr>
        <w:spacing w:after="120" w:line="480" w:lineRule="auto"/>
      </w:pPr>
      <w:r>
        <w:rPr>
          <w:rFonts w:ascii="Times New Roman" w:cs="Times New Roman" w:eastAsia="Times New Roman" w:hAnsi="Times New Roman"/>
          <w:sz w:val="24"/>
          <w:szCs w:val="24"/>
        </w:rPr>
        <w:t xml:space="preserve">Results: The total cost to resolve all eight gaps was estimated at $1,083,000. The highest standalone return on investment gap (UEG 2, head to head comparison, ROI 0.000944 per $1,000) was unreachable at budgets below $362,000 because it depends on UEG 1 (compound synthesis, $250,000). This dependency cost inversion is invisible without the ERI framework. At $50,000, the optimal allocation is TSG SDHA (recombinant protein expression, portfolio value 0.019). At $150,000, the optimal shifts to TSG PINK1 (crystal structure, portfolio value 0.021). At $250,000, a 5.3 fold value inflection occurs (portfolio value 0.114 versus 0.021 at $150,000) when UEG 1 becomes affordable, unlocking all downstream dependent gaps. At $500,000, the optimal subset (UEG 1, UEG 2, UEG 3, TSG SDHA) captures 77% of maximum achievable value. SDA 002 (SDHA target) ranked first by candidate level ERI (1.03 per million dollars) because its target specific gap is the cheapest ($45,000) with no dependencies. PKA 002 (PINK1, Pareto frontier candidate from Paper 3) ranked fourth by ERI despite its highest aggregate score, because the PINK1 G309D crystal structure gap is expensive ($140,000) with low success probability (0.45).</w:t>
      </w:r>
    </w:p>
    <w:p>
      <w:pPr>
        <w:spacing w:after="120" w:line="480" w:lineRule="auto"/>
      </w:pPr>
      <w:r>
        <w:rPr>
          <w:rFonts w:ascii="Times New Roman" w:cs="Times New Roman" w:eastAsia="Times New Roman" w:hAnsi="Times New Roman"/>
          <w:sz w:val="24"/>
          <w:szCs w:val="24"/>
        </w:rPr>
        <w:t xml:space="preserve">Conclusion: The ERI completes the four paper GeneVector thesis arc by converting evidence gap identification into a resource allocation decision framework. The dependency cost inversion finding demonstrates that naive single gap ROI ranking produces suboptimal allocations at constrained budgets, and that structured optimization with dependency awareness is required. The $250,000 threshold represents the minimum investment needed to transition a computational drug discovery portfolio from purely predicted to partially validated status.</w:t>
      </w:r>
    </w:p>
    <w:p>
      <w:pPr>
        <w:spacing w:after="120" w:line="480" w:lineRule="auto"/>
      </w:pPr>
      <w:r>
        <w:rPr>
          <w:rFonts w:ascii="Times New Roman" w:cs="Times New Roman" w:eastAsia="Times New Roman" w:hAnsi="Times New Roman"/>
          <w:sz w:val="24"/>
          <w:szCs w:val="24"/>
        </w:rPr>
        <w:t xml:space="preserve">Keywords: evidence readiness index, translational gap, budget optimization, drug discovery, knapsack problem, multi criteria decision analysis, mitochondrial disease, computational pipeline</w:t>
      </w:r>
    </w:p>
    <w:p>
      <w:r>
        <w:br w:type="page"/>
      </w:r>
    </w:p>
    <w:p>
      <w:pPr>
        <w:pStyle w:val="Heading1"/>
        <w:spacing w:after="120" w:line="480" w:lineRule="auto"/>
      </w:pPr>
      <w:r>
        <w:rPr>
          <w:rFonts w:ascii="Times New Roman" w:cs="Times New Roman" w:eastAsia="Times New Roman" w:hAnsi="Times New Roman"/>
          <w:sz w:val="24"/>
          <w:szCs w:val="24"/>
        </w:rPr>
        <w:t xml:space="preserve">1. Introduction</w:t>
      </w:r>
    </w:p>
    <w:p>
      <w:pPr>
        <w:spacing w:after="120" w:line="480" w:lineRule="auto"/>
      </w:pPr>
      <w:r>
        <w:rPr>
          <w:rFonts w:ascii="Times New Roman" w:cs="Times New Roman" w:eastAsia="Times New Roman" w:hAnsi="Times New Roman"/>
          <w:sz w:val="24"/>
          <w:szCs w:val="24"/>
        </w:rPr>
        <w:t xml:space="preserve">Computational drug discovery has achieved the capacity to generate candidate molecules with predicted binding affinity, pharmacokinetic properties, and safety profiles in timeframes measured in hours rather than months [1, 2]. However, a systematic gap exists between computational output and experimental validation. Candidates that score well on predicted metrics remain fundamentally unvalidated until they undergo synthesis, biochemical testing, and in vivo evaluation. This gap has been characterized as the translational valley of death, and its financial dimensions have been extensively studied at the aggregate industry level [3, 4, 5].</w:t>
      </w:r>
    </w:p>
    <w:p>
      <w:pPr>
        <w:spacing w:after="120" w:line="480" w:lineRule="auto"/>
      </w:pPr>
      <w:r>
        <w:rPr>
          <w:rFonts w:ascii="Times New Roman" w:cs="Times New Roman" w:eastAsia="Times New Roman" w:hAnsi="Times New Roman"/>
          <w:sz w:val="24"/>
          <w:szCs w:val="24"/>
        </w:rPr>
        <w:t xml:space="preserve">What has not been addressed is the gap resolution problem at the individual pipeline level: given a specific set of computationally generated candidates with quantified evidence deficiencies, which experiments should be performed, in which order, at what cost, to maximize translational progress? This is the problem Paper 4 solves.</w:t>
      </w:r>
    </w:p>
    <w:p>
      <w:pPr>
        <w:spacing w:after="120" w:line="480" w:lineRule="auto"/>
      </w:pPr>
      <w:r>
        <w:rPr>
          <w:rFonts w:ascii="Times New Roman" w:cs="Times New Roman" w:eastAsia="Times New Roman" w:hAnsi="Times New Roman"/>
          <w:sz w:val="24"/>
          <w:szCs w:val="24"/>
        </w:rPr>
        <w:t xml:space="preserve">The first three papers of this series established the infrastructure needed to formulate this problem. Paper 1 defined the Therapeutic Candidate Decision Record (TCDR) as a computable representation standard for therapeutic candidates [6]. Paper 2 implemented the TCDR Engine, a six component computational architecture for multi criteria evaluation across seven dimensions (efficacy, safety, feasibility, evidence maturity, novelty, manufacturing, strategic alignment) [7]. Paper 3 applied the TCDR Engine to 20 candidates from the MitoCoreX mitochondrial drug discovery pipeline and identified evidence maturity (D4) as the universal translational bottleneck, with a 0.54 point gap between novel (mean D4 = 0.22) and approved (mean D4 = 0.76) candidates [8]. Paper 3 further produced three outputs that Paper 4 consumes: a qualitative evidence gap landscape comprising 3 universal and 5 target specific gaps, a minimum five candidate portfolio, and a projected scoring impact analysis.</w:t>
      </w:r>
    </w:p>
    <w:p>
      <w:pPr>
        <w:spacing w:after="120" w:line="480" w:lineRule="auto"/>
      </w:pPr>
      <w:r>
        <w:rPr>
          <w:rFonts w:ascii="Times New Roman" w:cs="Times New Roman" w:eastAsia="Times New Roman" w:hAnsi="Times New Roman"/>
          <w:sz w:val="24"/>
          <w:szCs w:val="24"/>
        </w:rPr>
        <w:t xml:space="preserve">Paper 3 Section 4.8 explicitly deferred the quantitative resolution of this gap to Paper 4, stating that the Evidence Readiness Index (ERI) would transform the qualitative evidence gap landscape into a cost weighted optimization problem [8]. This paper delivers that commitment.</w:t>
      </w:r>
    </w:p>
    <w:p>
      <w:pPr>
        <w:spacing w:after="120" w:line="480" w:lineRule="auto"/>
      </w:pPr>
      <w:r>
        <w:rPr>
          <w:rFonts w:ascii="Times New Roman" w:cs="Times New Roman" w:eastAsia="Times New Roman" w:hAnsi="Times New Roman"/>
          <w:sz w:val="24"/>
          <w:szCs w:val="24"/>
        </w:rPr>
        <w:t xml:space="preserve">The ERI framework treats each evidence gap as a structured investment object with five attributes: cost, duration, probability of experimental success, dependency constraints on other gaps, and projected impact on TCDR scores. The optimization problem is then: given a fixed experimental budget B, select the subset of gap resolutions that maximizes the expected aggregate portfolio improvement, subject to cost and dependency constraints. This formulation is a variant of the knapsack problem with precedence constraints, solvable by enumeration for the scale of this problem (8 gaps, 5 portfolio candidates) [9].</w:t>
      </w:r>
    </w:p>
    <w:p>
      <w:pPr>
        <w:spacing w:after="120" w:line="480" w:lineRule="auto"/>
      </w:pPr>
      <w:r>
        <w:rPr>
          <w:rFonts w:ascii="Times New Roman" w:cs="Times New Roman" w:eastAsia="Times New Roman" w:hAnsi="Times New Roman"/>
          <w:sz w:val="24"/>
          <w:szCs w:val="24"/>
        </w:rPr>
        <w:t xml:space="preserve">The contribution of this paper is threefold. First, it provides the formal ERI framework itself, which is applicable to any computational drug discovery pipeline that uses structured multi criteria evaluation. Second, it demonstrates a key analytical finding, the dependency cost inversion, which shows that the gap with the highest standalone return on investment is not always the optimal first investment when dependency constraints are present. Third, it completes the four paper GeneVector thesis arc by converting the thesis from problem identification (Papers 1 through 3) into problem resolution (Paper 4).</w:t>
      </w:r>
    </w:p>
    <w:p>
      <w:pPr>
        <w:pStyle w:val="Heading1"/>
        <w:spacing w:after="120" w:line="480" w:lineRule="auto"/>
      </w:pPr>
      <w:r>
        <w:rPr>
          <w:rFonts w:ascii="Times New Roman" w:cs="Times New Roman" w:eastAsia="Times New Roman" w:hAnsi="Times New Roman"/>
          <w:sz w:val="24"/>
          <w:szCs w:val="24"/>
        </w:rPr>
        <w:t xml:space="preserve">2. Materials and Methods</w:t>
      </w:r>
    </w:p>
    <w:p>
      <w:pPr>
        <w:pStyle w:val="Heading2"/>
        <w:spacing w:after="120" w:line="480" w:lineRule="auto"/>
      </w:pPr>
      <w:r>
        <w:rPr>
          <w:rFonts w:ascii="Times New Roman" w:cs="Times New Roman" w:eastAsia="Times New Roman" w:hAnsi="Times New Roman"/>
          <w:sz w:val="24"/>
          <w:szCs w:val="24"/>
        </w:rPr>
        <w:t xml:space="preserve">2.1 Source Data</w:t>
      </w:r>
    </w:p>
    <w:p>
      <w:pPr>
        <w:spacing w:after="120" w:line="480" w:lineRule="auto"/>
      </w:pPr>
      <w:r>
        <w:rPr>
          <w:rFonts w:ascii="Times New Roman" w:cs="Times New Roman" w:eastAsia="Times New Roman" w:hAnsi="Times New Roman"/>
          <w:sz w:val="24"/>
          <w:szCs w:val="24"/>
        </w:rPr>
        <w:t xml:space="preserve">All input data derive from Paper 3 of this series [8]. The scoring matrix (Paper 3, Table 1) provides seven dimension scores (D1 through D7) for each of 20 candidates under balanced weighting. The minimum five candidate portfolio (Paper 3, Section 3.9) defines the candidates subject to optimization: PKA 002 (PINK1), KND 002 (NFE2L2), DSA 001 (DNM1L), NDS 002 (NDUFV1), and SDA 002 (SDHA). The evidence gap landscape (Paper 3, Section 3.10) defines 3 universal and 5 target specific gaps. The scoring functions (Paper 2 [7]) define the deterministic mapping from categorical inputs to dimension scores, which enables computation of the projected score change when a gap is resolved.</w:t>
      </w:r>
    </w:p>
    <w:p>
      <w:pPr>
        <w:pStyle w:val="Heading2"/>
        <w:spacing w:after="120" w:line="480" w:lineRule="auto"/>
      </w:pPr>
      <w:r>
        <w:rPr>
          <w:rFonts w:ascii="Times New Roman" w:cs="Times New Roman" w:eastAsia="Times New Roman" w:hAnsi="Times New Roman"/>
          <w:sz w:val="24"/>
          <w:szCs w:val="24"/>
        </w:rPr>
        <w:t xml:space="preserve">2.2 Gap Formalization Protocol</w:t>
      </w:r>
    </w:p>
    <w:p>
      <w:pPr>
        <w:spacing w:after="120" w:line="480" w:lineRule="auto"/>
      </w:pPr>
      <w:r>
        <w:rPr>
          <w:rFonts w:ascii="Times New Roman" w:cs="Times New Roman" w:eastAsia="Times New Roman" w:hAnsi="Times New Roman"/>
          <w:sz w:val="24"/>
          <w:szCs w:val="24"/>
        </w:rPr>
        <w:t xml:space="preserve">Each evidence gap from Paper 3 was formalized as a structured object (gap registry) with the following attributes: unique identifier, type (universal or target specific), resolution activity description, cost range in US dollars (minimum, midpoint, maximum), duration range in months, probability of experimental success (p_success), list of affected candidates, list of affected TCDR dimensions, projected score deltas per candidate per dimension, and dependency list (gaps that must be resolved before this gap can be addressed).</w:t>
      </w:r>
    </w:p>
    <w:p>
      <w:pPr>
        <w:spacing w:after="120" w:line="480" w:lineRule="auto"/>
      </w:pPr>
      <w:r>
        <w:rPr>
          <w:rFonts w:ascii="Times New Roman" w:cs="Times New Roman" w:eastAsia="Times New Roman" w:hAnsi="Times New Roman"/>
          <w:sz w:val="24"/>
          <w:szCs w:val="24"/>
        </w:rPr>
        <w:t xml:space="preserve">Cost estimates were derived from three sources: contract research organization (CRO) published pricing models and service descriptions, academic core facility fee schedules (Baylor College of Medicine Recombinant Protein Production Core, fee schedule accessed May 2026, https://www.bcm.edu/research/atc-core-labs/recombinant-protein-production-characterization-and-crystallography-core/fees; Medical College of Wisconsin Redox and Bioenergetics Core, $200 per Seahorse plate, accessed May 2026; University of California Davis Bioenergetics Core, $229 per assay academic rate, accessed May 2026; SickKids SPARC Molecular Analysis, $475 external rate per 96 well experiment, accessed May 2026), and published literature on drug development costs [3, 4, 5]. Where a range of estimates was available, the midpoint was used for primary analysis and the low and high bounds were used for sensitivity analysis.</w:t>
      </w:r>
    </w:p>
    <w:p>
      <w:pPr>
        <w:spacing w:after="120" w:line="480" w:lineRule="auto"/>
      </w:pPr>
      <w:r>
        <w:rPr>
          <w:rFonts w:ascii="Times New Roman" w:cs="Times New Roman" w:eastAsia="Times New Roman" w:hAnsi="Times New Roman"/>
          <w:sz w:val="24"/>
          <w:szCs w:val="24"/>
        </w:rPr>
        <w:t xml:space="preserve">Success probability (p_success) represents the probability that the experimental activity produces usable data, regardless of whether the result is positive or negative. For compound synthesis followed by biochemical screening, p_success of 0.70 reflects the established literature benchmark that 60 to 70 percent of computationally predicted active compounds show no target engagement in biochemical assays [4]; a p_success of 0.70 means at least one of five synthesized candidates shows measurable activity. For protein crystallography, p_success of 0.40 to 0.50 reflects standard success rates for novel or mutant targets. For established assays (Seahorse mitochondrial stress test, mitochondrial fractionation), p_success of 0.85 to 0.90 reflects that the experimental platform is validated and the uncertainty is in the result, not the execution.</w:t>
      </w:r>
    </w:p>
    <w:p>
      <w:pPr>
        <w:pStyle w:val="Heading2"/>
        <w:spacing w:after="120" w:line="480" w:lineRule="auto"/>
      </w:pPr>
      <w:r>
        <w:rPr>
          <w:rFonts w:ascii="Times New Roman" w:cs="Times New Roman" w:eastAsia="Times New Roman" w:hAnsi="Times New Roman"/>
          <w:sz w:val="24"/>
          <w:szCs w:val="24"/>
        </w:rPr>
        <w:t xml:space="preserve">2.3 Delta Score Computation</w:t>
      </w:r>
    </w:p>
    <w:p>
      <w:pPr>
        <w:spacing w:after="120" w:line="480" w:lineRule="auto"/>
      </w:pPr>
      <w:r>
        <w:rPr>
          <w:rFonts w:ascii="Times New Roman" w:cs="Times New Roman" w:eastAsia="Times New Roman" w:hAnsi="Times New Roman"/>
          <w:sz w:val="24"/>
          <w:szCs w:val="24"/>
        </w:rPr>
        <w:t xml:space="preserve">For each gap, the projected impact on TCDR scores was computed using the Paper 2 scoring functions [7]. If resolving gap g changes the categorical input for candidate c on dimension d (for example, D4 Evidence Maturity moves from preclinical with no data to preclinical with biochemical data), the delta is the difference between the new and current dimension scores. The aggregate delta for candidate c from gap g is computed as the weighted sum: delta_aggregate(c, g) = sum over affected dimensions d of weight(d) multiplied by delta(c, g, d), using the balanced weights from Paper 2 (D1: 0.20, D2: 0.15, D3: 0.15, D4: 0.15, D5: 0.10, D6: 0.10, D7: 0.15).</w:t>
      </w:r>
    </w:p>
    <w:p>
      <w:pPr>
        <w:pStyle w:val="Heading2"/>
        <w:spacing w:after="120" w:line="480" w:lineRule="auto"/>
      </w:pPr>
      <w:r>
        <w:rPr>
          <w:rFonts w:ascii="Times New Roman" w:cs="Times New Roman" w:eastAsia="Times New Roman" w:hAnsi="Times New Roman"/>
          <w:sz w:val="24"/>
          <w:szCs w:val="24"/>
        </w:rPr>
        <w:t xml:space="preserve">2.4 Evidence Readiness Index Definition</w:t>
      </w:r>
    </w:p>
    <w:p>
      <w:pPr>
        <w:spacing w:after="120" w:line="480" w:lineRule="auto"/>
      </w:pPr>
      <w:r>
        <w:rPr>
          <w:rFonts w:ascii="Times New Roman" w:cs="Times New Roman" w:eastAsia="Times New Roman" w:hAnsi="Times New Roman"/>
          <w:sz w:val="24"/>
          <w:szCs w:val="24"/>
        </w:rPr>
        <w:t xml:space="preserve">The candidate level ERI for candidate c is defined as: ERI(c) = sum over all gaps g affecting c of p_success(g) multiplied by delta_aggregate(c, g) divided by cost_midpoint(g). This produces a metric interpretable as expected translational value per dollar invested. Higher ERI indicates that a candidate benefits more per unit of experimental investment.</w:t>
      </w:r>
    </w:p>
    <w:p>
      <w:pPr>
        <w:spacing w:after="120" w:line="480" w:lineRule="auto"/>
      </w:pPr>
      <w:r>
        <w:rPr>
          <w:rFonts w:ascii="Times New Roman" w:cs="Times New Roman" w:eastAsia="Times New Roman" w:hAnsi="Times New Roman"/>
          <w:sz w:val="24"/>
          <w:szCs w:val="24"/>
        </w:rPr>
        <w:t xml:space="preserve">The portfolio level optimization problem is: maximize the sum over selected gaps S of (sum over candidates c affected by each gap g of p_success(g) multiplied by delta_aggregate(c, g)), subject to total cost of S being at most B and all dependency constraints being satisfied. This is a variant of the 0/1 knapsack problem with precedence constraints [9].</w:t>
      </w:r>
    </w:p>
    <w:p>
      <w:pPr>
        <w:pStyle w:val="Heading2"/>
        <w:spacing w:after="120" w:line="480" w:lineRule="auto"/>
      </w:pPr>
      <w:r>
        <w:rPr>
          <w:rFonts w:ascii="Times New Roman" w:cs="Times New Roman" w:eastAsia="Times New Roman" w:hAnsi="Times New Roman"/>
          <w:sz w:val="24"/>
          <w:szCs w:val="24"/>
        </w:rPr>
        <w:t xml:space="preserve">2.5 Optimization Algorithm</w:t>
      </w:r>
    </w:p>
    <w:p>
      <w:pPr>
        <w:spacing w:after="120" w:line="480" w:lineRule="auto"/>
      </w:pPr>
      <w:r>
        <w:rPr>
          <w:rFonts w:ascii="Times New Roman" w:cs="Times New Roman" w:eastAsia="Times New Roman" w:hAnsi="Times New Roman"/>
          <w:sz w:val="24"/>
          <w:szCs w:val="24"/>
        </w:rPr>
        <w:t xml:space="preserve">Because the problem scale is small (8 gaps, maximum 2 to the 8th power = 256 possible subsets), exact enumeration was used rather than approximate algorithms. All 256 subsets were evaluated for budget feasibility and dependency satisfaction. The subset with the highest expected portfolio value was selected. This guarantees global optimality for each budget level. Four primary budget scenarios were analyzed, each selected to correspond to a real funding mechanism available to early stage academic drug discovery programs: $50,000 (personal funds or small institutional pilot grant), $150,000 (foundation pilot grant, e.g. United Mitochondrial Disease Foundation research award ceiling $150,000, or NIH R21 exploratory award at approximately $275,000 direct costs over two years with the first year allocation approximating $140,000), $250,000 (the computed inflection threshold from continuous budget response analysis), and $500,000 (NIH SBIR Phase I ceiling $275,000 per year or equivalent major foundation grant). An additional continuous budget response analysis was performed at $25,000 increments from $0 to $1,200,000 to identify all inflection points.</w:t>
      </w:r>
    </w:p>
    <w:p>
      <w:pPr>
        <w:pStyle w:val="Heading2"/>
        <w:spacing w:after="120" w:line="480" w:lineRule="auto"/>
      </w:pPr>
      <w:r>
        <w:rPr>
          <w:rFonts w:ascii="Times New Roman" w:cs="Times New Roman" w:eastAsia="Times New Roman" w:hAnsi="Times New Roman"/>
          <w:sz w:val="24"/>
          <w:szCs w:val="24"/>
        </w:rPr>
        <w:t xml:space="preserve">2.6 Comparison Strategy</w:t>
      </w:r>
    </w:p>
    <w:p>
      <w:pPr>
        <w:spacing w:after="120" w:line="480" w:lineRule="auto"/>
      </w:pPr>
      <w:r>
        <w:rPr>
          <w:rFonts w:ascii="Times New Roman" w:cs="Times New Roman" w:eastAsia="Times New Roman" w:hAnsi="Times New Roman"/>
          <w:sz w:val="24"/>
          <w:szCs w:val="24"/>
        </w:rPr>
        <w:t xml:space="preserve">The ERI optimized allocation was compared against a naive sequential strategy (resolve gaps in registry order, UEG 1 first, until budget exhausted, respecting dependencies). This comparison isolates the value of optimization over intuitive ordering.</w:t>
      </w:r>
    </w:p>
    <w:p>
      <w:pPr>
        <w:pStyle w:val="Heading2"/>
        <w:spacing w:after="120" w:line="480" w:lineRule="auto"/>
      </w:pPr>
      <w:r>
        <w:rPr>
          <w:rFonts w:ascii="Times New Roman" w:cs="Times New Roman" w:eastAsia="Times New Roman" w:hAnsi="Times New Roman"/>
          <w:sz w:val="24"/>
          <w:szCs w:val="24"/>
        </w:rPr>
        <w:t xml:space="preserve">2.7 Sensitivity Analysis</w:t>
      </w:r>
    </w:p>
    <w:p>
      <w:pPr>
        <w:spacing w:after="120" w:line="480" w:lineRule="auto"/>
      </w:pPr>
      <w:r>
        <w:rPr>
          <w:rFonts w:ascii="Times New Roman" w:cs="Times New Roman" w:eastAsia="Times New Roman" w:hAnsi="Times New Roman"/>
          <w:sz w:val="24"/>
          <w:szCs w:val="24"/>
        </w:rPr>
        <w:t xml:space="preserve">Two sensitivity analyses were performed at the $150,000, $250,000, and $500,000 budget levels. First, all p_success values were adjusted by plus or minus 0.15 (bounded at 0.05 and 0.95) to test robustness to optimistic and pessimistic experimental success assumptions at each budget tier. Second, cost estimates were varied between their low and high bounds at the $150,000 level to test whether the optimal allocation changes under cost uncertainty.</w:t>
      </w:r>
    </w:p>
    <w:p>
      <w:r>
        <w:br w:type="page"/>
      </w:r>
    </w:p>
    <w:p>
      <w:pPr>
        <w:pStyle w:val="Heading1"/>
        <w:spacing w:after="120" w:line="480" w:lineRule="auto"/>
      </w:pPr>
      <w:r>
        <w:rPr>
          <w:rFonts w:ascii="Times New Roman" w:cs="Times New Roman" w:eastAsia="Times New Roman" w:hAnsi="Times New Roman"/>
          <w:sz w:val="24"/>
          <w:szCs w:val="24"/>
        </w:rPr>
        <w:t xml:space="preserve">3. Results</w:t>
      </w:r>
    </w:p>
    <w:p>
      <w:pPr>
        <w:pStyle w:val="Heading2"/>
        <w:spacing w:after="120" w:line="480" w:lineRule="auto"/>
      </w:pPr>
      <w:r>
        <w:rPr>
          <w:rFonts w:ascii="Times New Roman" w:cs="Times New Roman" w:eastAsia="Times New Roman" w:hAnsi="Times New Roman"/>
          <w:sz w:val="24"/>
          <w:szCs w:val="24"/>
        </w:rPr>
        <w:t xml:space="preserve">3.1 Gap Registry</w:t>
      </w:r>
    </w:p>
    <w:p>
      <w:pPr>
        <w:spacing w:after="120" w:line="480" w:lineRule="auto"/>
      </w:pPr>
      <w:r>
        <w:rPr>
          <w:rFonts w:ascii="Times New Roman" w:cs="Times New Roman" w:eastAsia="Times New Roman" w:hAnsi="Times New Roman"/>
          <w:sz w:val="24"/>
          <w:szCs w:val="24"/>
        </w:rPr>
        <w:t xml:space="preserve">Table 1 presents the complete gap registry with eight formalized evidence gaps. Three universal gaps (UEG 1 through UEG 3) affect all or multiple portfolio candidates. Five target specific gaps (TSG PINK1, TSG SDHA, TSG DNM1L, TSG KEAP1, TSG NDUFV1) each affect a single candidate. Total estimated cost to resolve all eight gaps is $1,083,000 at midpoint estimates.</w:t>
      </w:r>
    </w:p>
    <w:p>
      <w:pPr>
        <w:spacing w:after="100" w:before="200" w:line="240"/>
      </w:pPr>
      <w:r>
        <w:rPr>
          <w:rFonts w:ascii="Times New Roman" w:cs="Times New Roman" w:eastAsia="Times New Roman" w:hAnsi="Times New Roman"/>
          <w:b/>
          <w:bCs/>
          <w:sz w:val="24"/>
          <w:szCs w:val="24"/>
        </w:rPr>
        <w:t xml:space="preserve">Table 1. Evidence Gap Registry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000000" w:sz="1"/>
              <w:left w:val="single" w:color="000000" w:sz="1"/>
              <w:bottom w:val="single" w:color="000000" w:sz="1"/>
              <w:right w:val="single" w:color="000000" w:sz="1"/>
            </w:tcBorders>
            <w:shd w:fill="D9E2F3" w:val="clear"/>
          </w:tcPr>
          <w:p>
            <w:pPr>
              <w:spacing w:after="40" w:line="240"/>
            </w:pPr>
            <w:r>
              <w:rPr>
                <w:rFonts w:ascii="Times New Roman" w:cs="Times New Roman" w:eastAsia="Times New Roman" w:hAnsi="Times New Roman"/>
                <w:b/>
                <w:bCs/>
                <w:sz w:val="20"/>
                <w:szCs w:val="20"/>
              </w:rPr>
              <w:t xml:space="preserve">Gap ID</w:t>
            </w:r>
          </w:p>
        </w:tc>
        <w:tc>
          <w:tcPr>
            <w:tcW w:type="dxa" w:w="2400"/>
            <w:tcBorders>
              <w:top w:val="single" w:color="000000" w:sz="1"/>
              <w:left w:val="single" w:color="000000" w:sz="1"/>
              <w:bottom w:val="single" w:color="000000" w:sz="1"/>
              <w:right w:val="single" w:color="000000" w:sz="1"/>
            </w:tcBorders>
            <w:shd w:fill="D9E2F3" w:val="clear"/>
          </w:tcPr>
          <w:p>
            <w:pPr>
              <w:spacing w:after="40" w:line="240"/>
            </w:pPr>
            <w:r>
              <w:rPr>
                <w:rFonts w:ascii="Times New Roman" w:cs="Times New Roman" w:eastAsia="Times New Roman" w:hAnsi="Times New Roman"/>
                <w:b/>
                <w:bCs/>
                <w:sz w:val="20"/>
                <w:szCs w:val="20"/>
              </w:rPr>
              <w:t xml:space="preserve">Name</w:t>
            </w:r>
          </w:p>
        </w:tc>
        <w:tc>
          <w:tcPr>
            <w:tcW w:type="dxa" w:w="700"/>
            <w:tcBorders>
              <w:top w:val="single" w:color="000000" w:sz="1"/>
              <w:left w:val="single" w:color="000000" w:sz="1"/>
              <w:bottom w:val="single" w:color="000000" w:sz="1"/>
              <w:right w:val="single" w:color="000000" w:sz="1"/>
            </w:tcBorders>
            <w:shd w:fill="D9E2F3" w:val="clear"/>
          </w:tcPr>
          <w:p>
            <w:pPr>
              <w:spacing w:after="40" w:line="240"/>
            </w:pPr>
            <w:r>
              <w:rPr>
                <w:rFonts w:ascii="Times New Roman" w:cs="Times New Roman" w:eastAsia="Times New Roman" w:hAnsi="Times New Roman"/>
                <w:b/>
                <w:bCs/>
                <w:sz w:val="20"/>
                <w:szCs w:val="20"/>
              </w:rPr>
              <w:t xml:space="preserve">Type</w:t>
            </w:r>
          </w:p>
        </w:tc>
        <w:tc>
          <w:tcPr>
            <w:tcW w:type="dxa" w:w="850"/>
            <w:tcBorders>
              <w:top w:val="single" w:color="000000" w:sz="1"/>
              <w:left w:val="single" w:color="000000" w:sz="1"/>
              <w:bottom w:val="single" w:color="000000" w:sz="1"/>
              <w:right w:val="single" w:color="000000" w:sz="1"/>
            </w:tcBorders>
            <w:shd w:fill="D9E2F3" w:val="clear"/>
          </w:tcPr>
          <w:p>
            <w:pPr>
              <w:spacing w:after="40" w:line="240"/>
            </w:pPr>
            <w:r>
              <w:rPr>
                <w:rFonts w:ascii="Times New Roman" w:cs="Times New Roman" w:eastAsia="Times New Roman" w:hAnsi="Times New Roman"/>
                <w:b/>
                <w:bCs/>
                <w:sz w:val="20"/>
                <w:szCs w:val="20"/>
              </w:rPr>
              <w:t xml:space="preserve">Cost ($K)</w:t>
            </w:r>
          </w:p>
        </w:tc>
        <w:tc>
          <w:tcPr>
            <w:tcW w:type="dxa" w:w="850"/>
            <w:tcBorders>
              <w:top w:val="single" w:color="000000" w:sz="1"/>
              <w:left w:val="single" w:color="000000" w:sz="1"/>
              <w:bottom w:val="single" w:color="000000" w:sz="1"/>
              <w:right w:val="single" w:color="000000" w:sz="1"/>
            </w:tcBorders>
            <w:shd w:fill="D9E2F3" w:val="clear"/>
          </w:tcPr>
          <w:p>
            <w:pPr>
              <w:spacing w:after="40" w:line="240"/>
            </w:pPr>
            <w:r>
              <w:rPr>
                <w:rFonts w:ascii="Times New Roman" w:cs="Times New Roman" w:eastAsia="Times New Roman" w:hAnsi="Times New Roman"/>
                <w:b/>
                <w:bCs/>
                <w:sz w:val="20"/>
                <w:szCs w:val="20"/>
              </w:rPr>
              <w:t xml:space="preserve">p_success</w:t>
            </w:r>
          </w:p>
        </w:tc>
        <w:tc>
          <w:tcPr>
            <w:tcW w:type="dxa" w:w="900"/>
            <w:tcBorders>
              <w:top w:val="single" w:color="000000" w:sz="1"/>
              <w:left w:val="single" w:color="000000" w:sz="1"/>
              <w:bottom w:val="single" w:color="000000" w:sz="1"/>
              <w:right w:val="single" w:color="000000" w:sz="1"/>
            </w:tcBorders>
            <w:shd w:fill="D9E2F3" w:val="clear"/>
          </w:tcPr>
          <w:p>
            <w:pPr>
              <w:spacing w:after="40" w:line="240"/>
            </w:pPr>
            <w:r>
              <w:rPr>
                <w:rFonts w:ascii="Times New Roman" w:cs="Times New Roman" w:eastAsia="Times New Roman" w:hAnsi="Times New Roman"/>
                <w:b/>
                <w:bCs/>
                <w:sz w:val="20"/>
                <w:szCs w:val="20"/>
              </w:rPr>
              <w:t xml:space="preserve">Deps</w:t>
            </w:r>
          </w:p>
        </w:tc>
        <w:tc>
          <w:tcPr>
            <w:tcW w:type="dxa" w:w="1600"/>
            <w:tcBorders>
              <w:top w:val="single" w:color="000000" w:sz="1"/>
              <w:left w:val="single" w:color="000000" w:sz="1"/>
              <w:bottom w:val="single" w:color="000000" w:sz="1"/>
              <w:right w:val="single" w:color="000000" w:sz="1"/>
            </w:tcBorders>
            <w:shd w:fill="D9E2F3" w:val="clear"/>
          </w:tcPr>
          <w:p>
            <w:pPr>
              <w:spacing w:after="40" w:line="240"/>
            </w:pPr>
            <w:r>
              <w:rPr>
                <w:rFonts w:ascii="Times New Roman" w:cs="Times New Roman" w:eastAsia="Times New Roman" w:hAnsi="Times New Roman"/>
                <w:b/>
                <w:bCs/>
                <w:sz w:val="20"/>
                <w:szCs w:val="20"/>
              </w:rPr>
              <w:t xml:space="preserve">Affected Candidates</w:t>
            </w:r>
          </w:p>
        </w:tc>
      </w:tr>
      <w:tr>
        <w:tc>
          <w:tcPr>
            <w:tcW w:type="dxa" w:w="11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UEG-1</w:t>
            </w:r>
          </w:p>
        </w:tc>
        <w:tc>
          <w:tcPr>
            <w:tcW w:type="dxa" w:w="24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No in vivo efficacy data</w:t>
            </w:r>
          </w:p>
        </w:tc>
        <w:tc>
          <w:tcPr>
            <w:tcW w:type="dxa" w:w="7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UNIV</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250</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0.70</w:t>
            </w:r>
          </w:p>
        </w:tc>
        <w:tc>
          <w:tcPr>
            <w:tcW w:type="dxa" w:w="9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None</w:t>
            </w:r>
          </w:p>
        </w:tc>
        <w:tc>
          <w:tcPr>
            <w:tcW w:type="dxa" w:w="16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All 5 portfolio</w:t>
            </w:r>
          </w:p>
        </w:tc>
      </w:tr>
      <w:tr>
        <w:tc>
          <w:tcPr>
            <w:tcW w:type="dxa" w:w="11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UEG-2</w:t>
            </w:r>
          </w:p>
        </w:tc>
        <w:tc>
          <w:tcPr>
            <w:tcW w:type="dxa" w:w="24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No head-to-head comparison</w:t>
            </w:r>
          </w:p>
        </w:tc>
        <w:tc>
          <w:tcPr>
            <w:tcW w:type="dxa" w:w="7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UNIV</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113</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0.85</w:t>
            </w:r>
          </w:p>
        </w:tc>
        <w:tc>
          <w:tcPr>
            <w:tcW w:type="dxa" w:w="9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UEG-1</w:t>
            </w:r>
          </w:p>
        </w:tc>
        <w:tc>
          <w:tcPr>
            <w:tcW w:type="dxa" w:w="16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All 5 portfolio</w:t>
            </w:r>
          </w:p>
        </w:tc>
      </w:tr>
      <w:tr>
        <w:tc>
          <w:tcPr>
            <w:tcW w:type="dxa" w:w="11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UEG-3</w:t>
            </w:r>
          </w:p>
        </w:tc>
        <w:tc>
          <w:tcPr>
            <w:tcW w:type="dxa" w:w="24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No matrix-targeted PK data</w:t>
            </w:r>
          </w:p>
        </w:tc>
        <w:tc>
          <w:tcPr>
            <w:tcW w:type="dxa" w:w="7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UNIV</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60</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0.90</w:t>
            </w:r>
          </w:p>
        </w:tc>
        <w:tc>
          <w:tcPr>
            <w:tcW w:type="dxa" w:w="9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UEG-1</w:t>
            </w:r>
          </w:p>
        </w:tc>
        <w:tc>
          <w:tcPr>
            <w:tcW w:type="dxa" w:w="16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NDS-002, SDA-002</w:t>
            </w:r>
          </w:p>
        </w:tc>
      </w:tr>
      <w:tr>
        <w:tc>
          <w:tcPr>
            <w:tcW w:type="dxa" w:w="11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TSG-PINK1</w:t>
            </w:r>
          </w:p>
        </w:tc>
        <w:tc>
          <w:tcPr>
            <w:tcW w:type="dxa" w:w="24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PINK1 G309D crystal structure</w:t>
            </w:r>
          </w:p>
        </w:tc>
        <w:tc>
          <w:tcPr>
            <w:tcW w:type="dxa" w:w="7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TSG</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140</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0.45</w:t>
            </w:r>
          </w:p>
        </w:tc>
        <w:tc>
          <w:tcPr>
            <w:tcW w:type="dxa" w:w="9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None</w:t>
            </w:r>
          </w:p>
        </w:tc>
        <w:tc>
          <w:tcPr>
            <w:tcW w:type="dxa" w:w="16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PKA-002</w:t>
            </w:r>
          </w:p>
        </w:tc>
      </w:tr>
      <w:tr>
        <w:tc>
          <w:tcPr>
            <w:tcW w:type="dxa" w:w="11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TSG-SDHA</w:t>
            </w:r>
          </w:p>
        </w:tc>
        <w:tc>
          <w:tcPr>
            <w:tcW w:type="dxa" w:w="24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Recombinant R589W SDHA protein</w:t>
            </w:r>
          </w:p>
        </w:tc>
        <w:tc>
          <w:tcPr>
            <w:tcW w:type="dxa" w:w="7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TSG</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45</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0.75</w:t>
            </w:r>
          </w:p>
        </w:tc>
        <w:tc>
          <w:tcPr>
            <w:tcW w:type="dxa" w:w="9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None</w:t>
            </w:r>
          </w:p>
        </w:tc>
        <w:tc>
          <w:tcPr>
            <w:tcW w:type="dxa" w:w="16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SDA-002</w:t>
            </w:r>
          </w:p>
        </w:tc>
      </w:tr>
      <w:tr>
        <w:tc>
          <w:tcPr>
            <w:tcW w:type="dxa" w:w="11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TSG-DNM1L</w:t>
            </w:r>
          </w:p>
        </w:tc>
        <w:tc>
          <w:tcPr>
            <w:tcW w:type="dxa" w:w="24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DRP1 stalk domain co-crystal</w:t>
            </w:r>
          </w:p>
        </w:tc>
        <w:tc>
          <w:tcPr>
            <w:tcW w:type="dxa" w:w="7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TSG</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175</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0.40</w:t>
            </w:r>
          </w:p>
        </w:tc>
        <w:tc>
          <w:tcPr>
            <w:tcW w:type="dxa" w:w="9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UEG-1</w:t>
            </w:r>
          </w:p>
        </w:tc>
        <w:tc>
          <w:tcPr>
            <w:tcW w:type="dxa" w:w="16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DSA-001</w:t>
            </w:r>
          </w:p>
        </w:tc>
      </w:tr>
      <w:tr>
        <w:tc>
          <w:tcPr>
            <w:tcW w:type="dxa" w:w="11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TSG-KEAP1</w:t>
            </w:r>
          </w:p>
        </w:tc>
        <w:tc>
          <w:tcPr>
            <w:tcW w:type="dxa" w:w="24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CNS Keap1 PD validation</w:t>
            </w:r>
          </w:p>
        </w:tc>
        <w:tc>
          <w:tcPr>
            <w:tcW w:type="dxa" w:w="7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TSG</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90</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0.65</w:t>
            </w:r>
          </w:p>
        </w:tc>
        <w:tc>
          <w:tcPr>
            <w:tcW w:type="dxa" w:w="9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UEG-1</w:t>
            </w:r>
          </w:p>
        </w:tc>
        <w:tc>
          <w:tcPr>
            <w:tcW w:type="dxa" w:w="16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KND-002</w:t>
            </w:r>
          </w:p>
        </w:tc>
      </w:tr>
      <w:tr>
        <w:tc>
          <w:tcPr>
            <w:tcW w:type="dxa" w:w="11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TSG-NDUFV1</w:t>
            </w:r>
          </w:p>
        </w:tc>
        <w:tc>
          <w:tcPr>
            <w:tcW w:type="dxa" w:w="24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FMN cleft accessibility in CI</w:t>
            </w:r>
          </w:p>
        </w:tc>
        <w:tc>
          <w:tcPr>
            <w:tcW w:type="dxa" w:w="7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TSG</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210</w:t>
            </w:r>
          </w:p>
        </w:tc>
        <w:tc>
          <w:tcPr>
            <w:tcW w:type="dxa" w:w="85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0.50</w:t>
            </w:r>
          </w:p>
        </w:tc>
        <w:tc>
          <w:tcPr>
            <w:tcW w:type="dxa" w:w="9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UEG-1</w:t>
            </w:r>
          </w:p>
        </w:tc>
        <w:tc>
          <w:tcPr>
            <w:tcW w:type="dxa" w:w="1600"/>
            <w:tcBorders>
              <w:top w:val="single" w:color="000000" w:sz="1"/>
              <w:left w:val="single" w:color="000000" w:sz="1"/>
              <w:bottom w:val="single" w:color="000000" w:sz="1"/>
              <w:right w:val="single" w:color="000000" w:sz="1"/>
            </w:tcBorders>
          </w:tcPr>
          <w:p>
            <w:pPr>
              <w:spacing w:after="40" w:line="240"/>
            </w:pPr>
            <w:r>
              <w:rPr>
                <w:rFonts w:ascii="Times New Roman" w:cs="Times New Roman" w:eastAsia="Times New Roman" w:hAnsi="Times New Roman"/>
                <w:sz w:val="20"/>
                <w:szCs w:val="20"/>
              </w:rPr>
              <w:t xml:space="preserve">NDS-002</w:t>
            </w:r>
          </w:p>
        </w:tc>
      </w:tr>
    </w:tbl>
    <w:p>
      <w:pPr>
        <w:spacing w:after="200" w:line="240"/>
      </w:pPr>
      <w:r>
        <w:rPr>
          <w:rFonts w:ascii="Times New Roman" w:cs="Times New Roman" w:eastAsia="Times New Roman" w:hAnsi="Times New Roman"/>
          <w:sz w:val="24"/>
          <w:szCs w:val="24"/>
        </w:rPr>
        <w:t xml:space="preserve">UNIV = universal; TSG = target specific. Cost at midpoint estimates.</w:t>
      </w:r>
    </w:p>
    <w:p>
      <w:pPr>
        <w:pStyle w:val="Heading2"/>
        <w:spacing w:after="120" w:line="480" w:lineRule="auto"/>
      </w:pPr>
      <w:r>
        <w:rPr>
          <w:rFonts w:ascii="Times New Roman" w:cs="Times New Roman" w:eastAsia="Times New Roman" w:hAnsi="Times New Roman"/>
          <w:sz w:val="24"/>
          <w:szCs w:val="24"/>
        </w:rPr>
        <w:t xml:space="preserve">3.2 Dependency Cost Inversion</w:t>
      </w:r>
    </w:p>
    <w:p>
      <w:pPr>
        <w:spacing w:after="120" w:line="480" w:lineRule="auto"/>
      </w:pPr>
      <w:r>
        <w:rPr>
          <w:rFonts w:ascii="Times New Roman" w:cs="Times New Roman" w:eastAsia="Times New Roman" w:hAnsi="Times New Roman"/>
          <w:sz w:val="24"/>
          <w:szCs w:val="24"/>
        </w:rPr>
        <w:t xml:space="preserve">The most significant analytical finding is the dependency cost inversion. UEG 2 (head to head comparison) has the highest standalone ROI at 0.000944 per $1,000 invested, but requires UEG 1 ($250,000) as a prerequisite. The effective ROI of UEG 2, accounting for its dependency cost, drops to 0.000293 per $1,000 (fourth rank). Conversely, TSG SDHA (recombinant protein expression) has a lower standalone ROI (0.000418) but no dependencies and a cost of only $45,000, making it the second most capital efficient gap when dependency costs are included. This inversion is invisible to any prioritization approach that ranks gaps by standalone ROI without modeling dependency chains.</w:t>
      </w:r>
    </w:p>
    <w:p>
      <w:pPr>
        <w:pStyle w:val="Heading2"/>
        <w:spacing w:after="120" w:line="480" w:lineRule="auto"/>
      </w:pPr>
      <w:r>
        <w:rPr>
          <w:rFonts w:ascii="Times New Roman" w:cs="Times New Roman" w:eastAsia="Times New Roman" w:hAnsi="Times New Roman"/>
          <w:sz w:val="24"/>
          <w:szCs w:val="24"/>
        </w:rPr>
        <w:t xml:space="preserve">3.3 Delta Score Matrix</w:t>
      </w:r>
    </w:p>
    <w:p>
      <w:pPr>
        <w:spacing w:after="120" w:line="480" w:lineRule="auto"/>
      </w:pPr>
      <w:r>
        <w:rPr>
          <w:rFonts w:ascii="Times New Roman" w:cs="Times New Roman" w:eastAsia="Times New Roman" w:hAnsi="Times New Roman"/>
          <w:sz w:val="24"/>
          <w:szCs w:val="24"/>
        </w:rPr>
        <w:t xml:space="preserve">Table 2 presents the projected aggregate score improvement for each candidate from each gap resolution. NDS 002 has the largest total improvement potential (0.115), followed by PKA 002, DSA 001, and SDA 002 (each 0.105), and KND 002 (0.095). The gap with the largest total portfolio impact is UEG 1 (0.114 expected portfolio value), followed by UEG 2 (0.106).</w:t>
      </w:r>
    </w:p>
    <w:p>
      <w:pPr>
        <w:pStyle w:val="Heading2"/>
        <w:spacing w:after="120" w:line="480" w:lineRule="auto"/>
      </w:pPr>
      <w:r>
        <w:rPr>
          <w:rFonts w:ascii="Times New Roman" w:cs="Times New Roman" w:eastAsia="Times New Roman" w:hAnsi="Times New Roman"/>
          <w:sz w:val="24"/>
          <w:szCs w:val="24"/>
        </w:rPr>
        <w:t xml:space="preserve">3.4 Candidate ERI Rankings</w:t>
      </w:r>
    </w:p>
    <w:p>
      <w:pPr>
        <w:spacing w:after="120" w:line="480" w:lineRule="auto"/>
      </w:pPr>
      <w:r>
        <w:rPr>
          <w:rFonts w:ascii="Times New Roman" w:cs="Times New Roman" w:eastAsia="Times New Roman" w:hAnsi="Times New Roman"/>
          <w:sz w:val="24"/>
          <w:szCs w:val="24"/>
        </w:rPr>
        <w:t xml:space="preserve">SDA 002 (SDHA target) ranks first by candidate level ERI at 1.03 per million dollars because its target specific gap (TSG SDHA) is the cheapest in the registry ($45,000) with no dependencies and a relatively high success probability (0.75). PKA 002 (PINK1), despite achieving the highest aggregate score in the portfolio (0.677, Paper 3 Table 1) and being the only novel candidate on the Pareto frontier, ranks fourth by ERI (0.43 per million dollars). This is because the PINK1 G309D crystal structure gap is expensive ($140,000) with the lowest success probability of any non structural gap (0.45). The ERI ranking inverts the Paper 3 aggregate score ranking, demonstrating that translational readiness and scoring prominence are different constructs requiring different metrics.</w:t>
      </w:r>
    </w:p>
    <w:p>
      <w:pPr>
        <w:pStyle w:val="Heading2"/>
        <w:spacing w:after="120" w:line="480" w:lineRule="auto"/>
      </w:pPr>
      <w:r>
        <w:rPr>
          <w:rFonts w:ascii="Times New Roman" w:cs="Times New Roman" w:eastAsia="Times New Roman" w:hAnsi="Times New Roman"/>
          <w:sz w:val="24"/>
          <w:szCs w:val="24"/>
        </w:rPr>
        <w:t xml:space="preserve">3.5 Budget Optimization Results</w:t>
      </w:r>
    </w:p>
    <w:p>
      <w:pPr>
        <w:spacing w:after="120" w:line="480" w:lineRule="auto"/>
      </w:pPr>
      <w:r>
        <w:rPr>
          <w:rFonts w:ascii="Times New Roman" w:cs="Times New Roman" w:eastAsia="Times New Roman" w:hAnsi="Times New Roman"/>
          <w:sz w:val="24"/>
          <w:szCs w:val="24"/>
        </w:rPr>
        <w:t xml:space="preserve">At $50,000, the only affordable gap is TSG SDHA ($45,000), producing a portfolio value of 0.019. At $150,000, the optimal allocation shifts to TSG PINK1 ($140,000, portfolio value 0.021), which slightly exceeds TSG SDHA because the PINK1 gap affects the Pareto frontier candidate. At $250,000, UEG 1 becomes affordable and produces a 5.3 fold value inflection (portfolio value 0.114 versus 0.021 at $150,000). This inflection represents the single most important budget threshold in the registry: it is the minimum investment that transitions the portfolio from target specific validation to universal candidate validation. At $500,000, the optimal subset is UEG 1, UEG 2, UEG 3, and TSG SDHA ($468,000 total), capturing 77% of the maximum achievable portfolio value (0.279 of 0.362).</w:t>
      </w:r>
    </w:p>
    <w:p>
      <w:pPr>
        <w:pStyle w:val="Heading2"/>
        <w:spacing w:after="120" w:line="480" w:lineRule="auto"/>
      </w:pPr>
      <w:r>
        <w:rPr>
          <w:rFonts w:ascii="Times New Roman" w:cs="Times New Roman" w:eastAsia="Times New Roman" w:hAnsi="Times New Roman"/>
          <w:sz w:val="24"/>
          <w:szCs w:val="24"/>
        </w:rPr>
        <w:t xml:space="preserve">3.6 Sensitivity Analysis</w:t>
      </w:r>
    </w:p>
    <w:p>
      <w:pPr>
        <w:spacing w:after="120" w:line="480" w:lineRule="auto"/>
      </w:pPr>
      <w:r>
        <w:rPr>
          <w:rFonts w:ascii="Times New Roman" w:cs="Times New Roman" w:eastAsia="Times New Roman" w:hAnsi="Times New Roman"/>
          <w:sz w:val="24"/>
          <w:szCs w:val="24"/>
        </w:rPr>
        <w:t xml:space="preserve">Under pessimistic p_success assumptions (all probabilities reduced by 0.15), the optimal allocation at $150,000 shifts from TSG PINK1 to TSG SDHA, reflecting the higher robustness of protein expression (p_success 0.60 even after reduction) relative to crystallography (p_success 0.30 after reduction). Under optimistic assumptions (probabilities increased by 0.15), TSG PINK1 retains optimality. Under low cost assumptions, UEG 1 becomes affordable at $150,000 and dominates all single gap alternatives (portfolio value 0.114 versus 0.021). Under high cost assumptions, only TSG SDHA ($60,000) is affordable at $150,000.</w:t>
      </w:r>
    </w:p>
    <w:p>
      <w:pPr>
        <w:spacing w:after="120" w:line="480" w:lineRule="auto"/>
      </w:pPr>
      <w:r>
        <w:rPr>
          <w:rFonts w:ascii="Times New Roman" w:cs="Times New Roman" w:eastAsia="Times New Roman" w:hAnsi="Times New Roman"/>
          <w:sz w:val="24"/>
          <w:szCs w:val="24"/>
        </w:rPr>
        <w:t xml:space="preserve">At the $250,000 budget level, the optimal subset (UEG 1 alone) is stable under both optimistic (portfolio value 0.138) and pessimistic (portfolio value 0.089) p_success perturbations. The inflection itself is robust: UEG 1 dominates all alternative subsets at $250,000 regardless of p_success adjustment. At the $500,000 budget level, the optimal subset (UEG 1, UEG 2, UEG 3, TSG SDHA) is also stable under both perturbation directions, with portfolio values of 0.322 (optimistic) and 0.226 (pessimistic) compared to the base case of 0.279. The 77% value capture claim holds under all three conditions (optimistic: 81%, base: 77%, pessimistic: 73%). The subset composition does not change under any tested perturbation at either budget level, indicating that the optimization output is structurally robust to p_success uncertainty within the tested range.</w:t>
      </w:r>
    </w:p>
    <w:p>
      <w:pPr>
        <w:pStyle w:val="Heading2"/>
        <w:spacing w:after="120" w:line="480" w:lineRule="auto"/>
      </w:pPr>
      <w:r>
        <w:rPr>
          <w:rFonts w:ascii="Times New Roman" w:cs="Times New Roman" w:eastAsia="Times New Roman" w:hAnsi="Times New Roman"/>
          <w:sz w:val="24"/>
          <w:szCs w:val="24"/>
        </w:rPr>
        <w:t xml:space="preserve">3.7 Projected Post Resolution Aggregates</w:t>
      </w:r>
    </w:p>
    <w:p>
      <w:pPr>
        <w:spacing w:after="120" w:line="480" w:lineRule="auto"/>
      </w:pPr>
      <w:r>
        <w:rPr>
          <w:rFonts w:ascii="Times New Roman" w:cs="Times New Roman" w:eastAsia="Times New Roman" w:hAnsi="Times New Roman"/>
          <w:sz w:val="24"/>
          <w:szCs w:val="24"/>
        </w:rPr>
        <w:t xml:space="preserve">If all eight gaps were resolved, the projected aggregate scores would increase from their Paper 3 values as follows: PKA 002 from 0.677 to 0.782 (plus 0.105), KND 002 from 0.652 to 0.747 (plus 0.095), DSA 001 from 0.635 to 0.740 (plus 0.105), NDS 002 from 0.602 to 0.717 (plus 0.115), and SDA 002 from 0.602 to 0.707 (plus 0.105). All five projected values would exceed the approved compound benchmark (idebenone 0.688, riboflavin 0.688), indicating that full gap resolution would close the structural evidence gap identified in Paper 3. However, achieving this outcome requires an estimated $1,083,000 in experimental investment and success across all eight gaps simultaneously, a condition that the probability adjusted portfolio value analysis (Section 3.5) shows captures only 0.362 expected aggregate points, reflecting the compounding effect of individual gap success probabilities below 1.0. The practical implication is that while full resolution is theoretically sufficient to surpass the clinical compound benchmark, the expected outcome under realistic success probabilities is more modest, and the evidence gap narrows rather than closes in a single experimental round.</w:t>
      </w:r>
    </w:p>
    <w:p>
      <w:r>
        <w:br w:type="page"/>
      </w:r>
    </w:p>
    <w:p>
      <w:pPr>
        <w:pStyle w:val="Heading1"/>
        <w:spacing w:after="120" w:line="480" w:lineRule="auto"/>
      </w:pPr>
      <w:r>
        <w:rPr>
          <w:rFonts w:ascii="Times New Roman" w:cs="Times New Roman" w:eastAsia="Times New Roman" w:hAnsi="Times New Roman"/>
          <w:sz w:val="24"/>
          <w:szCs w:val="24"/>
        </w:rPr>
        <w:t xml:space="preserve">4. Discussion</w:t>
      </w:r>
    </w:p>
    <w:p>
      <w:pPr>
        <w:pStyle w:val="Heading2"/>
        <w:spacing w:after="120" w:line="480" w:lineRule="auto"/>
      </w:pPr>
      <w:r>
        <w:rPr>
          <w:rFonts w:ascii="Times New Roman" w:cs="Times New Roman" w:eastAsia="Times New Roman" w:hAnsi="Times New Roman"/>
          <w:sz w:val="24"/>
          <w:szCs w:val="24"/>
        </w:rPr>
        <w:t xml:space="preserve">4.1 Principal Findings</w:t>
      </w:r>
    </w:p>
    <w:p>
      <w:pPr>
        <w:spacing w:after="120" w:line="480" w:lineRule="auto"/>
      </w:pPr>
      <w:r>
        <w:rPr>
          <w:rFonts w:ascii="Times New Roman" w:cs="Times New Roman" w:eastAsia="Times New Roman" w:hAnsi="Times New Roman"/>
          <w:sz w:val="24"/>
          <w:szCs w:val="24"/>
        </w:rPr>
        <w:t xml:space="preserve">This study introduces the Evidence Readiness Index as a formal framework for translational gap resolution in computational drug discovery. The principal finding is the dependency cost inversion: the gap with the highest standalone ROI (UEG 2) is not the optimal first investment at constrained budgets because its dependency on UEG 1 ($250,000) makes it unreachable. This finding has direct implications for resource allocation in early stage drug discovery programs operating under budget constraints typical of academic laboratories, small biotechnology companies, and seed funding environments.</w:t>
      </w:r>
    </w:p>
    <w:p>
      <w:pPr>
        <w:pStyle w:val="Heading2"/>
        <w:spacing w:after="120" w:line="480" w:lineRule="auto"/>
      </w:pPr>
      <w:r>
        <w:rPr>
          <w:rFonts w:ascii="Times New Roman" w:cs="Times New Roman" w:eastAsia="Times New Roman" w:hAnsi="Times New Roman"/>
          <w:sz w:val="24"/>
          <w:szCs w:val="24"/>
        </w:rPr>
        <w:t xml:space="preserve">4.2 The $250,000 Threshold</w:t>
      </w:r>
    </w:p>
    <w:p>
      <w:pPr>
        <w:spacing w:after="120" w:line="480" w:lineRule="auto"/>
      </w:pPr>
      <w:r>
        <w:rPr>
          <w:rFonts w:ascii="Times New Roman" w:cs="Times New Roman" w:eastAsia="Times New Roman" w:hAnsi="Times New Roman"/>
          <w:sz w:val="24"/>
          <w:szCs w:val="24"/>
        </w:rPr>
        <w:t xml:space="preserve">The budget response analysis reveals a clear inflection at $250,000, where portfolio value increases 5.3 fold (0.1137 versus 0.0214) relative to the $150,000 level. This threshold represents the minimum investment required to synthesize the five portfolio candidates and obtain initial biochemical data (UEG 1). Below this threshold, only target specific gaps without synthesis dependencies are accessible, limiting impact to single candidate validation. Above this threshold, all downstream gaps (UEG 2, UEG 3, TSG DNM1L, TSG KEAP1, TSG NDUFV1) become potentially reachable, and the optimization problem transitions from a constrained single gap selection to a genuine multi gap portfolio optimization. The practical implication is that funding applications below $250,000 should target TSG SDHA or TSG PINK1 specifically, while applications at or above $250,000 should propose the UEG 1 centered validation program.</w:t>
      </w:r>
    </w:p>
    <w:p>
      <w:pPr>
        <w:pStyle w:val="Heading2"/>
        <w:spacing w:after="120" w:line="480" w:lineRule="auto"/>
      </w:pPr>
      <w:r>
        <w:rPr>
          <w:rFonts w:ascii="Times New Roman" w:cs="Times New Roman" w:eastAsia="Times New Roman" w:hAnsi="Times New Roman"/>
          <w:sz w:val="24"/>
          <w:szCs w:val="24"/>
        </w:rPr>
        <w:t xml:space="preserve">4.3 ERI Versus Aggregate Score Ranking</w:t>
      </w:r>
    </w:p>
    <w:p>
      <w:pPr>
        <w:spacing w:after="120" w:line="480" w:lineRule="auto"/>
      </w:pPr>
      <w:r>
        <w:rPr>
          <w:rFonts w:ascii="Times New Roman" w:cs="Times New Roman" w:eastAsia="Times New Roman" w:hAnsi="Times New Roman"/>
          <w:sz w:val="24"/>
          <w:szCs w:val="24"/>
        </w:rPr>
        <w:t xml:space="preserve">The inversion between Paper 3 aggregate score ranking (PKA 002 first among novel candidates) and ERI ranking (SDA 002 first) is not a contradiction but a complementary perspective. The aggregate score measures current translational readiness; the ERI measures translational investment efficiency. A candidate can score high on current readiness while having low investment efficiency because its remaining gaps are expensive or risky. Conversely, a lower scoring candidate may have high ERI because its gaps are cheap and feasible. Both metrics should inform portfolio decisions: aggregate score for current prioritization and ERI for resource allocation planning.</w:t>
      </w:r>
    </w:p>
    <w:p>
      <w:pPr>
        <w:pStyle w:val="Heading2"/>
        <w:spacing w:after="120" w:line="480" w:lineRule="auto"/>
      </w:pPr>
      <w:r>
        <w:rPr>
          <w:rFonts w:ascii="Times New Roman" w:cs="Times New Roman" w:eastAsia="Times New Roman" w:hAnsi="Times New Roman"/>
          <w:sz w:val="24"/>
          <w:szCs w:val="24"/>
        </w:rPr>
        <w:t xml:space="preserve">4.4 Comparison with Existing Approaches</w:t>
      </w:r>
    </w:p>
    <w:p>
      <w:pPr>
        <w:spacing w:after="120" w:line="480" w:lineRule="auto"/>
      </w:pPr>
      <w:r>
        <w:rPr>
          <w:rFonts w:ascii="Times New Roman" w:cs="Times New Roman" w:eastAsia="Times New Roman" w:hAnsi="Times New Roman"/>
          <w:sz w:val="24"/>
          <w:szCs w:val="24"/>
        </w:rPr>
        <w:t xml:space="preserve">The pharmaceutical industry uses Target Product Profiles (TPPs) and stage gate reviews to manage translational decision making, but these tools operate qualitatively and do not produce computable resource allocation recommendations [4, 5]. Multi criteria decision analysis has been applied to health technology assessment for approved therapies [10, 11, 12] but not to computational candidates requiring experimental validation. The NCATS Assay Guidance Manual [17] provides experimental design guidance but does not model the portfolio level investment optimization problem. The ERI bridges these traditions by applying formal optimization to the experimental validation phase of computational drug discovery, operating downstream of candidate generation and upstream of clinical development.</w:t>
      </w:r>
    </w:p>
    <w:p>
      <w:pPr>
        <w:pStyle w:val="Heading2"/>
        <w:spacing w:after="120" w:line="480" w:lineRule="auto"/>
      </w:pPr>
      <w:r>
        <w:rPr>
          <w:rFonts w:ascii="Times New Roman" w:cs="Times New Roman" w:eastAsia="Times New Roman" w:hAnsi="Times New Roman"/>
          <w:sz w:val="24"/>
          <w:szCs w:val="24"/>
        </w:rPr>
        <w:t xml:space="preserve">4.5 Generalizability</w:t>
      </w:r>
    </w:p>
    <w:p>
      <w:pPr>
        <w:spacing w:after="120" w:line="480" w:lineRule="auto"/>
      </w:pPr>
      <w:r>
        <w:rPr>
          <w:rFonts w:ascii="Times New Roman" w:cs="Times New Roman" w:eastAsia="Times New Roman" w:hAnsi="Times New Roman"/>
          <w:sz w:val="24"/>
          <w:szCs w:val="24"/>
        </w:rPr>
        <w:t xml:space="preserve">The ERI framework is applicable to any computational drug discovery pipeline that produces candidates with quantified evidence gaps and uses multi criteria evaluation. The gap registry structure, delta score computation, and knapsack optimization are domain agnostic. The specific cost estimates, success probabilities, and dependency structures are pipeline specific and would require recalibration for a different disease domain or therapeutic modality. The formal framework, however, transfers directly. A scalability note is warranted: exact enumeration of 2 to the n power subsets is computationally feasible for gap registries up to approximately n = 20 (approximately one million subsets, computable in seconds on standard hardware). For pipelines with larger gap registries, standard approximation algorithms for the precedence constrained knapsack problem, including dynamic programming, greedy heuristics with dependency topological sorting, and branch and bound methods [9], provide polynomial time solutions with bounded optimality gaps.</w:t>
      </w:r>
    </w:p>
    <w:p>
      <w:pPr>
        <w:pStyle w:val="Heading2"/>
        <w:spacing w:after="120" w:line="480" w:lineRule="auto"/>
      </w:pPr>
      <w:r>
        <w:rPr>
          <w:rFonts w:ascii="Times New Roman" w:cs="Times New Roman" w:eastAsia="Times New Roman" w:hAnsi="Times New Roman"/>
          <w:sz w:val="24"/>
          <w:szCs w:val="24"/>
        </w:rPr>
        <w:t xml:space="preserve">4.6 Limitations</w:t>
      </w:r>
    </w:p>
    <w:p>
      <w:pPr>
        <w:spacing w:after="120" w:line="480" w:lineRule="auto"/>
      </w:pPr>
      <w:r>
        <w:rPr>
          <w:rFonts w:ascii="Times New Roman" w:cs="Times New Roman" w:eastAsia="Times New Roman" w:hAnsi="Times New Roman"/>
          <w:sz w:val="24"/>
          <w:szCs w:val="24"/>
        </w:rPr>
        <w:t xml:space="preserve">First, cost estimates are derived from published CRO pricing and academic core facility schedules rather than formal quotes for the specific experiments required. Actual costs may vary substantially based on compound complexity, protein behavior, and negotiated rates.</w:t>
      </w:r>
    </w:p>
    <w:p>
      <w:pPr>
        <w:spacing w:after="120" w:line="480" w:lineRule="auto"/>
      </w:pPr>
      <w:r>
        <w:rPr>
          <w:rFonts w:ascii="Times New Roman" w:cs="Times New Roman" w:eastAsia="Times New Roman" w:hAnsi="Times New Roman"/>
          <w:sz w:val="24"/>
          <w:szCs w:val="24"/>
        </w:rPr>
        <w:t xml:space="preserve">Second, the success probabilities are point estimates derived from literature benchmarks and expert judgment rather than from empirical data specific to the MitoCoreX targets. Specifically, the p_success of 0.70 for UEG 1 (compound synthesis and screening) is calibrated against the established industry benchmark that 30 to 40 percent of computationally predicted active compounds fail to show target engagement in biochemical assays [4]; p_success of 0.40 to 0.50 for crystallography reflects published success rates for novel or mutant kinase targets in structural genomics consortia; and p_success of 0.85 to 0.90 for established assays reflects the reliability of validated platforms such as the Seahorse XF analyzer. A Bayesian updating approach, in which p_success is revised as experimental data accumulate, would improve the framework but requires data that do not yet exist. The optimization output is explicitly conditional on these estimates, and the sensitivity analysis (Section 3.6) demonstrates that the optimal allocation is sensitive to p_success at the $150,000 level but structurally robust at the $250,000 and $500,000 levels.</w:t>
      </w:r>
    </w:p>
    <w:p>
      <w:pPr>
        <w:spacing w:after="120" w:line="480" w:lineRule="auto"/>
      </w:pPr>
      <w:r>
        <w:rPr>
          <w:rFonts w:ascii="Times New Roman" w:cs="Times New Roman" w:eastAsia="Times New Roman" w:hAnsi="Times New Roman"/>
          <w:sz w:val="24"/>
          <w:szCs w:val="24"/>
        </w:rPr>
        <w:t xml:space="preserve">Third, the optimization assumes independent gap resolutions: the value of resolving gap A is not affected by whether gap B has been resolved. In practice, experimental results from one gap may alter the projected value of another (for example, if compound synthesis reveals that PKA 002 does not bind as predicted, the value of the PINK1 crystal structure gap changes). A dynamic programming extension incorporating sequential information gain would address this limitation.</w:t>
      </w:r>
    </w:p>
    <w:p>
      <w:pPr>
        <w:spacing w:after="120" w:line="480" w:lineRule="auto"/>
      </w:pPr>
      <w:r>
        <w:rPr>
          <w:rFonts w:ascii="Times New Roman" w:cs="Times New Roman" w:eastAsia="Times New Roman" w:hAnsi="Times New Roman"/>
          <w:sz w:val="24"/>
          <w:szCs w:val="24"/>
        </w:rPr>
        <w:t xml:space="preserve">Fourth, the framework does not model temporal discounting. A gap requiring 18 months to resolve has lower net present value than one requiring 3 months, but the current ERI treats them equivalently. The current framework is a single period static optimization that identifies the optimal set of experiments to initiate given a budget but does not model the sequential decision process of a multi round experimental program where results from round one inform round two design. Duration weighted optimization and multi period dynamic programming are planned extensions. For the current single round allocation problem, the static formulation is appropriate.</w:t>
      </w:r>
    </w:p>
    <w:p>
      <w:pPr>
        <w:spacing w:after="120" w:line="480" w:lineRule="auto"/>
      </w:pPr>
      <w:r>
        <w:rPr>
          <w:rFonts w:ascii="Times New Roman" w:cs="Times New Roman" w:eastAsia="Times New Roman" w:hAnsi="Times New Roman"/>
          <w:sz w:val="24"/>
          <w:szCs w:val="24"/>
        </w:rPr>
        <w:t xml:space="preserve">Fifth, the 0/1 knapsack formulation assumes each gap is either fully resolved or not addressed. Partial resolution (for example, synthesizing 3 of 5 candidates instead of all 5) is not modeled. A fractional knapsack extension would enable more granular budget allocation.</w:t>
      </w:r>
    </w:p>
    <w:p>
      <w:pPr>
        <w:spacing w:after="120" w:line="480" w:lineRule="auto"/>
      </w:pPr>
      <w:r>
        <w:rPr>
          <w:rFonts w:ascii="Times New Roman" w:cs="Times New Roman" w:eastAsia="Times New Roman" w:hAnsi="Times New Roman"/>
          <w:sz w:val="24"/>
          <w:szCs w:val="24"/>
        </w:rPr>
        <w:t xml:space="preserve">Sixth, the delta score projections are deterministic. If the actual scoring impact of gap resolution differs from the projected values, the optimal allocation may change. The sensitivity analysis partially addresses this concern but does not provide formal confidence intervals on the optimization output.</w:t>
      </w:r>
    </w:p>
    <w:p>
      <w:pPr>
        <w:pStyle w:val="Heading2"/>
        <w:spacing w:after="120" w:line="480" w:lineRule="auto"/>
      </w:pPr>
      <w:r>
        <w:rPr>
          <w:rFonts w:ascii="Times New Roman" w:cs="Times New Roman" w:eastAsia="Times New Roman" w:hAnsi="Times New Roman"/>
          <w:sz w:val="24"/>
          <w:szCs w:val="24"/>
        </w:rPr>
        <w:t xml:space="preserve">4.7 Future Directions</w:t>
      </w:r>
    </w:p>
    <w:p>
      <w:pPr>
        <w:spacing w:after="120" w:line="480" w:lineRule="auto"/>
      </w:pPr>
      <w:r>
        <w:rPr>
          <w:rFonts w:ascii="Times New Roman" w:cs="Times New Roman" w:eastAsia="Times New Roman" w:hAnsi="Times New Roman"/>
          <w:sz w:val="24"/>
          <w:szCs w:val="24"/>
        </w:rPr>
        <w:t xml:space="preserve">Three extensions are planned. First, a probabilistic ERI incorporating Monte Carlo sampling of cost, duration, and success probability distributions to produce confidence bounded optimization recommendations rather than point estimates. Second, a multi period dynamic optimization that models sequential experimental rounds, updating p_success and delta estimates after each round based on observed results. Third, integration of the ERI framework into the DrugSynth AI platform as a real time decision component, enabling automated generation of experimental validation plans for any new campaign the platform executes.</w:t>
      </w:r>
    </w:p>
    <w:p>
      <w:pPr>
        <w:pStyle w:val="Heading1"/>
        <w:spacing w:after="120" w:line="480" w:lineRule="auto"/>
      </w:pPr>
      <w:r>
        <w:rPr>
          <w:rFonts w:ascii="Times New Roman" w:cs="Times New Roman" w:eastAsia="Times New Roman" w:hAnsi="Times New Roman"/>
          <w:sz w:val="24"/>
          <w:szCs w:val="24"/>
        </w:rPr>
        <w:t xml:space="preserve">5. Conclusion</w:t>
      </w:r>
    </w:p>
    <w:p>
      <w:pPr>
        <w:spacing w:after="120" w:line="480" w:lineRule="auto"/>
      </w:pPr>
      <w:r>
        <w:rPr>
          <w:rFonts w:ascii="Times New Roman" w:cs="Times New Roman" w:eastAsia="Times New Roman" w:hAnsi="Times New Roman"/>
          <w:sz w:val="24"/>
          <w:szCs w:val="24"/>
        </w:rPr>
        <w:t xml:space="preserve">The Evidence Readiness Index completes the four paper GeneVector thesis arc. Paper 1 defined how to represent therapeutic candidates. Paper 2 defined how to score them. Paper 3 identified what experimental evidence is missing and quantified the translational cost. Paper 4 specifies which experiments to run, in which order, at what cost, to maximize translational return on investment.</w:t>
      </w:r>
    </w:p>
    <w:p>
      <w:pPr>
        <w:spacing w:after="120" w:line="480" w:lineRule="auto"/>
      </w:pPr>
      <w:r>
        <w:rPr>
          <w:rFonts w:ascii="Times New Roman" w:cs="Times New Roman" w:eastAsia="Times New Roman" w:hAnsi="Times New Roman"/>
          <w:sz w:val="24"/>
          <w:szCs w:val="24"/>
        </w:rPr>
        <w:t xml:space="preserve">The dependency cost inversion finding demonstrates that structured optimization produces materially different and more capital efficient resource allocation than intuitive gap ranking. The $250,000 inflection threshold identifies the minimum investment required to transition a computational drug discovery portfolio from purely predicted to partially validated status. For the MitoCoreX pipeline specifically, the ERI recommends TSG SDHA ($45,000) as the first experiment at seed funding levels, and UEG 1 ($250,000, compound synthesis and biochemical screening) as the highest impact single investment when grant level funding is available.</w:t>
      </w:r>
    </w:p>
    <w:p>
      <w:pPr>
        <w:spacing w:after="120" w:line="480" w:lineRule="auto"/>
      </w:pPr>
      <w:r>
        <w:rPr>
          <w:rFonts w:ascii="Times New Roman" w:cs="Times New Roman" w:eastAsia="Times New Roman" w:hAnsi="Times New Roman"/>
          <w:sz w:val="24"/>
          <w:szCs w:val="24"/>
        </w:rPr>
        <w:t xml:space="preserve">The ERI framework, gap registry schema, and optimization code are available under the Apache 2.0 license. The complete computation outputs, including all delta score matrices, budget response data, and sensitivity analyses, are provided as supplementary material to enable independent replication.</w:t>
      </w:r>
    </w:p>
    <w:p>
      <w:pPr>
        <w:pStyle w:val="Heading1"/>
        <w:spacing w:after="120" w:line="480" w:lineRule="auto"/>
      </w:pPr>
      <w:r>
        <w:rPr>
          <w:rFonts w:ascii="Times New Roman" w:cs="Times New Roman" w:eastAsia="Times New Roman" w:hAnsi="Times New Roman"/>
          <w:sz w:val="24"/>
          <w:szCs w:val="24"/>
        </w:rPr>
        <w:t xml:space="preserve">6. Data Availability</w:t>
      </w:r>
    </w:p>
    <w:p>
      <w:pPr>
        <w:spacing w:after="120" w:line="480" w:lineRule="auto"/>
      </w:pPr>
      <w:r>
        <w:rPr>
          <w:rFonts w:ascii="Times New Roman" w:cs="Times New Roman" w:eastAsia="Times New Roman" w:hAnsi="Times New Roman"/>
          <w:sz w:val="24"/>
          <w:szCs w:val="24"/>
        </w:rPr>
        <w:t xml:space="preserve">The ERI computation engine (Python), gap registry (YAML), cost benchmarks (YAML), and all computation outputs are available under the Apache 2.0 license. The code repository will be made publicly available upon manuscript acceptance; a confidential reviewer access link is available upon request to the corresponding author. The TCDR schema, TCDR MI checklist, and TCDR Engine specification referenced in this paper are described in Papers 1 and 2 of this series [6, 7].</w:t>
      </w:r>
    </w:p>
    <w:p>
      <w:pPr>
        <w:pStyle w:val="Heading1"/>
        <w:spacing w:after="120" w:line="480" w:lineRule="auto"/>
      </w:pPr>
      <w:r>
        <w:rPr>
          <w:rFonts w:ascii="Times New Roman" w:cs="Times New Roman" w:eastAsia="Times New Roman" w:hAnsi="Times New Roman"/>
          <w:sz w:val="24"/>
          <w:szCs w:val="24"/>
        </w:rPr>
        <w:t xml:space="preserve">7. Competing Interests</w:t>
      </w:r>
    </w:p>
    <w:p>
      <w:pPr>
        <w:spacing w:after="120" w:line="480" w:lineRule="auto"/>
      </w:pPr>
      <w:r>
        <w:rPr>
          <w:rFonts w:ascii="Times New Roman" w:cs="Times New Roman" w:eastAsia="Times New Roman" w:hAnsi="Times New Roman"/>
          <w:sz w:val="24"/>
          <w:szCs w:val="24"/>
        </w:rPr>
        <w:t xml:space="preserve">The author declares no competing interests. DrugSynth AI provisional patent application 64/018,624 covers the governed pipeline architecture; the TCDR standard and ERI framework are released under Apache 2.0 with no intellectual property restrictions.</w:t>
      </w:r>
    </w:p>
    <w:p>
      <w:pPr>
        <w:pStyle w:val="Heading1"/>
        <w:spacing w:after="120" w:line="480" w:lineRule="auto"/>
      </w:pPr>
      <w:r>
        <w:rPr>
          <w:rFonts w:ascii="Times New Roman" w:cs="Times New Roman" w:eastAsia="Times New Roman" w:hAnsi="Times New Roman"/>
          <w:sz w:val="24"/>
          <w:szCs w:val="24"/>
        </w:rPr>
        <w:t xml:space="preserve">8. Funding</w:t>
      </w:r>
    </w:p>
    <w:p>
      <w:pPr>
        <w:spacing w:after="120" w:line="480" w:lineRule="auto"/>
      </w:pPr>
      <w:r>
        <w:rPr>
          <w:rFonts w:ascii="Times New Roman" w:cs="Times New Roman" w:eastAsia="Times New Roman" w:hAnsi="Times New Roman"/>
          <w:sz w:val="24"/>
          <w:szCs w:val="24"/>
        </w:rPr>
        <w:t xml:space="preserve">This research received no external funding.</w:t>
      </w:r>
    </w:p>
    <w:p>
      <w:pPr>
        <w:pStyle w:val="Heading1"/>
        <w:spacing w:after="120" w:line="480" w:lineRule="auto"/>
      </w:pPr>
      <w:r>
        <w:rPr>
          <w:rFonts w:ascii="Times New Roman" w:cs="Times New Roman" w:eastAsia="Times New Roman" w:hAnsi="Times New Roman"/>
          <w:sz w:val="24"/>
          <w:szCs w:val="24"/>
        </w:rPr>
        <w:t xml:space="preserve">9. Acknowledgments</w:t>
      </w:r>
    </w:p>
    <w:p>
      <w:pPr>
        <w:spacing w:after="120" w:line="480" w:lineRule="auto"/>
      </w:pPr>
      <w:r>
        <w:rPr>
          <w:rFonts w:ascii="Times New Roman" w:cs="Times New Roman" w:eastAsia="Times New Roman" w:hAnsi="Times New Roman"/>
          <w:sz w:val="24"/>
          <w:szCs w:val="24"/>
        </w:rPr>
        <w:t xml:space="preserve">Computational infrastructure was provided by the Frontier Translational Research Lab, Department of Computer Science, Boston University.</w:t>
      </w:r>
    </w:p>
    <w:p>
      <w:pPr>
        <w:pStyle w:val="Heading1"/>
        <w:spacing w:after="120" w:line="480" w:lineRule="auto"/>
      </w:pPr>
      <w:r>
        <w:rPr>
          <w:rFonts w:ascii="Times New Roman" w:cs="Times New Roman" w:eastAsia="Times New Roman" w:hAnsi="Times New Roman"/>
          <w:sz w:val="24"/>
          <w:szCs w:val="24"/>
        </w:rPr>
        <w:t xml:space="preserve">10. Author Contributions</w:t>
      </w:r>
    </w:p>
    <w:p>
      <w:pPr>
        <w:spacing w:after="120" w:line="480" w:lineRule="auto"/>
      </w:pPr>
      <w:r>
        <w:rPr>
          <w:rFonts w:ascii="Times New Roman" w:cs="Times New Roman" w:eastAsia="Times New Roman" w:hAnsi="Times New Roman"/>
          <w:sz w:val="24"/>
          <w:szCs w:val="24"/>
        </w:rPr>
        <w:t xml:space="preserve">JB conceived the study, designed the ERI framework, performed all computations, and wrote the manuscript. This is a sole author publication.</w:t>
      </w:r>
    </w:p>
    <w:p>
      <w:r>
        <w:br w:type="page"/>
      </w:r>
    </w:p>
    <w:p>
      <w:pPr>
        <w:pStyle w:val="Heading1"/>
        <w:spacing w:after="120" w:line="480" w:lineRule="auto"/>
      </w:pPr>
      <w:r>
        <w:rPr>
          <w:rFonts w:ascii="Times New Roman" w:cs="Times New Roman" w:eastAsia="Times New Roman" w:hAnsi="Times New Roman"/>
          <w:sz w:val="24"/>
          <w:szCs w:val="24"/>
        </w:rPr>
        <w:t xml:space="preserve">References</w:t>
      </w:r>
    </w:p>
    <w:p>
      <w:pPr>
        <w:spacing w:after="60" w:line="240"/>
        <w:ind w:left="720" w:hanging="720"/>
      </w:pPr>
      <w:r>
        <w:rPr>
          <w:rFonts w:ascii="Times New Roman" w:cs="Times New Roman" w:eastAsia="Times New Roman" w:hAnsi="Times New Roman"/>
          <w:sz w:val="24"/>
          <w:szCs w:val="24"/>
        </w:rPr>
        <w:t xml:space="preserve">[1] Vamathevan J, Clark D, Czodrowski P, et al. Applications of machine learning in drug discovery and development. Nat Rev Drug Discov. 2019;18(6):463-477. doi:10.1038/s41573-019-0024-5</w:t>
      </w:r>
    </w:p>
    <w:p>
      <w:pPr>
        <w:spacing w:after="60" w:line="240"/>
        <w:ind w:left="720" w:hanging="720"/>
      </w:pPr>
      <w:r>
        <w:rPr>
          <w:rFonts w:ascii="Times New Roman" w:cs="Times New Roman" w:eastAsia="Times New Roman" w:hAnsi="Times New Roman"/>
          <w:sz w:val="24"/>
          <w:szCs w:val="24"/>
        </w:rPr>
        <w:t xml:space="preserve">[2] Schneider P, Walters WP, Plowright AT, et al. Rethinking drug design in the artificial intelligence era. Nat Rev Drug Discov. 2020;19(5):353-364. doi:10.1038/s41573-020-0059-2</w:t>
      </w:r>
    </w:p>
    <w:p>
      <w:pPr>
        <w:spacing w:after="60" w:line="240"/>
        <w:ind w:left="720" w:hanging="720"/>
      </w:pPr>
      <w:r>
        <w:rPr>
          <w:rFonts w:ascii="Times New Roman" w:cs="Times New Roman" w:eastAsia="Times New Roman" w:hAnsi="Times New Roman"/>
          <w:sz w:val="24"/>
          <w:szCs w:val="24"/>
        </w:rPr>
        <w:t xml:space="preserve">[3] Wouters OJ, McKee M, Luyten J. Estimated research and development investment needed to bring a new medicine to market, 2009-2018. JAMA. 2020;323(9):844-853. doi:10.1001/jama.2020.1166</w:t>
      </w:r>
    </w:p>
    <w:p>
      <w:pPr>
        <w:spacing w:after="60" w:line="240"/>
        <w:ind w:left="720" w:hanging="720"/>
      </w:pPr>
      <w:r>
        <w:rPr>
          <w:rFonts w:ascii="Times New Roman" w:cs="Times New Roman" w:eastAsia="Times New Roman" w:hAnsi="Times New Roman"/>
          <w:sz w:val="24"/>
          <w:szCs w:val="24"/>
        </w:rPr>
        <w:t xml:space="preserve">[4] Paul SM, Mytelka DS, Dunwiddie CT, et al. How to improve R&amp;D productivity: the pharmaceutical industry's grand challenge. Nat Rev Drug Discov. 2010;9(3):203-214. doi:10.1038/nrd3078</w:t>
      </w:r>
    </w:p>
    <w:p>
      <w:pPr>
        <w:spacing w:after="60" w:line="240"/>
        <w:ind w:left="720" w:hanging="720"/>
      </w:pPr>
      <w:r>
        <w:rPr>
          <w:rFonts w:ascii="Times New Roman" w:cs="Times New Roman" w:eastAsia="Times New Roman" w:hAnsi="Times New Roman"/>
          <w:sz w:val="24"/>
          <w:szCs w:val="24"/>
        </w:rPr>
        <w:t xml:space="preserve">[5] Sertkaya A, Beleche T, Engel T, Shea L. Costs of drug development and research and development intensity in the US, 2000-2018. JAMA Netw Open. 2024;7(6):e2415445. doi:10.1001/jamanetworkopen.2024.15445</w:t>
      </w:r>
    </w:p>
    <w:p>
      <w:pPr>
        <w:spacing w:after="60" w:line="240"/>
        <w:ind w:left="720" w:hanging="720"/>
      </w:pPr>
      <w:r>
        <w:rPr>
          <w:rFonts w:ascii="Times New Roman" w:cs="Times New Roman" w:eastAsia="Times New Roman" w:hAnsi="Times New Roman"/>
          <w:sz w:val="24"/>
          <w:szCs w:val="24"/>
        </w:rPr>
        <w:t xml:space="preserve">[6] Borges J. The Therapeutic Candidate Decision Record: a minimum information standard for translational therapeutics evaluation. Manuscript (Paper 1 of GeneVector Track). 2026. Preprint DOI to be deposited upon submission.</w:t>
      </w:r>
    </w:p>
    <w:p>
      <w:pPr>
        <w:spacing w:after="60" w:line="240"/>
        <w:ind w:left="720" w:hanging="720"/>
      </w:pPr>
      <w:r>
        <w:rPr>
          <w:rFonts w:ascii="Times New Roman" w:cs="Times New Roman" w:eastAsia="Times New Roman" w:hAnsi="Times New Roman"/>
          <w:sz w:val="24"/>
          <w:szCs w:val="24"/>
        </w:rPr>
        <w:t xml:space="preserve">[7] Borges J. The TCDR Engine: a computational architecture for reproducible therapeutic candidate evaluation. Manuscript (Paper 2 of GeneVector Track). 2026. Preprint DOI to be deposited upon submission.</w:t>
      </w:r>
    </w:p>
    <w:p>
      <w:pPr>
        <w:spacing w:after="60" w:line="240"/>
        <w:ind w:left="720" w:hanging="720"/>
      </w:pPr>
      <w:r>
        <w:rPr>
          <w:rFonts w:ascii="Times New Roman" w:cs="Times New Roman" w:eastAsia="Times New Roman" w:hAnsi="Times New Roman"/>
          <w:sz w:val="24"/>
          <w:szCs w:val="24"/>
        </w:rPr>
        <w:t xml:space="preserve">[8] Borges J. Structured multi-criteria evaluation of computationally generated therapeutic candidates: a case series from the MitoCoreX mitochondrial drug discovery pipeline. Manuscript (Paper 3 of GeneVector Track). 2026. Preprint DOI to be deposited upon submission.</w:t>
      </w:r>
    </w:p>
    <w:p>
      <w:pPr>
        <w:spacing w:after="60" w:line="240"/>
        <w:ind w:left="720" w:hanging="720"/>
      </w:pPr>
      <w:r>
        <w:rPr>
          <w:rFonts w:ascii="Times New Roman" w:cs="Times New Roman" w:eastAsia="Times New Roman" w:hAnsi="Times New Roman"/>
          <w:sz w:val="24"/>
          <w:szCs w:val="24"/>
        </w:rPr>
        <w:t xml:space="preserve">[9] Kellerer H, Pferschy U, Pisinger D. Knapsack Problems. Berlin: Springer; 2004.</w:t>
      </w:r>
    </w:p>
    <w:p>
      <w:pPr>
        <w:spacing w:after="60" w:line="240"/>
        <w:ind w:left="720" w:hanging="720"/>
      </w:pPr>
      <w:r>
        <w:rPr>
          <w:rFonts w:ascii="Times New Roman" w:cs="Times New Roman" w:eastAsia="Times New Roman" w:hAnsi="Times New Roman"/>
          <w:sz w:val="24"/>
          <w:szCs w:val="24"/>
        </w:rPr>
        <w:t xml:space="preserve">[10] Thokala P, Devlin N, Marsh K, et al. Multiple criteria decision analysis for health care decision making: an introduction. Value Health. 2016;19(1):1-13. doi:10.1016/j.jval.2015.12.003</w:t>
      </w:r>
    </w:p>
    <w:p>
      <w:pPr>
        <w:spacing w:after="60" w:line="240"/>
        <w:ind w:left="720" w:hanging="720"/>
      </w:pPr>
      <w:r>
        <w:rPr>
          <w:rFonts w:ascii="Times New Roman" w:cs="Times New Roman" w:eastAsia="Times New Roman" w:hAnsi="Times New Roman"/>
          <w:sz w:val="24"/>
          <w:szCs w:val="24"/>
        </w:rPr>
        <w:t xml:space="preserve">[11] Marsh K, IJzerman M, Thokala P, et al. Multiple criteria decision analysis for health care decision making: emerging good practices. Value Health. 2016;19(2):125-137. doi:10.1016/j.jval.2015.12.016</w:t>
      </w:r>
    </w:p>
    <w:p>
      <w:pPr>
        <w:spacing w:after="60" w:line="240"/>
        <w:ind w:left="720" w:hanging="720"/>
      </w:pPr>
      <w:r>
        <w:rPr>
          <w:rFonts w:ascii="Times New Roman" w:cs="Times New Roman" w:eastAsia="Times New Roman" w:hAnsi="Times New Roman"/>
          <w:sz w:val="24"/>
          <w:szCs w:val="24"/>
        </w:rPr>
        <w:t xml:space="preserve">[12] Baltussen R, Niessen L. Priority setting of health interventions: the need for multi-criteria decision analysis. Cost Eff Resour Alloc. 2006;4:14. doi:10.1186/1478-7547-4-14</w:t>
      </w:r>
    </w:p>
    <w:p>
      <w:pPr>
        <w:spacing w:after="60" w:line="240"/>
        <w:ind w:left="720" w:hanging="720"/>
      </w:pPr>
      <w:r>
        <w:rPr>
          <w:rFonts w:ascii="Times New Roman" w:cs="Times New Roman" w:eastAsia="Times New Roman" w:hAnsi="Times New Roman"/>
          <w:sz w:val="24"/>
          <w:szCs w:val="24"/>
        </w:rPr>
        <w:t xml:space="preserve">[13] Gorman GS, Chinnery PF, DiMauro S, et al. Mitochondrial diseases. Nat Rev Dis Primers. 2016;2:16080. doi:10.1038/nrdp.2016.80</w:t>
      </w:r>
    </w:p>
    <w:p>
      <w:pPr>
        <w:spacing w:after="60" w:line="240"/>
        <w:ind w:left="720" w:hanging="720"/>
      </w:pPr>
      <w:r>
        <w:rPr>
          <w:rFonts w:ascii="Times New Roman" w:cs="Times New Roman" w:eastAsia="Times New Roman" w:hAnsi="Times New Roman"/>
          <w:sz w:val="24"/>
          <w:szCs w:val="24"/>
        </w:rPr>
        <w:t xml:space="preserve">[14] Murphy MP, Hartley RC. Mitochondria as a therapeutic target for common pathologies. Nat Rev Drug Discov. 2018;17(12):865-886. doi:10.1038/nrd.2018.174</w:t>
      </w:r>
    </w:p>
    <w:p>
      <w:pPr>
        <w:spacing w:after="60" w:line="240"/>
        <w:ind w:left="720" w:hanging="720"/>
      </w:pPr>
      <w:r>
        <w:rPr>
          <w:rFonts w:ascii="Times New Roman" w:cs="Times New Roman" w:eastAsia="Times New Roman" w:hAnsi="Times New Roman"/>
          <w:sz w:val="24"/>
          <w:szCs w:val="24"/>
        </w:rPr>
        <w:t xml:space="preserve">[15] Sliwoski G, Kothiwale S, Meiler J, Lowe EW. Computational methods in drug discovery. Pharmacol Rev. 2014;66(1):334-395. doi:10.1124/pr.112.007336</w:t>
      </w:r>
    </w:p>
    <w:p>
      <w:pPr>
        <w:spacing w:after="60" w:line="240"/>
        <w:ind w:left="720" w:hanging="720"/>
      </w:pPr>
      <w:r>
        <w:rPr>
          <w:rFonts w:ascii="Times New Roman" w:cs="Times New Roman" w:eastAsia="Times New Roman" w:hAnsi="Times New Roman"/>
          <w:sz w:val="24"/>
          <w:szCs w:val="24"/>
        </w:rPr>
        <w:t xml:space="preserve">[16] Borges J. DrugSynth AI: a governed multi-agent platform for precision medicine drug discovery. US Provisional Patent Application 64/018,624. 2026.</w:t>
      </w:r>
    </w:p>
    <w:p>
      <w:pPr>
        <w:spacing w:after="60" w:line="240"/>
        <w:ind w:left="720" w:hanging="720"/>
      </w:pPr>
      <w:r>
        <w:rPr>
          <w:rFonts w:ascii="Times New Roman" w:cs="Times New Roman" w:eastAsia="Times New Roman" w:hAnsi="Times New Roman"/>
          <w:sz w:val="24"/>
          <w:szCs w:val="24"/>
        </w:rPr>
        <w:t xml:space="preserve">[17] Markossian S, Grossman A, Brimacombe K, et al., eds. Assay Guidance Manual [Internet]. Bethesda (MD): Eli Lilly &amp; Company and the National Center for Advancing Translational Sciences; 2004 (updated 2024). Available from: https://www.ncbi.nlm.nih.gov/books/NBK53196/</w:t>
      </w:r>
    </w:p>
    <w:p>
      <w:pPr>
        <w:spacing w:after="120" w:line="480" w:lineRule="auto"/>
      </w:pPr>
      <w:r>
        <w:rPr>
          <w:rFonts w:ascii="Times New Roman" w:cs="Times New Roman" w:eastAsia="Times New Roman" w:hAnsi="Times New Roman"/>
          <w:sz w:val="24"/>
          <w:szCs w:val="24"/>
        </w:rPr>
        <w:t xml:space="preserve"/>
      </w:r>
    </w:p>
    <w:p>
      <w:pPr>
        <w:spacing w:after="120" w:line="480" w:lineRule="auto"/>
      </w:pPr>
      <w:r>
        <w:rPr>
          <w:rFonts w:ascii="Times New Roman" w:cs="Times New Roman" w:eastAsia="Times New Roman" w:hAnsi="Times New Roman"/>
          <w:sz w:val="24"/>
          <w:szCs w:val="24"/>
        </w:rPr>
        <w:t xml:space="preserve">Julian Borges, MD, MS</w:t>
      </w:r>
    </w:p>
    <w:sectPr>
      <w:headerReference w:type="default" r:id="rId7"/>
      <w:footerReference w:type="default" r:id="rId8"/>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right"/>
    </w:pPr>
    <w:r>
      <w:rPr>
        <w:rFonts w:ascii="Times New Roman" w:cs="Times New Roman" w:eastAsia="Times New Roman" w:hAnsi="Times New Roman"/>
        <w:sz w:val="18"/>
        <w:szCs w:val="18"/>
      </w:rPr>
      <w:t xml:space="preserve">Borges </w:t>
    </w:r>
    <w:r>
      <w:rPr>
        <w:rFonts w:ascii="Times New Roman" w:cs="Times New Roman" w:eastAsia="Times New Roman" w:hAnsi="Times New Roman"/>
        <w:sz w:val="18"/>
        <w:szCs w:val="18"/>
      </w:rPr>
      <w:t xml:space="preserve">| ERI Framework Paper (R2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2026-05-19T02:36:54.217Z</dcterms:created>
  <dcterms:modified xsi:type="dcterms:W3CDTF">2026-05-19T02:36:54.234Z</dcterms:modified>
</cp:coreProperties>
</file>

<file path=docProps/custom.xml><?xml version="1.0" encoding="utf-8"?>
<Properties xmlns="http://schemas.openxmlformats.org/officeDocument/2006/custom-properties" xmlns:vt="http://schemas.openxmlformats.org/officeDocument/2006/docPropsVTypes"/>
</file>