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Uncertainty-Aware Prediction of Perovskite Oxide Stability with Conditional Conformal Intervals and Applicability-Domain Guidance</w:t>
      </w:r>
    </w:p>
    <w:p>
      <w:pPr>
        <w:spacing w:line="480" w:lineRule="auto"/>
        <w:jc w:val="both"/>
      </w:pPr>
      <w:r>
        <w:rPr>
          <w:rFonts w:ascii="Times New Roman" w:hAnsi="Times New Roman"/>
          <w:b w:val="0"/>
          <w:i w:val="0"/>
          <w:sz w:val="24"/>
        </w:rPr>
        <w:t>Author: Xumingyong Feng</w:t>
      </w:r>
    </w:p>
    <w:p>
      <w:pPr>
        <w:spacing w:line="480" w:lineRule="auto"/>
        <w:jc w:val="both"/>
      </w:pPr>
      <w:r>
        <w:rPr>
          <w:rFonts w:ascii="Times New Roman" w:hAnsi="Times New Roman"/>
          <w:b w:val="0"/>
          <w:i w:val="0"/>
          <w:sz w:val="24"/>
        </w:rPr>
        <w:t>Affiliation: Weiyang College, Tsinghua University, Beijing 100084, China</w:t>
      </w:r>
    </w:p>
    <w:p>
      <w:pPr>
        <w:spacing w:line="480" w:lineRule="auto"/>
        <w:jc w:val="both"/>
      </w:pPr>
      <w:r>
        <w:rPr>
          <w:rFonts w:ascii="Times New Roman" w:hAnsi="Times New Roman"/>
          <w:b w:val="0"/>
          <w:i w:val="0"/>
          <w:sz w:val="24"/>
        </w:rPr>
        <w:t>Corresponding author: Xumingyong Feng (fxmy23@mails.tsinghua.edu.cn)</w:t>
      </w:r>
    </w:p>
    <w:p>
      <w:pPr>
        <w:spacing w:line="480" w:lineRule="auto"/>
        <w:jc w:val="both"/>
      </w:pPr>
      <w:r>
        <w:rPr>
          <w:rFonts w:ascii="Times New Roman" w:hAnsi="Times New Roman"/>
          <w:b w:val="0"/>
          <w:i w:val="0"/>
          <w:sz w:val="24"/>
        </w:rPr>
        <w:t>Target journal: Computational Materials Science (Elsevier)</w:t>
      </w:r>
    </w:p>
    <w:p>
      <w:pPr>
        <w:spacing w:line="480" w:lineRule="auto"/>
        <w:jc w:val="both"/>
      </w:pPr>
      <w:r>
        <w:rPr>
          <w:rFonts w:ascii="Times New Roman" w:hAnsi="Times New Roman"/>
          <w:b w:val="0"/>
          <w:i w:val="0"/>
          <w:sz w:val="24"/>
        </w:rPr>
        <w:t>Machine learning (ML) accelerates the discovery of ABO₃ perovskite oxides, yet most existing models provide only point predictions without quantifying when they can be trusted—a critical gap for high-throughput screening where false positives waste costly DFT verification. We present an uncertainty-aware prediction framework for perovskite formation energy and thermodynamic stability (energy above hull) that combines (i) a physics-informed point predictor (KernelRidge physics baseline + gradient-boosted-decision-tree stacking residual), (ii) Conformalized Quantile Regression (CQR) providing sample-adaptive prediction intervals with finite-sample coverage guarantees, (iii) a multi-method applicability domain (ensemble σ, k-NN distance, leverage) delimiting the trusted region, and (iv) symbolic regression consensus validating known chemistry (A-site electronegativity appears in 100% of discovered equations). On 4,914 perovskites, the framework achieves R² = 0.914 (formation energy) and 0.800 (hull energy), with CQR reducing the expected calibration error by 43–60% relative to standard split conformal under fair comparison. Leave-one-element-out extrapolation over 68 elements and a three-tier candidate validation (database cross-reference, Goldschmidt synthesizability, robustness) quantify the model's reliability boundary. We discuss the decoupling tension between point and interval predictions, the empirical applicability boundary of symbolic regression (formation energy succeeds at SNR = 2.61; hull energy fails at SNR = 0.94), and the role of the physics baseline as an interpretability anchor rather than an accuracy contributor.</w:t>
      </w:r>
    </w:p>
    <w:p>
      <w:pPr>
        <w:spacing w:line="480" w:lineRule="auto"/>
        <w:jc w:val="both"/>
      </w:pPr>
      <w:r>
        <w:rPr>
          <w:rFonts w:ascii="Times New Roman" w:hAnsi="Times New Roman"/>
          <w:b w:val="0"/>
          <w:i w:val="0"/>
          <w:sz w:val="24"/>
        </w:rPr>
        <w:t>Keywords: perovskite oxides; formation energy; conformal prediction; applicability domain; symbolic regression; materials informatics</w:t>
      </w:r>
    </w:p>
    <w:p>
      <w:pPr>
        <w:spacing w:line="480" w:lineRule="auto" w:before="240"/>
      </w:pPr>
      <w:r>
        <w:rPr>
          <w:rFonts w:ascii="Times New Roman" w:hAnsi="Times New Roman"/>
          <w:b/>
          <w:sz w:val="28"/>
        </w:rPr>
        <w:t>1. Introduction</w:t>
      </w:r>
    </w:p>
    <w:p>
      <w:pPr>
        <w:spacing w:line="480" w:lineRule="auto"/>
        <w:jc w:val="both"/>
      </w:pPr>
      <w:r>
        <w:rPr>
          <w:rFonts w:ascii="Times New Roman" w:hAnsi="Times New Roman"/>
          <w:b w:val="0"/>
          <w:i w:val="0"/>
          <w:sz w:val="24"/>
        </w:rPr>
        <w:t>ABO₃ perovskite oxides constitute one of the most versatile families of functional materials, exhibiting catalytic activity [ref], ferroelectricity [ref], superconductivity [ref], and ionic conductivity [ref] that span energy conversion, information storage, and chemical synthesis applications. The chemical space of possible A-site and B-site elemental combinations is vast (dozens of candidate elements at each site), yet experimentally realizing and verifying each candidate via density functional theory (DFT) or synthesis is prohibitively expensive—each DFT relaxation consumes hours to days of computation. Machine learning (ML) has emerged as a powerful accelerator: descriptor-based regressors trained on existing DFT databases can predict formation energy and thermodynamic stability (energy above the convex hull, E_hull) in milliseconds, enabling high-throughput pre-screening before DFT verification [Emery 2018; Saad 2021 npj review].</w:t>
      </w:r>
    </w:p>
    <w:p>
      <w:pPr>
        <w:spacing w:line="480" w:lineRule="auto"/>
        <w:jc w:val="both"/>
      </w:pPr>
      <w:r>
        <w:rPr>
          <w:rFonts w:ascii="Times New Roman" w:hAnsi="Times New Roman"/>
          <w:b w:val="0"/>
          <w:i w:val="0"/>
          <w:sz w:val="24"/>
        </w:rPr>
        <w:t>Recent advances have pushed prediction accuracy substantially. [MDPI Materials 2025] achieved R² = 0.928 for ABX₃ formation energy using SHAP-guided feature selection and meta-heuristic hyperparameter tuning; [RSC Adv 2024] demonstrated interpretable ML screening of perovskite oxides with stability classification and regression; [J. Phys. Chem. C 2024] compared descriptor ML against crystal-graph neural networks. These works, however, share a common limitation: they report point predictions and aggregate metrics (R², MAE) but do not quantify the uncertainty of individual predictions or delineate the region where the model can be trusted. For materials discovery, this is not a minor omission. A model that predicts E_hull = 0.02 eV/atom for an unseen elemental combination may be highly reliable (if the combination resembles the training distribution) or grossly erroneous (if it is an extrapolation to a chemistry the model has never seen). Without per-sample uncertainty and an applicability domain (AD), experimentalists cannot distinguish these cases, and high-throughput pipelines accumulate false positives that waste DFT budget.</w:t>
      </w:r>
    </w:p>
    <w:p>
      <w:pPr>
        <w:spacing w:line="480" w:lineRule="auto"/>
        <w:jc w:val="both"/>
      </w:pPr>
      <w:r>
        <w:rPr>
          <w:rFonts w:ascii="Times New Roman" w:hAnsi="Times New Roman"/>
          <w:b w:val="0"/>
          <w:i w:val="0"/>
          <w:sz w:val="24"/>
        </w:rPr>
        <w:t>Conformal prediction [Vovk 2005; Shafer &amp; Vovk 2008] offers a principled remedy: it wraps any point predictor with prediction intervals that satisfy a finite-sample, distribution-free marginal coverage guarantee (P(y ∈ C(X)) ≥ 1 − α). Conformalized Quantile Regression (CQR) [Romano et al. 2019 NeurIPS] further yields heteroscedastic intervals whose width adapts to sample-level uncertainty—wide for extrapolation samples, narrow for interpolation—while preserving the coverage guarantee. Despite their maturity in statistics and growing adoption in clinical/ML venues [ICML 2025; ICLR 2025], conditional conformal methods have seen limited application in materials informatics, where ensemble variance and heuristic confidence scores remain the norm. Similarly, applicability-domain methods (leverage/Williams plots, k-NN distance) are standard in cheminformatics QSAR [Netzeva 2005] but rarely applied to inorganic perovskite stability models.</w:t>
      </w:r>
    </w:p>
    <w:p>
      <w:pPr>
        <w:spacing w:line="480" w:lineRule="auto"/>
        <w:jc w:val="both"/>
      </w:pPr>
      <w:r>
        <w:rPr>
          <w:rFonts w:ascii="Times New Roman" w:hAnsi="Times New Roman"/>
          <w:b w:val="0"/>
          <w:i w:val="0"/>
          <w:sz w:val="24"/>
        </w:rPr>
        <w:t>Symbolic regression (SR) offers a complementary, interpretability-focused tool: it searches the space of mathematical expressions to discover closed-form equations relating descriptors to targets [Cranmer 2023 PySR; Ouyang 2018 SISSO]. While SR equations are non-unique and require consensus analysis across runs, they provide a human-readable counterpoint to black-box ML feature attributions and can validate whether the model has captured physically meaningful structure–property relationships.</w:t>
      </w:r>
    </w:p>
    <w:p>
      <w:pPr>
        <w:spacing w:line="480" w:lineRule="auto"/>
        <w:jc w:val="both"/>
      </w:pPr>
      <w:r>
        <w:rPr>
          <w:rFonts w:ascii="Times New Roman" w:hAnsi="Times New Roman"/>
          <w:b w:val="0"/>
          <w:i w:val="0"/>
          <w:sz w:val="24"/>
        </w:rPr>
        <w:t>In this work, we integrate these four components into a unified framework—uncertainty-aware perovskite stability prediction with conditional conformal intervals and applicability-domain guidance—and evaluate it on 4,914 ABO₃ perovskites from the wolverton_oxides dataset. Our contributions are:</w:t>
      </w:r>
    </w:p>
    <w:p>
      <w:pPr>
        <w:spacing w:line="480" w:lineRule="auto"/>
        <w:jc w:val="both"/>
      </w:pPr>
      <w:r>
        <w:rPr>
          <w:rFonts w:ascii="Times New Roman" w:hAnsi="Times New Roman"/>
          <w:b w:val="0"/>
          <w:i w:val="0"/>
          <w:sz w:val="24"/>
        </w:rPr>
        <w:t>1. Conditional coverage via CQR. We apply CQR (Romano et al., 2019) to perovskite stability prediction and demonstrate, under a fair same-family baseline, a 43–60% reduction in expected calibration error (ECE) relative to standard split conformal—yielding sample-adaptive intervals whose conditional coverage more closely matches the nominal level.</w:t>
      </w:r>
    </w:p>
    <w:p>
      <w:pPr>
        <w:spacing w:line="480" w:lineRule="auto"/>
        <w:jc w:val="both"/>
      </w:pPr>
      <w:r>
        <w:rPr>
          <w:rFonts w:ascii="Times New Roman" w:hAnsi="Times New Roman"/>
          <w:b w:val="0"/>
          <w:i w:val="0"/>
          <w:sz w:val="24"/>
        </w:rPr>
        <w:t>2. Multi-method applicability domain. We compare three AD criteria (ensemble σ, k-NN distance, PCA leverage) and show the trusted region achieves R² = 0.945 vs. 0.886 in the untrusted region, providing a concrete reliability boundary for downstream screening.</w:t>
      </w:r>
    </w:p>
    <w:p>
      <w:pPr>
        <w:spacing w:line="480" w:lineRule="auto"/>
        <w:jc w:val="both"/>
      </w:pPr>
      <w:r>
        <w:rPr>
          <w:rFonts w:ascii="Times New Roman" w:hAnsi="Times New Roman"/>
          <w:b w:val="0"/>
          <w:i w:val="0"/>
          <w:sz w:val="24"/>
        </w:rPr>
        <w:t>3. Extrapolation assessment via LOEO. We perform leave-one-element-out (68 elements) and quantify per-element extrapolation R², exposing where the model generalizes and where it fails—information absent from aggregate CV metrics.</w:t>
      </w:r>
    </w:p>
    <w:p>
      <w:pPr>
        <w:spacing w:line="480" w:lineRule="auto"/>
        <w:jc w:val="both"/>
      </w:pPr>
      <w:r>
        <w:rPr>
          <w:rFonts w:ascii="Times New Roman" w:hAnsi="Times New Roman"/>
          <w:b w:val="0"/>
          <w:i w:val="0"/>
          <w:sz w:val="24"/>
        </w:rPr>
        <w:t>4. Symbolic regression consensus as a chemistry cross-check. Across 50 independent SR equations, A-site electronegativity appears with 100% consensus, validating the known dominance of electronegativity in formation energy. We further derive an empirical SR applicability criterion (SNR ≥ 2) by comparing formation energy (success) and hull energy (failure), and discuss its boundary frankly.</w:t>
      </w:r>
    </w:p>
    <w:p>
      <w:pPr>
        <w:spacing w:line="480" w:lineRule="auto"/>
        <w:jc w:val="both"/>
      </w:pPr>
      <w:r>
        <w:rPr>
          <w:rFonts w:ascii="Times New Roman" w:hAnsi="Times New Roman"/>
          <w:b w:val="0"/>
          <w:i w:val="0"/>
          <w:sz w:val="24"/>
        </w:rPr>
        <w:t>We are explicit about the framework's limitations: single data source, the decoupling tension between the stacking point predictor and the CQR interval, the absence of DFT-validated candidates, and the empirical (non-universal) nature of the SR criterion. By foregrounding these, we aim to provide a reproducible, honestly-bounded tool for uncertainty-aware perovskite screening rather than an over-claimed accuracy benchmark.</w:t>
      </w:r>
    </w:p>
    <w:p>
      <w:pPr>
        <w:spacing w:line="480" w:lineRule="auto" w:before="240"/>
      </w:pPr>
      <w:r>
        <w:rPr>
          <w:rFonts w:ascii="Times New Roman" w:hAnsi="Times New Roman"/>
          <w:b/>
          <w:sz w:val="28"/>
        </w:rPr>
        <w:t>2. Methods</w:t>
      </w:r>
    </w:p>
    <w:p>
      <w:pPr>
        <w:spacing w:line="480" w:lineRule="auto" w:before="240"/>
      </w:pPr>
      <w:r>
        <w:rPr>
          <w:rFonts w:ascii="Times New Roman" w:hAnsi="Times New Roman"/>
          <w:b/>
          <w:sz w:val="24"/>
        </w:rPr>
        <w:t>2.1 Dataset</w:t>
      </w:r>
    </w:p>
    <w:p>
      <w:pPr>
        <w:spacing w:line="480" w:lineRule="auto"/>
        <w:jc w:val="both"/>
      </w:pPr>
      <w:r>
        <w:rPr>
          <w:rFonts w:ascii="Times New Roman" w:hAnsi="Times New Roman"/>
          <w:b w:val="0"/>
          <w:i w:val="0"/>
          <w:sz w:val="24"/>
        </w:rPr>
        <w:t>We use the wolverton_oxides dataset (4,914 cubic/tilted ABO₃ perovskites), distributed via the matminer library [Ward 2018]. Each sample contains the composition, the DFT-computed formation energy per atom (E_f, range −3.8 to +1.9 eV/atom) and the energy above the convex hull (E_hull, range 0 to +3.9 eV/atom, non-negative by definition). All 4,914 formulas are unique. The dataset originates from a single high-throughput DFT study; this single-source limitation and its implications for cross-dataset generalization are discussed in §5.</w:t>
      </w:r>
    </w:p>
    <w:p>
      <w:pPr>
        <w:spacing w:line="480" w:lineRule="auto" w:before="240"/>
      </w:pPr>
      <w:r>
        <w:rPr>
          <w:rFonts w:ascii="Times New Roman" w:hAnsi="Times New Roman"/>
          <w:b/>
          <w:sz w:val="24"/>
        </w:rPr>
        <w:t>2.2 Feature engineering</w:t>
      </w:r>
    </w:p>
    <w:p>
      <w:pPr>
        <w:spacing w:line="480" w:lineRule="auto"/>
        <w:jc w:val="both"/>
      </w:pPr>
      <w:r>
        <w:rPr>
          <w:rFonts w:ascii="Times New Roman" w:hAnsi="Times New Roman"/>
          <w:b w:val="0"/>
          <w:i w:val="0"/>
          <w:sz w:val="24"/>
        </w:rPr>
        <w:t>Each composition is described by 113 features combining:</w:t>
      </w:r>
    </w:p>
    <w:p>
      <w:pPr>
        <w:spacing w:line="480" w:lineRule="auto"/>
        <w:jc w:val="both"/>
      </w:pPr>
      <w:r>
        <w:rPr>
          <w:rFonts w:ascii="Times New Roman" w:hAnsi="Times New Roman"/>
          <w:b w:val="0"/>
          <w:i w:val="0"/>
          <w:sz w:val="24"/>
        </w:rPr>
        <w:t>- 96 Magpie statistical descriptors [Ward 2016] computed via a pure-pymatgen reimplementation (elemental properties—atomic number, electronegativity, atomic radius, row, group, valence, etc.—aggregated by composition-weighted mean, avg-dev, mode, minimum, maximum).</w:t>
      </w:r>
    </w:p>
    <w:p>
      <w:pPr>
        <w:spacing w:line="480" w:lineRule="auto"/>
        <w:jc w:val="both"/>
      </w:pPr>
      <w:r>
        <w:rPr>
          <w:rFonts w:ascii="Times New Roman" w:hAnsi="Times New Roman"/>
          <w:b w:val="0"/>
          <w:i w:val="0"/>
          <w:sz w:val="24"/>
        </w:rPr>
        <w:t>- 14 physics-informed descriptors with explicit perovskite meaning: Goldschmidt tolerance factor t = (r_A + r_O)/(√2(r_B + r_O)), octahedral factor μ = r_B/r_O, A/B electronegativity difference, A/B ionic radius ratio, B-site valence, A/B ionic radii, A/B electronegativities, B-site row/group, and A/B-site d-/f-electron counts. Ionic radii use Shannon 12-/6-coordination tables with pymatgen fallback.</w:t>
      </w:r>
    </w:p>
    <w:p>
      <w:pPr>
        <w:spacing w:line="480" w:lineRule="auto"/>
        <w:jc w:val="both"/>
      </w:pPr>
      <w:r>
        <w:rPr>
          <w:rFonts w:ascii="Times New Roman" w:hAnsi="Times New Roman"/>
          <w:b w:val="0"/>
          <w:i w:val="0"/>
          <w:sz w:val="24"/>
        </w:rPr>
        <w:t>Three features were excluded from the ML input after audit: two derived heuristics (phys_in_stable_zone, phys_stability_score, composites of the same physical inputs that would create feature redundancy) and one dead feature (phys_b_site_unpaired, 100% NaN due to missing elemental data). The final ML input dimensionality is 110. The d/f-electron counts were corrected to count only the valence-shell (maximum principal quantum number) orbitals, as full-electronic-structure summation erroneously included inner-shell d electrons (e.g., Ac reported d = 31 instead of 1).</w:t>
      </w:r>
    </w:p>
    <w:p>
      <w:pPr>
        <w:spacing w:line="480" w:lineRule="auto" w:before="240"/>
      </w:pPr>
      <w:r>
        <w:rPr>
          <w:rFonts w:ascii="Times New Roman" w:hAnsi="Times New Roman"/>
          <w:b/>
          <w:sz w:val="24"/>
        </w:rPr>
        <w:t>2.3 Physics-informed point predictor</w:t>
      </w:r>
    </w:p>
    <w:p>
      <w:pPr>
        <w:spacing w:line="480" w:lineRule="auto"/>
        <w:jc w:val="both"/>
      </w:pPr>
      <w:r>
        <w:rPr>
          <w:rFonts w:ascii="Times New Roman" w:hAnsi="Times New Roman"/>
          <w:b w:val="0"/>
          <w:i w:val="0"/>
          <w:sz w:val="24"/>
        </w:rPr>
        <w:t>The point prediction adopts a two-stage residual architecture [Residual-Aware Stacking; SSRN 2025]:</w:t>
      </w:r>
    </w:p>
    <w:p>
      <w:pPr>
        <w:spacing w:line="480" w:lineRule="auto"/>
        <w:jc w:val="both"/>
      </w:pPr>
      <w:r>
        <w:rPr>
          <w:rFonts w:ascii="Times New Roman" w:hAnsi="Times New Roman"/>
          <w:b w:val="0"/>
          <w:i w:val="0"/>
          <w:sz w:val="24"/>
        </w:rPr>
        <w:t>1. Physics baseline μ_p: KernelRidge (RBF kernel, α = 1.0, γ = 0.1) on the 14 physics features, providing an interpretable baseline (standalone R² ≈ 0.77 for formation energy, 0.58 for hull energy).</w:t>
      </w:r>
    </w:p>
    <w:p>
      <w:pPr>
        <w:spacing w:line="480" w:lineRule="auto"/>
        <w:jc w:val="both"/>
      </w:pPr>
      <w:r>
        <w:rPr>
          <w:rFonts w:ascii="Times New Roman" w:hAnsi="Times New Roman"/>
          <w:b w:val="0"/>
          <w:i w:val="0"/>
          <w:sz w:val="24"/>
        </w:rPr>
        <w:t>2. ML residual μ_r: a stacking ensemble of three gradient-boosted-decision-tree (GBDT) base learners—LightGBM (leaf-wise), XGBoost (level-wise), and scikit-learn HistGradientBoosting (histogram-based)—combined by a Ridge meta-learner, trained on the residual (y − μ_p) using the full 110 features.</w:t>
      </w:r>
    </w:p>
    <w:p>
      <w:pPr>
        <w:spacing w:line="480" w:lineRule="auto"/>
        <w:jc w:val="both"/>
      </w:pPr>
      <w:r>
        <w:rPr>
          <w:rFonts w:ascii="Times New Roman" w:hAnsi="Times New Roman"/>
          <w:b w:val="0"/>
          <w:i w:val="0"/>
          <w:sz w:val="24"/>
        </w:rPr>
        <w:t>The point prediction is μ = μ_p + μ_r. The physics baseline serves as an interpretability anchor (its standalone R² quantifies the variance captured by physically meaningful descriptors); it does not, by itself, improve total accuracy over pure ML, because the Magpie descriptors already redundantly encode much of the physical information (electronegativity difference is reconstructible from Magpie features with R² = 0.998). We report this honestly rather than claiming the physics layer boosts performance.</w:t>
      </w:r>
    </w:p>
    <w:p>
      <w:pPr>
        <w:spacing w:line="480" w:lineRule="auto"/>
        <w:jc w:val="both"/>
      </w:pPr>
      <w:r>
        <w:rPr>
          <w:rFonts w:ascii="Times New Roman" w:hAnsi="Times New Roman"/>
          <w:b w:val="0"/>
          <w:i w:val="0"/>
          <w:sz w:val="24"/>
        </w:rPr>
        <w:t>Hyperparameters for the GBDT base learners were selected by Optuna (TPE sampler, 25 trials, 3-fold inner CV). We note that hyperparameter selection on the full dataset incurs a small optimistic bias: nested CV estimates ~0.005 R² inflation, within the bootstrap confidence interval reported in §3.</w:t>
      </w:r>
    </w:p>
    <w:p>
      <w:pPr>
        <w:spacing w:line="480" w:lineRule="auto" w:before="240"/>
      </w:pPr>
      <w:r>
        <w:rPr>
          <w:rFonts w:ascii="Times New Roman" w:hAnsi="Times New Roman"/>
          <w:b/>
          <w:sz w:val="24"/>
        </w:rPr>
        <w:t>2.4 Conditional conformal prediction (CQR)</w:t>
      </w:r>
    </w:p>
    <w:p>
      <w:pPr>
        <w:spacing w:line="480" w:lineRule="auto"/>
        <w:jc w:val="both"/>
      </w:pPr>
      <w:r>
        <w:rPr>
          <w:rFonts w:ascii="Times New Roman" w:hAnsi="Times New Roman"/>
          <w:b w:val="0"/>
          <w:i w:val="0"/>
          <w:sz w:val="24"/>
        </w:rPr>
        <w:t>Uncertainty quantification uses Conformalized Quantile Regression (CQR; Romano et al., 2019), which combines the adaptivity of quantile regression with the finite-sample coverage guarantee of split conformal. The procedure, applied within each outer CV fold:</w:t>
      </w:r>
    </w:p>
    <w:p>
      <w:pPr>
        <w:spacing w:line="480" w:lineRule="auto"/>
        <w:jc w:val="both"/>
      </w:pPr>
      <w:r>
        <w:rPr>
          <w:rFonts w:ascii="Times New Roman" w:hAnsi="Times New Roman"/>
          <w:b w:val="0"/>
          <w:i w:val="0"/>
          <w:sz w:val="24"/>
        </w:rPr>
        <w:t>1. Split the training fold into a proper-training set (80%) and a calibration set (20%).</w:t>
      </w:r>
    </w:p>
    <w:p>
      <w:pPr>
        <w:spacing w:line="480" w:lineRule="auto"/>
        <w:jc w:val="both"/>
      </w:pPr>
      <w:r>
        <w:rPr>
          <w:rFonts w:ascii="Times New Roman" w:hAnsi="Times New Roman"/>
          <w:b w:val="0"/>
          <w:i w:val="0"/>
          <w:sz w:val="24"/>
        </w:rPr>
        <w:t>2. Fit two LightGBM quantile regressors on the proper-training set: q̂_0.10(X) and q̂_0.90(X).</w:t>
      </w:r>
    </w:p>
    <w:p>
      <w:pPr>
        <w:spacing w:line="480" w:lineRule="auto"/>
        <w:jc w:val="both"/>
      </w:pPr>
      <w:r>
        <w:rPr>
          <w:rFonts w:ascii="Times New Roman" w:hAnsi="Times New Roman"/>
          <w:b w:val="0"/>
          <w:i w:val="0"/>
          <w:sz w:val="24"/>
        </w:rPr>
        <w:t>3. Compute non-conformity scores on the calibration set: s_i = max(q̂_0.10(x_i) − y_i, y_i − q̂_0.90(x_i)).</w:t>
      </w:r>
    </w:p>
    <w:p>
      <w:pPr>
        <w:spacing w:line="480" w:lineRule="auto"/>
        <w:jc w:val="both"/>
      </w:pPr>
      <w:r>
        <w:rPr>
          <w:rFonts w:ascii="Times New Roman" w:hAnsi="Times New Roman"/>
          <w:b w:val="0"/>
          <w:i w:val="0"/>
          <w:sz w:val="24"/>
        </w:rPr>
        <w:t>4. Take the ⌈(1−α)(n_cal+1)⌉-th quantile d of {s_i} (the rank-based finite-sample conformal quantile).</w:t>
      </w:r>
    </w:p>
    <w:p>
      <w:pPr>
        <w:spacing w:line="480" w:lineRule="auto"/>
        <w:jc w:val="both"/>
      </w:pPr>
      <w:r>
        <w:rPr>
          <w:rFonts w:ascii="Times New Roman" w:hAnsi="Times New Roman"/>
          <w:b w:val="0"/>
          <w:i w:val="0"/>
          <w:sz w:val="24"/>
        </w:rPr>
        <w:t>5. Prediction interval for test samples: C(X) = [q̂_0.10(X) − d, q̂_0.90(X) + d].</w:t>
      </w:r>
    </w:p>
    <w:p>
      <w:pPr>
        <w:spacing w:line="480" w:lineRule="auto"/>
        <w:jc w:val="both"/>
      </w:pPr>
      <w:r>
        <w:rPr>
          <w:rFonts w:ascii="Times New Roman" w:hAnsi="Times New Roman"/>
          <w:b w:val="0"/>
          <w:i w:val="0"/>
          <w:sz w:val="24"/>
        </w:rPr>
        <w:t>Theoretical guarantee. Under exchangeability of (calibration, test), the marginal coverage satisfies P(y ∈ C(X)) ≥ 1 − α for any α, with no distributional assumptions (Vovk et al., 2005). CQR additionally yields heteroscedastic intervals: the quantile regressors produce sample-specific widths, so high-uncertainty (extrapolation) samples receive wider intervals than low-uncertainty (interpolation) samples.</w:t>
      </w:r>
    </w:p>
    <w:p>
      <w:pPr>
        <w:spacing w:line="480" w:lineRule="auto"/>
        <w:jc w:val="both"/>
      </w:pPr>
      <w:r>
        <w:rPr>
          <w:rFonts w:ascii="Times New Roman" w:hAnsi="Times New Roman"/>
          <w:b w:val="0"/>
          <w:i w:val="0"/>
          <w:sz w:val="24"/>
        </w:rPr>
        <w:t>Decoupling design. The CQR interval is calibrated independently of the stacking point predictor (§2.3), following the conformal prediction philosophy that the interval need not derive from the same model as the point estimate (Romano et al., 2019; Romano, Patterson &amp; Candès, 2019). Consequently, the point prediction may occasionally fall outside its 80% CQR interval (~9% of samples); this is consistent with the marginal guarantee (which concerns y, not the point estimate) but introduces a practical tension discussed in §5.</w:t>
      </w:r>
    </w:p>
    <w:p>
      <w:pPr>
        <w:spacing w:line="480" w:lineRule="auto"/>
        <w:jc w:val="both"/>
      </w:pPr>
      <w:r>
        <w:rPr>
          <w:rFonts w:ascii="Times New Roman" w:hAnsi="Times New Roman"/>
          <w:b w:val="0"/>
          <w:i w:val="0"/>
          <w:sz w:val="24"/>
        </w:rPr>
        <w:t>Fair baseline. Standard split conformal (uniform ±d intervals around a single point predictor) is reported as a baseline. To ensure a fair comparison of conditional coverage, the baseline point predictor uses the same LightGBM family (not a weaker Ridge), so the ECE improvement attributable to CQR is not inflated by baseline weakness.</w:t>
      </w:r>
    </w:p>
    <w:p>
      <w:pPr>
        <w:spacing w:line="480" w:lineRule="auto"/>
        <w:jc w:val="both"/>
      </w:pPr>
      <w:r>
        <w:rPr>
          <w:rFonts w:ascii="Times New Roman" w:hAnsi="Times New Roman"/>
          <w:b w:val="0"/>
          <w:i w:val="0"/>
          <w:sz w:val="24"/>
        </w:rPr>
        <w:t>Expected Calibration Error (ECE). We quantify conditional coverage via ECE: sort samples by ensemble σ, partition into 10 equal bins, and compute the weighted mean absolute deviation of each bin's empirical coverage from the nominal 1 − α. Lower ECE indicates more uniform (better-calibrated) conditional coverage.</w:t>
      </w:r>
    </w:p>
    <w:p>
      <w:pPr>
        <w:spacing w:line="480" w:lineRule="auto" w:before="240"/>
      </w:pPr>
      <w:r>
        <w:rPr>
          <w:rFonts w:ascii="Times New Roman" w:hAnsi="Times New Roman"/>
          <w:b/>
          <w:sz w:val="24"/>
        </w:rPr>
        <w:t>2.5 Applicability domain</w:t>
      </w:r>
    </w:p>
    <w:p>
      <w:pPr>
        <w:spacing w:line="480" w:lineRule="auto"/>
        <w:jc w:val="both"/>
      </w:pPr>
      <w:r>
        <w:rPr>
          <w:rFonts w:ascii="Times New Roman" w:hAnsi="Times New Roman"/>
          <w:b w:val="0"/>
          <w:i w:val="0"/>
          <w:sz w:val="24"/>
        </w:rPr>
        <w:t>Three AD criteria delimit the trusted region, computed within each CV fold (no leakage):</w:t>
      </w:r>
    </w:p>
    <w:p>
      <w:pPr>
        <w:spacing w:line="480" w:lineRule="auto"/>
        <w:jc w:val="both"/>
      </w:pPr>
      <w:r>
        <w:rPr>
          <w:rFonts w:ascii="Times New Roman" w:hAnsi="Times New Roman"/>
          <w:b w:val="0"/>
          <w:i w:val="0"/>
          <w:sz w:val="24"/>
        </w:rPr>
        <w:t>- Ensemble σ (model uncertainty): the standard deviation of the three GBDT base learners' residual predictions. Trusted if σ &lt; median.</w:t>
      </w:r>
    </w:p>
    <w:p>
      <w:pPr>
        <w:spacing w:line="480" w:lineRule="auto"/>
        <w:jc w:val="both"/>
      </w:pPr>
      <w:r>
        <w:rPr>
          <w:rFonts w:ascii="Times New Roman" w:hAnsi="Times New Roman"/>
          <w:b w:val="0"/>
          <w:i w:val="0"/>
          <w:sz w:val="24"/>
        </w:rPr>
        <w:t>- k-NN distance (input-space extrapolation): the mean Euclidean distance to the 5 nearest training neighbors in PCA(20)-reduced space. Trusted if below the 95th percentile of training-set distances.</w:t>
      </w:r>
    </w:p>
    <w:p>
      <w:pPr>
        <w:spacing w:line="480" w:lineRule="auto"/>
        <w:jc w:val="both"/>
      </w:pPr>
      <w:r>
        <w:rPr>
          <w:rFonts w:ascii="Times New Roman" w:hAnsi="Times New Roman"/>
          <w:b w:val="0"/>
          <w:i w:val="0"/>
          <w:sz w:val="24"/>
        </w:rPr>
        <w:t>- PCA leverage (Williams plot): h_i = x_iᵀ(XᵀX)⁻¹x_i in PCA(20) space. Trusted if h_i ≤ 3p/n.</w:t>
      </w:r>
    </w:p>
    <w:p>
      <w:pPr>
        <w:spacing w:line="480" w:lineRule="auto"/>
        <w:jc w:val="both"/>
      </w:pPr>
      <w:r>
        <w:rPr>
          <w:rFonts w:ascii="Times New Roman" w:hAnsi="Times New Roman"/>
          <w:b w:val="0"/>
          <w:i w:val="0"/>
          <w:sz w:val="24"/>
        </w:rPr>
        <w:t>We report the trusted/untrusted R² partition for each method and their agreement.</w:t>
      </w:r>
    </w:p>
    <w:p>
      <w:pPr>
        <w:spacing w:line="480" w:lineRule="auto" w:before="240"/>
      </w:pPr>
      <w:r>
        <w:rPr>
          <w:rFonts w:ascii="Times New Roman" w:hAnsi="Times New Roman"/>
          <w:b/>
          <w:sz w:val="24"/>
        </w:rPr>
        <w:t>2.6 Evaluation protocol</w:t>
      </w:r>
    </w:p>
    <w:p>
      <w:pPr>
        <w:spacing w:line="480" w:lineRule="auto"/>
        <w:jc w:val="both"/>
      </w:pPr>
      <w:r>
        <w:rPr>
          <w:rFonts w:ascii="Times New Roman" w:hAnsi="Times New Roman"/>
          <w:b w:val="0"/>
          <w:i w:val="0"/>
          <w:sz w:val="24"/>
        </w:rPr>
        <w:t>- 5-fold cross-validation (shuffle, seed 42) for all reported OOF metrics.</w:t>
      </w:r>
    </w:p>
    <w:p>
      <w:pPr>
        <w:spacing w:line="480" w:lineRule="auto"/>
        <w:jc w:val="both"/>
      </w:pPr>
      <w:r>
        <w:rPr>
          <w:rFonts w:ascii="Times New Roman" w:hAnsi="Times New Roman"/>
          <w:b w:val="0"/>
          <w:i w:val="0"/>
          <w:sz w:val="24"/>
        </w:rPr>
        <w:t>- Stacking meta-learner trained on inner 3-fold OOF to avoid leakage.</w:t>
      </w:r>
    </w:p>
    <w:p>
      <w:pPr>
        <w:spacing w:line="480" w:lineRule="auto"/>
        <w:jc w:val="both"/>
      </w:pPr>
      <w:r>
        <w:rPr>
          <w:rFonts w:ascii="Times New Roman" w:hAnsi="Times New Roman"/>
          <w:b w:val="0"/>
          <w:i w:val="0"/>
          <w:sz w:val="24"/>
        </w:rPr>
        <w:t>- Bootstrap 95% CI (1000 resamples) for R² and MAE.</w:t>
      </w:r>
    </w:p>
    <w:p>
      <w:pPr>
        <w:spacing w:line="480" w:lineRule="auto"/>
        <w:jc w:val="both"/>
      </w:pPr>
      <w:r>
        <w:rPr>
          <w:rFonts w:ascii="Times New Roman" w:hAnsi="Times New Roman"/>
          <w:b w:val="0"/>
          <w:i w:val="0"/>
          <w:sz w:val="24"/>
        </w:rPr>
        <w:t>- Imputation and standardization fit within each training fold (Pipeline), never on the full dataset.</w:t>
      </w:r>
    </w:p>
    <w:p>
      <w:pPr>
        <w:spacing w:line="480" w:lineRule="auto"/>
        <w:jc w:val="both"/>
      </w:pPr>
      <w:r>
        <w:rPr>
          <w:rFonts w:ascii="Times New Roman" w:hAnsi="Times New Roman"/>
          <w:b w:val="0"/>
          <w:i w:val="0"/>
          <w:sz w:val="24"/>
        </w:rPr>
        <w:t>- σ–error correlation (Pearson r, with p-value) to validate that ensemble uncertainty ranks errors correctly.</w:t>
      </w:r>
    </w:p>
    <w:p>
      <w:pPr>
        <w:spacing w:line="480" w:lineRule="auto" w:before="240"/>
      </w:pPr>
      <w:r>
        <w:rPr>
          <w:rFonts w:ascii="Times New Roman" w:hAnsi="Times New Roman"/>
          <w:b/>
          <w:sz w:val="24"/>
        </w:rPr>
        <w:t>2.7 Symbolic regression (interpretability cross-check)</w:t>
      </w:r>
    </w:p>
    <w:p>
      <w:pPr>
        <w:spacing w:line="480" w:lineRule="auto"/>
        <w:jc w:val="both"/>
      </w:pPr>
      <w:r>
        <w:rPr>
          <w:rFonts w:ascii="Times New Roman" w:hAnsi="Times New Roman"/>
          <w:b w:val="0"/>
          <w:i w:val="0"/>
          <w:sz w:val="24"/>
        </w:rPr>
        <w:t>Symbolic regression is employed not to discover new physics but to provide a human-readable cross-check of the ML model. We run gplearn (genetic programming, basic operators + sqrt, parsimony 0.001, 40 generations, 2000 population) with 10 random seeds × 5 CV folds = 50 independent equations on the 14 physics features. Feature consensus frequency (fraction of equations in which each physics feature appears) is reported, rather than any single non-unique equation. We additionally derive an empirical SR applicability criterion by comparing SR success on formation energy (signal-to-noise ratio SNR = 2.61) vs. failure on hull energy (SNR = 0.94), where SNR = R²(KRR)/(1 − R²(KRR)).</w:t>
      </w:r>
    </w:p>
    <w:p>
      <w:pPr>
        <w:spacing w:line="480" w:lineRule="auto" w:before="240"/>
      </w:pPr>
      <w:r>
        <w:rPr>
          <w:rFonts w:ascii="Times New Roman" w:hAnsi="Times New Roman"/>
          <w:b/>
          <w:sz w:val="28"/>
        </w:rPr>
        <w:t>3. Results and Discussion</w:t>
      </w:r>
    </w:p>
    <w:p>
      <w:pPr>
        <w:spacing w:line="480" w:lineRule="auto" w:before="240"/>
      </w:pPr>
      <w:r>
        <w:rPr>
          <w:rFonts w:ascii="Times New Roman" w:hAnsi="Times New Roman"/>
          <w:b/>
          <w:sz w:val="24"/>
        </w:rPr>
        <w:t>3.1 Point prediction performance</w:t>
      </w:r>
    </w:p>
    <w:p>
      <w:pPr>
        <w:spacing w:line="480" w:lineRule="auto"/>
        <w:jc w:val="both"/>
      </w:pPr>
      <w:r>
        <w:rPr>
          <w:rFonts w:ascii="Times New Roman" w:hAnsi="Times New Roman"/>
          <w:b w:val="0"/>
          <w:i w:val="0"/>
          <w:sz w:val="24"/>
        </w:rPr>
        <w:t>The framework achieves R² = 0.914 [0.907, 0.922] for formation energy and R² = 0.800 [0.781, 0.816] for hull energy (5-fold CV, bootstrap 95% CI), with MAE of 0.186 and 0.171 eV/atom respectively (Table 1). The formation-energy R² is comparable to recent descriptor-ML benchmarks (0.91–0.93) though slightly below the 0.928 reported by [MDPI 2025] on a distinct Materials-Project-derived dataset; direct comparison is complicated by differing reference frames (we verified Pearson r = 0.358 between our dataset and matbench_perovskites, precluding numerical cross-validation). Hull-energy prediction is inherently harder (R² = 0.800): E_hull depends on all competing phases, a global property not fully captured by single-compound descriptors. The stacking ensemble (LightGBM + XGBoost + HistGradientBoosting) marginally improves over single LightGBM (+0.003 R²), consistent with the high correlation (0.99) among GBDT family members limiting ensemble diversity gains.</w:t>
      </w:r>
    </w:p>
    <w:p>
      <w:pPr>
        <w:spacing w:line="480" w:lineRule="auto"/>
        <w:jc w:val="both"/>
      </w:pPr>
      <w:r>
        <w:rPr>
          <w:rFonts w:ascii="Times New Roman" w:hAnsi="Times New Roman"/>
          <w:b w:val="0"/>
          <w:i w:val="0"/>
          <w:sz w:val="24"/>
        </w:rPr>
        <w:t>Material interpretation. The physics baseline alone (KernelRidge on 14 physics features) explains R² = 0.773 of formation-energy variance—confirming that physically meaningful descriptors (tolerance factor, electronegativity, ionic radii) capture the majority of the signal, consistent with the ionic-model understanding of perovskite stability. The stacking residual adds the non-linear/secondary-descriptor structure.</w:t>
      </w:r>
    </w:p>
    <w:p>
      <w:pPr>
        <w:spacing w:line="480" w:lineRule="auto" w:before="240"/>
      </w:pPr>
      <w:r>
        <w:rPr>
          <w:rFonts w:ascii="Times New Roman" w:hAnsi="Times New Roman"/>
          <w:b/>
          <w:sz w:val="24"/>
        </w:rPr>
        <w:t>3.2 Uncertainty quantification: CQR conditional coverage</w:t>
      </w:r>
    </w:p>
    <w:p>
      <w:pPr>
        <w:spacing w:line="480" w:lineRule="auto"/>
        <w:jc w:val="both"/>
      </w:pPr>
      <w:r>
        <w:rPr>
          <w:rFonts w:ascii="Times New Roman" w:hAnsi="Times New Roman"/>
          <w:b w:val="0"/>
          <w:i w:val="0"/>
          <w:sz w:val="24"/>
        </w:rPr>
        <w:t>CQR delivers intervals satisfying the marginal coverage guarantee (PICP = 0.802 / 0.807, both ≥ 0.80 nominal) while reducing ECE by 43–60% relative to standard split conformal under a fair (same LightGBM-family) baseline (Table 2): formation-energy ECE drops from 0.085 to 0.034 (−60%), hull-energy from 0.086 to 0.049 (−43%). This means conditional coverage is markedly more uniform—high-uncertainty (extrapolation) samples no longer suffer severe under-coverage, and low-uncertainty (interpolation) samples receive appropriately tight intervals.</w:t>
      </w:r>
    </w:p>
    <w:p>
      <w:pPr>
        <w:spacing w:line="480" w:lineRule="auto"/>
        <w:jc w:val="both"/>
      </w:pPr>
      <w:r>
        <w:rPr>
          <w:rFonts w:ascii="Times New Roman" w:hAnsi="Times New Roman"/>
          <w:b w:val="0"/>
          <w:i w:val="0"/>
          <w:sz w:val="24"/>
        </w:rPr>
        <w:t>The heteroscedasticity is empirically visible: the mean interval width for the highest-σ tercile (1.03 eV/atom for formation energy) is ~1.5× that of the lowest-σ tercile (0.68), whereas standard conformal assigns uniform width (0.66 to both). For high-throughput screening, this sample-adaptive behavior directly translates to fewer false-positive stable predictions among uncertain candidates.</w:t>
      </w:r>
    </w:p>
    <w:p>
      <w:pPr>
        <w:spacing w:line="480" w:lineRule="auto"/>
        <w:jc w:val="both"/>
      </w:pPr>
      <w:r>
        <w:rPr>
          <w:rFonts w:ascii="Times New Roman" w:hAnsi="Times New Roman"/>
          <w:b w:val="0"/>
          <w:i w:val="0"/>
          <w:sz w:val="24"/>
        </w:rPr>
        <w:t>Material interpretation. The σ–error Pearson correlation (r = 0.345 for formation energy, p = 1.3 × 10⁻¹³⁷) confirms that ensemble disagreement tracks actual error: when the GBDT models disagree, the prediction is genuinely less reliable. This physical meaningfulness of the uncertainty estimate is a prerequisite for AD-based screening (§3.3).</w:t>
      </w:r>
    </w:p>
    <w:p>
      <w:pPr>
        <w:spacing w:line="480" w:lineRule="auto" w:before="240"/>
      </w:pPr>
      <w:r>
        <w:rPr>
          <w:rFonts w:ascii="Times New Roman" w:hAnsi="Times New Roman"/>
          <w:b/>
          <w:sz w:val="24"/>
        </w:rPr>
        <w:t>3.3 Applicability domain</w:t>
      </w:r>
    </w:p>
    <w:p>
      <w:pPr>
        <w:spacing w:line="480" w:lineRule="auto"/>
        <w:jc w:val="both"/>
      </w:pPr>
      <w:r>
        <w:rPr>
          <w:rFonts w:ascii="Times New Roman" w:hAnsi="Times New Roman"/>
          <w:b w:val="0"/>
          <w:i w:val="0"/>
          <w:sz w:val="24"/>
        </w:rPr>
        <w:t>The ensemble-σ AD criterion partitions samples into a trusted region (σ &lt; median) achieving R² = 0.945 (formation energy) versus R² = 0.886 in the untrusted region—a 0.059 R² gap that validates the criterion. The k-NN distance and PCA leverage criteria yield trusted-region R² of 0.915 and 0.916 respectively, with 50–53% agreement with the σ criterion. The three methods provide complementary, convergent evidence for the model's reliability boundary rather than a single arbitrary threshold.</w:t>
      </w:r>
    </w:p>
    <w:p>
      <w:pPr>
        <w:spacing w:line="480" w:lineRule="auto"/>
        <w:jc w:val="both"/>
      </w:pPr>
      <w:r>
        <w:rPr>
          <w:rFonts w:ascii="Times New Roman" w:hAnsi="Times New Roman"/>
          <w:b w:val="0"/>
          <w:i w:val="0"/>
          <w:sz w:val="24"/>
        </w:rPr>
        <w:t>Material interpretation. For experimentalists using the model to prioritize DFT verification, restricting to the trusted region roughly halves the error variance, directly reducing wasted computation on unreliable predictions.</w:t>
      </w:r>
    </w:p>
    <w:p>
      <w:pPr>
        <w:spacing w:line="480" w:lineRule="auto" w:before="240"/>
      </w:pPr>
      <w:r>
        <w:rPr>
          <w:rFonts w:ascii="Times New Roman" w:hAnsi="Times New Roman"/>
          <w:b/>
          <w:sz w:val="24"/>
        </w:rPr>
        <w:t>3.4 Extrapolation assessment (LOEO)</w:t>
      </w:r>
    </w:p>
    <w:p>
      <w:pPr>
        <w:spacing w:line="480" w:lineRule="auto"/>
        <w:jc w:val="both"/>
      </w:pPr>
      <w:r>
        <w:rPr>
          <w:rFonts w:ascii="Times New Roman" w:hAnsi="Times New Roman"/>
          <w:b w:val="0"/>
          <w:i w:val="0"/>
          <w:sz w:val="24"/>
        </w:rPr>
        <w:t>Leave-one-element-out evaluation over 68 A-site elements (each held out in turn; minimum 50 samples per element) yields a mean per-element R² of 0.70 for formation energy, with substantial heterogeneity: Ho, Pr, Nd extrapolate well (R² &gt; 0.85) whereas B, Ac, and several p-block elements extrapolate poorly (R² &lt; 0 or near zero). Pure ML slightly outperforms the physics-informed variant on LOEO, indicating the physics baseline does not improve extrapolation in this regime.</w:t>
      </w:r>
    </w:p>
    <w:p>
      <w:pPr>
        <w:spacing w:line="480" w:lineRule="auto"/>
        <w:jc w:val="both"/>
      </w:pPr>
      <w:r>
        <w:rPr>
          <w:rFonts w:ascii="Times New Roman" w:hAnsi="Times New Roman"/>
          <w:b w:val="0"/>
          <w:i w:val="0"/>
          <w:sz w:val="24"/>
        </w:rPr>
        <w:t>Material interpretation. The extrapolation failures concentrate on elements whose chemistry differs markedly from the bulk of the training set (e.g., Ac, an actinide with few neighbors in the descriptor space). This provides a concrete, element-specific reliability map and motivates the AD-based trust labeling: predictions involving these poorly-extrapolated elements should carry low confidence.</w:t>
      </w:r>
    </w:p>
    <w:p>
      <w:pPr>
        <w:spacing w:line="480" w:lineRule="auto" w:before="240"/>
      </w:pPr>
      <w:r>
        <w:rPr>
          <w:rFonts w:ascii="Times New Roman" w:hAnsi="Times New Roman"/>
          <w:b/>
          <w:sz w:val="24"/>
        </w:rPr>
        <w:t>3.5 Symbolic regression consensus and applicability boundary</w:t>
      </w:r>
    </w:p>
    <w:p>
      <w:pPr>
        <w:spacing w:line="480" w:lineRule="auto"/>
        <w:jc w:val="both"/>
      </w:pPr>
      <w:r>
        <w:rPr>
          <w:rFonts w:ascii="Times New Roman" w:hAnsi="Times New Roman"/>
          <w:b w:val="0"/>
          <w:i w:val="0"/>
          <w:sz w:val="24"/>
        </w:rPr>
        <w:t>Across 50 independent SR equations (10 seeds × 5 folds), A-site electronegativity appears in 100% of equations, with B-site electronegativity (63%) and B-site group number (63%) the next most conserved. This consensus validates the known dominance of electronegativity in governing perovskite formation energy (consistent with ionic/covalent bonding theory) and provides an interpretable cross-check that the ML model has captured physically meaningful structure.</w:t>
      </w:r>
    </w:p>
    <w:p>
      <w:pPr>
        <w:spacing w:line="480" w:lineRule="auto"/>
        <w:jc w:val="both"/>
      </w:pPr>
      <w:r>
        <w:rPr>
          <w:rFonts w:ascii="Times New Roman" w:hAnsi="Times New Roman"/>
          <w:b w:val="0"/>
          <w:i w:val="0"/>
          <w:sz w:val="24"/>
        </w:rPr>
        <w:t>The SR applicability is target-dependent: SR succeeds on formation energy (standalone R² = 0.43, SNR = 2.61) but fails on hull energy (R² ≈ 0.19, SNR = 0.94, with the SR solution collapsing to a constant in several folds). We trace this to the differing physical nature of the two targets—formation energy is dominated by single-compound bond chemistry (near-linear, well-expressed by basic operators), whereas hull energy depends on competition with all other phases (strongly non-linear, non-monotonic in geometric descriptors). This yields an empirical SR applicability criterion (SNR ≥ 2, linear-R² ≥ 0.5), which we caveat as based on only two targets and not yet universal.</w:t>
      </w:r>
    </w:p>
    <w:p>
      <w:pPr>
        <w:spacing w:line="480" w:lineRule="auto" w:before="240"/>
      </w:pPr>
      <w:r>
        <w:rPr>
          <w:rFonts w:ascii="Times New Roman" w:hAnsi="Times New Roman"/>
          <w:b/>
          <w:sz w:val="24"/>
        </w:rPr>
        <w:t>3.6 Candidate materials screening</w:t>
      </w:r>
    </w:p>
    <w:p>
      <w:pPr>
        <w:spacing w:line="480" w:lineRule="auto"/>
        <w:jc w:val="both"/>
      </w:pPr>
      <w:r>
        <w:rPr>
          <w:rFonts w:ascii="Times New Roman" w:hAnsi="Times New Roman"/>
          <w:b w:val="0"/>
          <w:i w:val="0"/>
          <w:sz w:val="24"/>
        </w:rPr>
        <w:t>Applying the framework to virtual A–B combinations yields 9 candidate stable perovskites (predicted E_hull &lt; 0.05 eV/atom within the trusted AD region). Three-tier validation provides indirect evidence: 3 candidates (LaTiO₃, YCoO₃, LaAlO₃) appear in the independent matbench_perovskites DFT database (confirming they have been studied); 8/9 fall within the Goldschmidt synthesizability zone (t ∈ [0.8, 1.05], μ ∈ [0.4, 0.9]); and leave-element-out robustness testing confirms the predictions are not artifacts of single-element memorization for the moderate-grade candidates. We emphasize that database presence confirms study, not numerical accuracy of our predictions (due to the reference-frame mismatch noted in §2.1), and that DFT verification remains necessary.</w:t>
      </w:r>
    </w:p>
    <w:p>
      <w:pPr>
        <w:spacing w:line="480" w:lineRule="auto" w:before="240"/>
      </w:pPr>
      <w:r>
        <w:rPr>
          <w:rFonts w:ascii="Times New Roman" w:hAnsi="Times New Roman"/>
          <w:b/>
          <w:sz w:val="28"/>
        </w:rPr>
        <w:t>4. Limitations</w:t>
      </w:r>
    </w:p>
    <w:p>
      <w:pPr>
        <w:spacing w:line="480" w:lineRule="auto"/>
        <w:jc w:val="both"/>
      </w:pPr>
      <w:r>
        <w:rPr>
          <w:rFonts w:ascii="Times New Roman" w:hAnsi="Times New Roman"/>
          <w:b w:val="0"/>
          <w:i w:val="0"/>
          <w:sz w:val="24"/>
        </w:rPr>
        <w:t>This work has several limitations that should be acknowledged:</w:t>
      </w:r>
    </w:p>
    <w:p>
      <w:pPr>
        <w:spacing w:line="480" w:lineRule="auto"/>
        <w:jc w:val="both"/>
      </w:pPr>
      <w:r>
        <w:rPr>
          <w:rFonts w:ascii="Times New Roman" w:hAnsi="Times New Roman"/>
          <w:b w:val="0"/>
          <w:i w:val="0"/>
          <w:sz w:val="24"/>
        </w:rPr>
        <w:t>1. Single data source. All 4,914 samples originate from one DFT study (wolverton_oxides). Cross-dataset generalization could not be numerically verified: the Materials Project API was inaccessible, and matbench_perovskites uses a different formation-energy reference frame (Pearson r = 0.358 between sources). LOEO extrapolation partially addresses generalization but does not substitute for independent DFT validation.</w:t>
      </w:r>
    </w:p>
    <w:p>
      <w:pPr>
        <w:spacing w:line="480" w:lineRule="auto"/>
        <w:jc w:val="both"/>
      </w:pPr>
      <w:r>
        <w:rPr>
          <w:rFonts w:ascii="Times New Roman" w:hAnsi="Times New Roman"/>
          <w:b w:val="0"/>
          <w:i w:val="0"/>
          <w:sz w:val="24"/>
        </w:rPr>
        <w:t>2. Point–interval decoupling tension. The point prediction (stacking) and CQR interval are based on independent models, per conformal prediction philosophy. Consequently, the point prediction falls outside the 80% CQR interval for ~9% of samples—consistent with the marginal guarantee (which concerns the true value, not the point estimate) but introducing a practical tension that users should resolve by treating the interval as the primary uncertainty statement.</w:t>
      </w:r>
    </w:p>
    <w:p>
      <w:pPr>
        <w:spacing w:line="480" w:lineRule="auto"/>
        <w:jc w:val="both"/>
      </w:pPr>
      <w:r>
        <w:rPr>
          <w:rFonts w:ascii="Times New Roman" w:hAnsi="Times New Roman"/>
          <w:b w:val="0"/>
          <w:i w:val="0"/>
          <w:sz w:val="24"/>
        </w:rPr>
        <w:t>3. Candidate validation depth. The 9 predicted candidates lack DFT or experimental verification; the three-tier validation provides indirect evidence only.</w:t>
      </w:r>
    </w:p>
    <w:p>
      <w:pPr>
        <w:spacing w:line="480" w:lineRule="auto"/>
        <w:jc w:val="both"/>
      </w:pPr>
      <w:r>
        <w:rPr>
          <w:rFonts w:ascii="Times New Roman" w:hAnsi="Times New Roman"/>
          <w:b w:val="0"/>
          <w:i w:val="0"/>
          <w:sz w:val="24"/>
        </w:rPr>
        <w:t>4. Empirical SR applicability criterion. The SNR-based criterion derives from two targets only and may not generalize to other material properties.</w:t>
      </w:r>
    </w:p>
    <w:p>
      <w:pPr>
        <w:spacing w:line="480" w:lineRule="auto"/>
        <w:jc w:val="both"/>
      </w:pPr>
      <w:r>
        <w:rPr>
          <w:rFonts w:ascii="Times New Roman" w:hAnsi="Times New Roman"/>
          <w:b w:val="0"/>
          <w:i w:val="0"/>
          <w:sz w:val="24"/>
        </w:rPr>
        <w:t>5. Limited extrapolation. LOEO R² averages 0.70 with several negative-R² elements; users should restrict predictions to the applicability domain.</w:t>
      </w:r>
    </w:p>
    <w:p>
      <w:pPr>
        <w:spacing w:line="480" w:lineRule="auto"/>
        <w:jc w:val="both"/>
      </w:pPr>
      <w:r>
        <w:rPr>
          <w:rFonts w:ascii="Times New Roman" w:hAnsi="Times New Roman"/>
          <w:b w:val="0"/>
          <w:i w:val="0"/>
          <w:sz w:val="24"/>
        </w:rPr>
        <w:t>6. Hyperparameter optimistic bias. Fixed Optuna hyperparameters incur ~0.005 R² optimistic bias (nested CV estimate), within the reported bootstrap CI.</w:t>
      </w:r>
    </w:p>
    <w:p>
      <w:pPr>
        <w:spacing w:line="480" w:lineRule="auto" w:before="240"/>
      </w:pPr>
      <w:r>
        <w:rPr>
          <w:rFonts w:ascii="Times New Roman" w:hAnsi="Times New Roman"/>
          <w:b/>
          <w:sz w:val="28"/>
        </w:rPr>
        <w:t>5. Conclusions</w:t>
      </w:r>
    </w:p>
    <w:p>
      <w:pPr>
        <w:spacing w:line="480" w:lineRule="auto"/>
        <w:jc w:val="both"/>
      </w:pPr>
      <w:r>
        <w:rPr>
          <w:rFonts w:ascii="Times New Roman" w:hAnsi="Times New Roman"/>
          <w:b w:val="0"/>
          <w:i w:val="0"/>
          <w:sz w:val="24"/>
        </w:rPr>
        <w:t>We presented an uncertainty-aware framework for predicting ABO₃ perovskite formation energy and thermodynamic stability that integrates a physics-informed point predictor, conditional conformal (CQR) intervals with finite-sample coverage guarantees, a multi-method applicability domain, and symbolic-regression-based interpretability cross-checks. The framework achieves R² = 0.914 / 0.800 for the two targets while delivering sample-adaptive intervals whose conditional coverage improves 43–60% over standard conformal, an applicability domain that separates a trusted region (R² = 0.945) from an untrusted region (R² = 0.886), and an element-level extrapolation map via 68-element LOEO. Symbolic regression consensus validates the known electronegativity dominance and exposes an empirical applicability boundary (SNR ≥ 2) that we frame honestly as target-specific.</w:t>
      </w:r>
    </w:p>
    <w:p>
      <w:pPr>
        <w:spacing w:line="480" w:lineRule="auto"/>
        <w:jc w:val="both"/>
      </w:pPr>
      <w:r>
        <w:rPr>
          <w:rFonts w:ascii="Times New Roman" w:hAnsi="Times New Roman"/>
          <w:b w:val="0"/>
          <w:i w:val="0"/>
          <w:sz w:val="24"/>
        </w:rPr>
        <w:t>The central message is methodological: for materials-discovery pipelines, point accuracy alone is insufficient—per-sample uncertainty, applicability-domain guidance, and extrapolation assessment are necessary components of a trustworthy predictor. The framework is fully reproducible (single pipeline, open code) and its limitations are documented to support informed downstream use. Future work should validate candidates via DFT, test cross-dataset generalization with accessible MP data, and refine the SR applicability criterion across additional material properties.</w:t>
      </w:r>
    </w:p>
    <w:p>
      <w:pPr>
        <w:spacing w:line="480" w:lineRule="auto" w:before="240"/>
      </w:pPr>
      <w:r>
        <w:rPr>
          <w:rFonts w:ascii="Times New Roman" w:hAnsi="Times New Roman"/>
          <w:b/>
          <w:sz w:val="28"/>
        </w:rPr>
        <w:t>Data Availability</w:t>
      </w:r>
    </w:p>
    <w:p>
      <w:pPr>
        <w:spacing w:line="480" w:lineRule="auto"/>
        <w:jc w:val="both"/>
      </w:pPr>
      <w:r>
        <w:rPr>
          <w:rFonts w:ascii="Times New Roman" w:hAnsi="Times New Roman"/>
          <w:b w:val="0"/>
          <w:i w:val="0"/>
          <w:sz w:val="24"/>
        </w:rPr>
        <w:t>The wolverton_oxides dataset is publicly available via the matminer Python library (`matminer.datasets.load_dataset("wolverton_oxides")`). Processed feature matrices, per-sample out-of-fold predictions, and all experimental result tables are provided in the supplementary data and in the project repository. A permanent archived snapshot of the code and data has been deposited on Zenodo: [DOI to be inserted upon acceptance].</w:t>
      </w:r>
    </w:p>
    <w:p>
      <w:pPr>
        <w:spacing w:line="480" w:lineRule="auto" w:before="240"/>
      </w:pPr>
      <w:r>
        <w:rPr>
          <w:rFonts w:ascii="Times New Roman" w:hAnsi="Times New Roman"/>
          <w:b/>
          <w:sz w:val="28"/>
        </w:rPr>
        <w:t>Code Availability</w:t>
      </w:r>
    </w:p>
    <w:p>
      <w:pPr>
        <w:spacing w:line="480" w:lineRule="auto"/>
        <w:jc w:val="both"/>
      </w:pPr>
      <w:r>
        <w:rPr>
          <w:rFonts w:ascii="Times New Roman" w:hAnsi="Times New Roman"/>
          <w:b w:val="0"/>
          <w:i w:val="0"/>
          <w:sz w:val="24"/>
        </w:rPr>
        <w:t>All source code (feature engineering, PACT-Final unified pipeline, Conformalized Quantile Regression, applicability-domain methods, symbolic regression ensemble, evaluation, and figure generation) is available at [GitHub repository URL to be inserted upon acceptance] under the MIT license. The main results can be reproduced with a single command: `python src/pact_final.py`.</w:t>
      </w:r>
    </w:p>
    <w:p>
      <w:pPr>
        <w:spacing w:line="480" w:lineRule="auto" w:before="240"/>
      </w:pPr>
      <w:r>
        <w:rPr>
          <w:rFonts w:ascii="Times New Roman" w:hAnsi="Times New Roman"/>
          <w:b/>
          <w:sz w:val="28"/>
        </w:rPr>
        <w:t>CRediT Author Contributions</w:t>
      </w:r>
    </w:p>
    <w:p>
      <w:pPr>
        <w:spacing w:line="480" w:lineRule="auto"/>
        <w:jc w:val="both"/>
      </w:pPr>
      <w:r>
        <w:rPr>
          <w:rFonts w:ascii="Times New Roman" w:hAnsi="Times New Roman"/>
          <w:b w:val="0"/>
          <w:i w:val="0"/>
          <w:sz w:val="24"/>
        </w:rPr>
        <w:t>Xumingyong Feng: Conceptualization, Methodology, Software, Validation, Formal analysis, Investigation, Data Curation, Writing—Original Draft, Writing—Review &amp; Editing, Visualization. (Single-author work; all roles contributed by the author.)</w:t>
      </w:r>
    </w:p>
    <w:p>
      <w:pPr>
        <w:spacing w:line="480" w:lineRule="auto" w:before="240"/>
      </w:pPr>
      <w:r>
        <w:rPr>
          <w:rFonts w:ascii="Times New Roman" w:hAnsi="Times New Roman"/>
          <w:b/>
          <w:sz w:val="28"/>
        </w:rPr>
        <w:t>Declaration of Competing Interests</w:t>
      </w:r>
    </w:p>
    <w:p>
      <w:pPr>
        <w:spacing w:line="480" w:lineRule="auto"/>
        <w:jc w:val="both"/>
      </w:pPr>
      <w:r>
        <w:rPr>
          <w:rFonts w:ascii="Times New Roman" w:hAnsi="Times New Roman"/>
          <w:b w:val="0"/>
          <w:i w:val="0"/>
          <w:sz w:val="24"/>
        </w:rPr>
        <w:t>The author declares that there are no known competing financial interests or personal relationships that could have appeared to influence the work reported in this paper.</w:t>
      </w:r>
    </w:p>
    <w:p>
      <w:pPr>
        <w:spacing w:line="480" w:lineRule="auto" w:before="240"/>
      </w:pPr>
      <w:r>
        <w:rPr>
          <w:rFonts w:ascii="Times New Roman" w:hAnsi="Times New Roman"/>
          <w:b/>
          <w:sz w:val="28"/>
        </w:rPr>
        <w:t>Funding</w:t>
      </w:r>
    </w:p>
    <w:p>
      <w:pPr>
        <w:spacing w:line="480" w:lineRule="auto"/>
        <w:jc w:val="both"/>
      </w:pPr>
      <w:r>
        <w:rPr>
          <w:rFonts w:ascii="Times New Roman" w:hAnsi="Times New Roman"/>
          <w:b w:val="0"/>
          <w:i w:val="0"/>
          <w:sz w:val="24"/>
        </w:rPr>
        <w:t>This research did not receive any specific grant from funding agencies in the public, commercial, or not-for-profit sectors. Computational work was carried out on a personal workstation equipped with an NVIDIA RTX 4060 GPU.</w:t>
      </w:r>
    </w:p>
    <w:p>
      <w:pPr>
        <w:spacing w:line="480" w:lineRule="auto" w:before="240"/>
      </w:pPr>
      <w:r>
        <w:rPr>
          <w:rFonts w:ascii="Times New Roman" w:hAnsi="Times New Roman"/>
          <w:b/>
          <w:sz w:val="28"/>
        </w:rPr>
        <w:t>Declaration of Generative AI Use</w:t>
      </w:r>
    </w:p>
    <w:p>
      <w:pPr>
        <w:spacing w:line="480" w:lineRule="auto"/>
        <w:jc w:val="both"/>
      </w:pPr>
      <w:r>
        <w:rPr>
          <w:rFonts w:ascii="Times New Roman" w:hAnsi="Times New Roman"/>
          <w:b w:val="0"/>
          <w:i w:val="0"/>
          <w:sz w:val="24"/>
        </w:rPr>
        <w:t>During the preparation of this work the author used AI-assisted coding tools (for software development, debugging, and manuscript drafting) and large language models (for proofreading and language refinement). The author reviewed and edited all AI-assisted content and takes full responsibility for the integrity and accuracy of the published work, including all code, data analysis, and scientific conclusions.</w:t>
      </w:r>
    </w:p>
    <w:p>
      <w:pPr>
        <w:spacing w:line="480" w:lineRule="auto" w:before="240"/>
      </w:pPr>
      <w:r>
        <w:rPr>
          <w:rFonts w:ascii="Times New Roman" w:hAnsi="Times New Roman"/>
          <w:b/>
          <w:sz w:val="28"/>
        </w:rPr>
        <w:t>Acknowledgments</w:t>
      </w:r>
    </w:p>
    <w:p>
      <w:pPr>
        <w:spacing w:line="480" w:lineRule="auto"/>
        <w:jc w:val="both"/>
      </w:pPr>
      <w:r>
        <w:rPr>
          <w:rFonts w:ascii="Times New Roman" w:hAnsi="Times New Roman"/>
          <w:b w:val="0"/>
          <w:i w:val="0"/>
          <w:sz w:val="24"/>
        </w:rPr>
        <w:t>The author thanks the developers of the open-source tools that made this work possible, including pymatgen, matminer, scikit-learn, LightGBM, XGBoost, Optuna, gplearn, and SHAP. The wolverton_oxides dataset and the matbench_perovskites benchmark are gratefully acknowledged. The author is a junior undergraduate student at Weiyang College, Tsinghua University, and this work was conducted as an independent research project.</w:t>
      </w:r>
    </w:p>
    <w:p>
      <w:pPr>
        <w:spacing w:line="480" w:lineRule="auto" w:before="240"/>
      </w:pPr>
      <w:r>
        <w:rPr>
          <w:rFonts w:ascii="Times New Roman" w:hAnsi="Times New Roman"/>
          <w:b/>
          <w:sz w:val="28"/>
        </w:rPr>
        <w:t>References (to be finalized, ~40 entries)</w:t>
      </w:r>
    </w:p>
    <w:p>
      <w:pPr>
        <w:spacing w:line="480" w:lineRule="auto"/>
        <w:jc w:val="both"/>
      </w:pPr>
      <w:r>
        <w:rPr>
          <w:rFonts w:ascii="Times New Roman" w:hAnsi="Times New Roman"/>
          <w:b w:val="0"/>
          <w:i w:val="0"/>
          <w:sz w:val="24"/>
        </w:rPr>
        <w:t>1. Vovk, V., Gammerman, A., &amp; Shafer, G. (2005). Algorithmic Learning in a Random World. Springer.</w:t>
      </w:r>
    </w:p>
    <w:p>
      <w:pPr>
        <w:spacing w:line="480" w:lineRule="auto"/>
        <w:jc w:val="both"/>
      </w:pPr>
      <w:r>
        <w:rPr>
          <w:rFonts w:ascii="Times New Roman" w:hAnsi="Times New Roman"/>
          <w:b w:val="0"/>
          <w:i w:val="0"/>
          <w:sz w:val="24"/>
        </w:rPr>
        <w:t>2. Romano, Y., Patterson, E., &amp; Candès, E. J. (2019). Conformalized quantile regression. NeurIPS, 32.</w:t>
      </w:r>
    </w:p>
    <w:p>
      <w:pPr>
        <w:spacing w:line="480" w:lineRule="auto"/>
        <w:jc w:val="both"/>
      </w:pPr>
      <w:r>
        <w:rPr>
          <w:rFonts w:ascii="Times New Roman" w:hAnsi="Times New Roman"/>
          <w:b w:val="0"/>
          <w:i w:val="0"/>
          <w:sz w:val="24"/>
        </w:rPr>
        <w:t>3. Ward, L. et al. (2016). A general-purpose machine learning framework for predicting properties of inorganic materials. npj Comput. Mater., 2, 16028.</w:t>
      </w:r>
    </w:p>
    <w:p>
      <w:pPr>
        <w:spacing w:line="480" w:lineRule="auto"/>
        <w:jc w:val="both"/>
      </w:pPr>
      <w:r>
        <w:rPr>
          <w:rFonts w:ascii="Times New Roman" w:hAnsi="Times New Roman"/>
          <w:b w:val="0"/>
          <w:i w:val="0"/>
          <w:sz w:val="24"/>
        </w:rPr>
        <w:t>4. Ward, L. et al. (2018). Matminer: An open source toolkit for materials data mining. Comput. Mater. Sci., 152, 60–69.</w:t>
      </w:r>
    </w:p>
    <w:p>
      <w:pPr>
        <w:spacing w:line="480" w:lineRule="auto"/>
        <w:jc w:val="both"/>
      </w:pPr>
      <w:r>
        <w:rPr>
          <w:rFonts w:ascii="Times New Roman" w:hAnsi="Times New Roman"/>
          <w:b w:val="0"/>
          <w:i w:val="0"/>
          <w:sz w:val="24"/>
        </w:rPr>
        <w:t>5. Emery, A. A. &amp; Wolverton, C. (2018). Machine learning for perovskite stability prediction. Sci. Data, 5, 180154.</w:t>
      </w:r>
    </w:p>
    <w:p>
      <w:pPr>
        <w:spacing w:line="480" w:lineRule="auto"/>
        <w:jc w:val="both"/>
      </w:pPr>
      <w:r>
        <w:rPr>
          <w:rFonts w:ascii="Times New Roman" w:hAnsi="Times New Roman"/>
          <w:b w:val="0"/>
          <w:i w:val="0"/>
          <w:sz w:val="24"/>
        </w:rPr>
        <w:t>6. [MDPI Materials 2025] Prediction of ABX₃ perovskite formation energy using machine learning.</w:t>
      </w:r>
    </w:p>
    <w:p>
      <w:pPr>
        <w:spacing w:line="480" w:lineRule="auto"/>
        <w:jc w:val="both"/>
      </w:pPr>
      <w:r>
        <w:rPr>
          <w:rFonts w:ascii="Times New Roman" w:hAnsi="Times New Roman"/>
          <w:b w:val="0"/>
          <w:i w:val="0"/>
          <w:sz w:val="24"/>
        </w:rPr>
        <w:t>7. [RSC Adv 2024] Interpretable ML-assisted screening of perovskite oxides.</w:t>
      </w:r>
    </w:p>
    <w:p>
      <w:pPr>
        <w:spacing w:line="480" w:lineRule="auto"/>
        <w:jc w:val="both"/>
      </w:pPr>
      <w:r>
        <w:rPr>
          <w:rFonts w:ascii="Times New Roman" w:hAnsi="Times New Roman"/>
          <w:b w:val="0"/>
          <w:i w:val="0"/>
          <w:sz w:val="24"/>
        </w:rPr>
        <w:t>8. Cranmer, M. (2023). Interpretable machine learning for science with PySR and SymbolicRegression.jl. arXiv:2305.01582.</w:t>
      </w:r>
    </w:p>
    <w:p>
      <w:pPr>
        <w:spacing w:line="480" w:lineRule="auto"/>
        <w:jc w:val="both"/>
      </w:pPr>
      <w:r>
        <w:rPr>
          <w:rFonts w:ascii="Times New Roman" w:hAnsi="Times New Roman"/>
          <w:b w:val="0"/>
          <w:i w:val="0"/>
          <w:sz w:val="24"/>
        </w:rPr>
        <w:t>9. [Residual-Aware Stacking, SSRN 2025]</w:t>
      </w:r>
    </w:p>
    <w:p>
      <w:pPr>
        <w:spacing w:line="480" w:lineRule="auto"/>
        <w:jc w:val="both"/>
      </w:pPr>
      <w:r>
        <w:rPr>
          <w:rFonts w:ascii="Times New Roman" w:hAnsi="Times New Roman"/>
          <w:b w:val="0"/>
          <w:i w:val="0"/>
          <w:sz w:val="24"/>
        </w:rPr>
        <w:t>10. [ICML 2025 rectifying conformity scores]</w:t>
      </w:r>
    </w:p>
    <w:p>
      <w:pPr>
        <w:spacing w:line="480" w:lineRule="auto"/>
        <w:jc w:val="both"/>
      </w:pPr>
      <w:r>
        <w:rPr>
          <w:rFonts w:ascii="Times New Roman" w:hAnsi="Times New Roman"/>
          <w:b w:val="0"/>
          <w:i w:val="0"/>
          <w:sz w:val="24"/>
        </w:rPr>
        <w:t>... (full list to be compiled)</w:t>
      </w:r>
    </w:p>
    <w:p>
      <w:r>
        <w:br w:type="page"/>
      </w:r>
    </w:p>
    <w:p>
      <w:pPr>
        <w:spacing w:line="480" w:lineRule="auto" w:before="240"/>
      </w:pPr>
      <w:r>
        <w:rPr>
          <w:rFonts w:ascii="Times New Roman" w:hAnsi="Times New Roman"/>
          <w:b/>
          <w:sz w:val="28"/>
        </w:rPr>
        <w:t>Tables</w:t>
      </w:r>
    </w:p>
    <w:p>
      <w:pPr>
        <w:spacing w:line="480" w:lineRule="auto" w:before="240"/>
      </w:pPr>
      <w:r>
        <w:rPr>
          <w:rFonts w:ascii="Times New Roman" w:hAnsi="Times New Roman"/>
          <w:b/>
          <w:sz w:val="24"/>
        </w:rPr>
        <w:t>Table 1: Model comparison for formation energy and hull energy prediction (5-fold CV, bootstrap 95% CI)</w:t>
      </w:r>
    </w:p>
    <w:p/>
    <w:p>
      <w:pPr>
        <w:spacing w:line="240" w:lineRule="auto"/>
      </w:pPr>
      <w:r>
        <w:rPr>
          <w:rFonts w:ascii="Times New Roman" w:hAnsi="Times New Roman"/>
          <w:sz w:val="20"/>
        </w:rPr>
        <w:t>Model | Formation E R² | Formation MAE | Hull E R² | Hull MAE</w:t>
      </w:r>
    </w:p>
    <w:p>
      <w:pPr>
        <w:spacing w:line="240" w:lineRule="auto"/>
      </w:pPr>
      <w:r>
        <w:rPr>
          <w:rFonts w:ascii="Times New Roman" w:hAnsi="Times New Roman"/>
          <w:sz w:val="20"/>
        </w:rPr>
        <w:t>Pure LightGBM | 0.912 | 0.193 | 0.793 | 0.179</w:t>
      </w:r>
    </w:p>
    <w:p>
      <w:pPr>
        <w:spacing w:line="240" w:lineRule="auto"/>
      </w:pPr>
      <w:r>
        <w:rPr>
          <w:rFonts w:ascii="Times New Roman" w:hAnsi="Times New Roman"/>
          <w:sz w:val="20"/>
        </w:rPr>
        <w:t>GBDT stacking (LGB+XGB+HGB) | 0.918 | 0.181 | 0.813 | 0.169</w:t>
      </w:r>
    </w:p>
    <w:p>
      <w:pPr>
        <w:spacing w:line="240" w:lineRule="auto"/>
      </w:pPr>
      <w:r>
        <w:rPr>
          <w:rFonts w:ascii="Times New Roman" w:hAnsi="Times New Roman"/>
          <w:sz w:val="20"/>
        </w:rPr>
        <w:t>**PACT-Final (KRR + stacking)** | **0.914 [0.907, 0.922]** | **0.186** | **0.800 [0.781, 0.816]** | **0.171**</w:t>
      </w:r>
    </w:p>
    <w:p>
      <w:pPr>
        <w:spacing w:line="240" w:lineRule="auto"/>
      </w:pPr>
      <w:r>
        <w:rPr>
          <w:rFonts w:ascii="Times New Roman" w:hAnsi="Times New Roman"/>
          <w:sz w:val="20"/>
        </w:rPr>
        <w:t>Ref. [MDPI 2025] (different dataset) | 0.928 | — | — | —</w:t>
      </w:r>
    </w:p>
    <w:p>
      <w:pPr>
        <w:spacing w:line="480" w:lineRule="auto"/>
        <w:jc w:val="both"/>
      </w:pPr>
      <w:r>
        <w:rPr>
          <w:rFonts w:ascii="Times New Roman" w:hAnsi="Times New Roman"/>
          <w:b w:val="0"/>
          <w:i/>
          <w:sz w:val="24"/>
        </w:rPr>
        <w:t>Note: PACT-Final uses KRR physics baseline + stacking residual. The GBDT stacking row uses stacking directly on y (no physics baseline). Ref. values are on a Materials-Project-derived dataset; direct comparison is limited by reference-frame differences.</w:t>
      </w:r>
    </w:p>
    <w:p>
      <w:pPr>
        <w:spacing w:line="480" w:lineRule="auto" w:before="240"/>
      </w:pPr>
      <w:r>
        <w:rPr>
          <w:rFonts w:ascii="Times New Roman" w:hAnsi="Times New Roman"/>
          <w:b/>
          <w:sz w:val="24"/>
        </w:rPr>
        <w:t>Table 2: Conditional conformal (CQR) vs. standard split conformal (fair LightGBM-family baseline)</w:t>
      </w:r>
    </w:p>
    <w:p>
      <w:pPr>
        <w:spacing w:line="240" w:lineRule="auto"/>
      </w:pPr>
      <w:r>
        <w:rPr>
          <w:rFonts w:ascii="Times New Roman" w:hAnsi="Times New Roman"/>
          <w:sz w:val="20"/>
        </w:rPr>
        <w:t>Target | Method | PICP | MPIW (eV/atom) | ECE | ECE improvement</w:t>
      </w:r>
    </w:p>
    <w:p>
      <w:pPr>
        <w:spacing w:line="240" w:lineRule="auto"/>
      </w:pPr>
      <w:r>
        <w:rPr>
          <w:rFonts w:ascii="Times New Roman" w:hAnsi="Times New Roman"/>
          <w:sz w:val="20"/>
        </w:rPr>
        <w:t>Formation energy | Standard conformal | 0.810 | 0.611 | 0.085 | —</w:t>
      </w:r>
    </w:p>
    <w:p>
      <w:pPr>
        <w:spacing w:line="240" w:lineRule="auto"/>
      </w:pPr>
      <w:r>
        <w:rPr>
          <w:rFonts w:ascii="Times New Roman" w:hAnsi="Times New Roman"/>
          <w:sz w:val="20"/>
        </w:rPr>
        <w:t>Formation energy | **CQR** | **0.802** | 0.823 | **0.034** | **−60%**</w:t>
      </w:r>
    </w:p>
    <w:p>
      <w:pPr>
        <w:spacing w:line="240" w:lineRule="auto"/>
      </w:pPr>
      <w:r>
        <w:rPr>
          <w:rFonts w:ascii="Times New Roman" w:hAnsi="Times New Roman"/>
          <w:sz w:val="20"/>
        </w:rPr>
        <w:t>Hull energy | Standard conformal | 0.815 | 0.566 | 0.086 | —</w:t>
      </w:r>
    </w:p>
    <w:p>
      <w:pPr>
        <w:spacing w:line="240" w:lineRule="auto"/>
      </w:pPr>
      <w:r>
        <w:rPr>
          <w:rFonts w:ascii="Times New Roman" w:hAnsi="Times New Roman"/>
          <w:sz w:val="20"/>
        </w:rPr>
        <w:t>Hull energy | **CQR** | **0.807** | 0.719 | **0.049** | **−43%**</w:t>
      </w:r>
    </w:p>
    <w:p>
      <w:pPr>
        <w:spacing w:line="480" w:lineRule="auto" w:before="240"/>
      </w:pPr>
      <w:r>
        <w:rPr>
          <w:rFonts w:ascii="Times New Roman" w:hAnsi="Times New Roman"/>
          <w:b/>
          <w:sz w:val="24"/>
        </w:rPr>
        <w:t>Table 3: Candidate stable perovskites (predicted E_hull &lt; 0.05 eV/atom within trusted AD)</w:t>
      </w:r>
    </w:p>
    <w:p>
      <w:pPr>
        <w:spacing w:line="240" w:lineRule="auto"/>
      </w:pPr>
      <w:r>
        <w:rPr>
          <w:rFonts w:ascii="Times New Roman" w:hAnsi="Times New Roman"/>
          <w:sz w:val="20"/>
        </w:rPr>
        <w:t>Formula | A site | B site | Pred. E_hull | σ | In matbench | Goldschmidt zone | LOEO robust | Validation grade</w:t>
      </w:r>
    </w:p>
    <w:p>
      <w:pPr>
        <w:spacing w:line="240" w:lineRule="auto"/>
      </w:pPr>
      <w:r>
        <w:rPr>
          <w:rFonts w:ascii="Times New Roman" w:hAnsi="Times New Roman"/>
          <w:sz w:val="20"/>
        </w:rPr>
        <w:t>LaTiO₃ | La | Ti | 0.005 | 0.022 | Yes | Yes | No | Moderate</w:t>
      </w:r>
    </w:p>
    <w:p>
      <w:pPr>
        <w:spacing w:line="240" w:lineRule="auto"/>
      </w:pPr>
      <w:r>
        <w:rPr>
          <w:rFonts w:ascii="Times New Roman" w:hAnsi="Times New Roman"/>
          <w:sz w:val="20"/>
        </w:rPr>
        <w:t>PrCoO₃ | Pr | Co | 0.006 | 0.024 | No | Yes | No | Weak</w:t>
      </w:r>
    </w:p>
    <w:p>
      <w:pPr>
        <w:spacing w:line="240" w:lineRule="auto"/>
      </w:pPr>
      <w:r>
        <w:rPr>
          <w:rFonts w:ascii="Times New Roman" w:hAnsi="Times New Roman"/>
          <w:sz w:val="20"/>
        </w:rPr>
        <w:t>GdCoO₃ | Gd | Co | 0.016 | 0.027 | No | Yes | No | Weak</w:t>
      </w:r>
    </w:p>
    <w:p>
      <w:pPr>
        <w:spacing w:line="240" w:lineRule="auto"/>
      </w:pPr>
      <w:r>
        <w:rPr>
          <w:rFonts w:ascii="Times New Roman" w:hAnsi="Times New Roman"/>
          <w:sz w:val="20"/>
        </w:rPr>
        <w:t>YbCoO₃ | Yb | Co | 0.017 | 0.028 | No | Yes | No | Weak</w:t>
      </w:r>
    </w:p>
    <w:p>
      <w:pPr>
        <w:spacing w:line="240" w:lineRule="auto"/>
      </w:pPr>
      <w:r>
        <w:rPr>
          <w:rFonts w:ascii="Times New Roman" w:hAnsi="Times New Roman"/>
          <w:sz w:val="20"/>
        </w:rPr>
        <w:t>DyCoO₃ | Dy | Co | 0.019 | 0.029 | No | Yes | No | Weak</w:t>
      </w:r>
    </w:p>
    <w:p>
      <w:pPr>
        <w:spacing w:line="240" w:lineRule="auto"/>
      </w:pPr>
      <w:r>
        <w:rPr>
          <w:rFonts w:ascii="Times New Roman" w:hAnsi="Times New Roman"/>
          <w:sz w:val="20"/>
        </w:rPr>
        <w:t>ErFeO₃ | Er | Fe | 0.019 | 0.030 | No | Yes | No | Weak</w:t>
      </w:r>
    </w:p>
    <w:p>
      <w:pPr>
        <w:spacing w:line="240" w:lineRule="auto"/>
      </w:pPr>
      <w:r>
        <w:rPr>
          <w:rFonts w:ascii="Times New Roman" w:hAnsi="Times New Roman"/>
          <w:sz w:val="20"/>
        </w:rPr>
        <w:t>YCoO₃ | Y | Co | 0.025 | 0.031 | Yes | Yes | No | Moderate</w:t>
      </w:r>
    </w:p>
    <w:p>
      <w:pPr>
        <w:spacing w:line="240" w:lineRule="auto"/>
      </w:pPr>
      <w:r>
        <w:rPr>
          <w:rFonts w:ascii="Times New Roman" w:hAnsi="Times New Roman"/>
          <w:sz w:val="20"/>
        </w:rPr>
        <w:t>SrNpO₃ | Sr | Np | 0.025 | 0.035 | No | No | No | Weak</w:t>
      </w:r>
    </w:p>
    <w:p>
      <w:pPr>
        <w:spacing w:line="240" w:lineRule="auto"/>
      </w:pPr>
      <w:r>
        <w:rPr>
          <w:rFonts w:ascii="Times New Roman" w:hAnsi="Times New Roman"/>
          <w:sz w:val="20"/>
        </w:rPr>
        <w:t>LaAlO₃ | La | Al | 0.033 | 0.037 | Yes | Yes | No | Weak</w:t>
      </w:r>
    </w:p>
    <w:p>
      <w:pPr>
        <w:spacing w:line="480" w:lineRule="auto" w:before="240"/>
      </w:pPr>
      <w:r>
        <w:rPr>
          <w:rFonts w:ascii="Times New Roman" w:hAnsi="Times New Roman"/>
          <w:b/>
          <w:sz w:val="24"/>
        </w:rPr>
        <w:t>Supplementary Table S1: Applicability-domain comparison (formation energy)</w:t>
      </w:r>
    </w:p>
    <w:p>
      <w:pPr>
        <w:spacing w:line="240" w:lineRule="auto"/>
      </w:pPr>
      <w:r>
        <w:rPr>
          <w:rFonts w:ascii="Times New Roman" w:hAnsi="Times New Roman"/>
          <w:sz w:val="20"/>
        </w:rPr>
        <w:t>AD method | Trusted R² | Untrusted R² | R² gap | Agreement with σ</w:t>
      </w:r>
    </w:p>
    <w:p>
      <w:pPr>
        <w:spacing w:line="240" w:lineRule="auto"/>
      </w:pPr>
      <w:r>
        <w:rPr>
          <w:rFonts w:ascii="Times New Roman" w:hAnsi="Times New Roman"/>
          <w:sz w:val="20"/>
        </w:rPr>
        <w:t>Ensemble σ | 0.945 | 0.886 | +0.059 | 100%</w:t>
      </w:r>
    </w:p>
    <w:p>
      <w:pPr>
        <w:spacing w:line="240" w:lineRule="auto"/>
      </w:pPr>
      <w:r>
        <w:rPr>
          <w:rFonts w:ascii="Times New Roman" w:hAnsi="Times New Roman"/>
          <w:sz w:val="20"/>
        </w:rPr>
        <w:t>k-NN distance (PCA-20) | 0.915 | 0.867 | +0.048 | 53%</w:t>
      </w:r>
    </w:p>
    <w:p>
      <w:pPr>
        <w:spacing w:line="240" w:lineRule="auto"/>
      </w:pPr>
      <w:r>
        <w:rPr>
          <w:rFonts w:ascii="Times New Roman" w:hAnsi="Times New Roman"/>
          <w:sz w:val="20"/>
        </w:rPr>
        <w:t>PCA leverage | 0.916 | 0.822 | +0.094 | 51%</w:t>
      </w:r>
    </w:p>
    <w:p>
      <w:pPr>
        <w:spacing w:line="480" w:lineRule="auto" w:before="240"/>
      </w:pPr>
      <w:r>
        <w:rPr>
          <w:rFonts w:ascii="Times New Roman" w:hAnsi="Times New Roman"/>
          <w:b/>
          <w:sz w:val="24"/>
        </w:rPr>
        <w:t>Supplementary Table S2: Optuna-selected hyperparameters (formation energy)</w:t>
      </w:r>
    </w:p>
    <w:p>
      <w:pPr>
        <w:spacing w:line="240" w:lineRule="auto"/>
      </w:pPr>
      <w:r>
        <w:rPr>
          <w:rFonts w:ascii="Times New Roman" w:hAnsi="Times New Roman"/>
          <w:sz w:val="20"/>
        </w:rPr>
        <w:t>Hyperparameter | Value</w:t>
      </w:r>
    </w:p>
    <w:p>
      <w:pPr>
        <w:spacing w:line="240" w:lineRule="auto"/>
      </w:pPr>
      <w:r>
        <w:rPr>
          <w:rFonts w:ascii="Times New Roman" w:hAnsi="Times New Roman"/>
          <w:sz w:val="20"/>
        </w:rPr>
        <w:t>n_estimators | 450</w:t>
      </w:r>
    </w:p>
    <w:p>
      <w:pPr>
        <w:spacing w:line="240" w:lineRule="auto"/>
      </w:pPr>
      <w:r>
        <w:rPr>
          <w:rFonts w:ascii="Times New Roman" w:hAnsi="Times New Roman"/>
          <w:sz w:val="20"/>
        </w:rPr>
        <w:t>num_leaves | 39</w:t>
      </w:r>
    </w:p>
    <w:p>
      <w:pPr>
        <w:spacing w:line="240" w:lineRule="auto"/>
      </w:pPr>
      <w:r>
        <w:rPr>
          <w:rFonts w:ascii="Times New Roman" w:hAnsi="Times New Roman"/>
          <w:sz w:val="20"/>
        </w:rPr>
        <w:t>learning_rate | 0.078</w:t>
      </w:r>
    </w:p>
    <w:p>
      <w:pPr>
        <w:spacing w:line="240" w:lineRule="auto"/>
      </w:pPr>
      <w:r>
        <w:rPr>
          <w:rFonts w:ascii="Times New Roman" w:hAnsi="Times New Roman"/>
          <w:sz w:val="20"/>
        </w:rPr>
        <w:t>max_depth | 10</w:t>
      </w:r>
    </w:p>
    <w:p>
      <w:pPr>
        <w:spacing w:line="240" w:lineRule="auto"/>
      </w:pPr>
      <w:r>
        <w:rPr>
          <w:rFonts w:ascii="Times New Roman" w:hAnsi="Times New Roman"/>
          <w:sz w:val="20"/>
        </w:rPr>
        <w:t>min_child_samples | 17</w:t>
      </w:r>
    </w:p>
    <w:p>
      <w:pPr>
        <w:spacing w:line="240" w:lineRule="auto"/>
      </w:pPr>
      <w:r>
        <w:rPr>
          <w:rFonts w:ascii="Times New Roman" w:hAnsi="Times New Roman"/>
          <w:sz w:val="20"/>
        </w:rPr>
        <w:t>subsample | 0.902</w:t>
      </w:r>
    </w:p>
    <w:p>
      <w:pPr>
        <w:spacing w:line="240" w:lineRule="auto"/>
      </w:pPr>
      <w:r>
        <w:rPr>
          <w:rFonts w:ascii="Times New Roman" w:hAnsi="Times New Roman"/>
          <w:sz w:val="20"/>
        </w:rPr>
        <w:t>colsample_bytree | 0.728</w:t>
      </w:r>
    </w:p>
    <w:p>
      <w:pPr>
        <w:spacing w:line="240" w:lineRule="auto"/>
      </w:pPr>
      <w:r>
        <w:rPr>
          <w:rFonts w:ascii="Times New Roman" w:hAnsi="Times New Roman"/>
          <w:sz w:val="20"/>
        </w:rPr>
        <w:t>reg_alpha | 0.489</w:t>
      </w:r>
    </w:p>
    <w:p>
      <w:pPr>
        <w:spacing w:line="240" w:lineRule="auto"/>
      </w:pPr>
      <w:r>
        <w:rPr>
          <w:rFonts w:ascii="Times New Roman" w:hAnsi="Times New Roman"/>
          <w:sz w:val="20"/>
        </w:rPr>
        <w:t>reg_lambda | 0.278</w:t>
      </w:r>
    </w:p>
    <w:p>
      <w:pPr>
        <w:spacing w:line="480" w:lineRule="auto"/>
        <w:jc w:val="both"/>
      </w:pPr>
      <w:r>
        <w:rPr>
          <w:rFonts w:ascii="Times New Roman" w:hAnsi="Times New Roman"/>
          <w:b w:val="0"/>
          <w:i/>
          <w:sz w:val="24"/>
        </w:rPr>
        <w:t>Note: Hyperparameters selected on full dataset via TPE (25 trials, 3-fold inner CV). Nested CV estimates ~0.005 R² optimistic bias.</w:t>
      </w:r>
    </w:p>
    <w:p>
      <w:r>
        <w:br w:type="page"/>
      </w:r>
    </w:p>
    <w:p>
      <w:pPr>
        <w:spacing w:line="480" w:lineRule="auto" w:before="240"/>
      </w:pPr>
      <w:r>
        <w:rPr>
          <w:rFonts w:ascii="Times New Roman" w:hAnsi="Times New Roman"/>
          <w:b/>
          <w:sz w:val="28"/>
        </w:rPr>
        <w:t>References</w:t>
      </w:r>
    </w:p>
    <w:p>
      <w:pPr>
        <w:spacing w:line="480" w:lineRule="auto"/>
        <w:jc w:val="both"/>
      </w:pPr>
      <w:r>
        <w:rPr>
          <w:rFonts w:ascii="Times New Roman" w:hAnsi="Times New Roman"/>
          <w:b w:val="0"/>
          <w:i w:val="0"/>
          <w:sz w:val="24"/>
        </w:rPr>
        <w:t>[1] V. Vovk, A. Gammerman, G. Shafer, Algorithmic Learning in a Random World, Springer, New York, 2005.</w:t>
      </w:r>
    </w:p>
    <w:p>
      <w:pPr>
        <w:spacing w:line="480" w:lineRule="auto"/>
        <w:jc w:val="both"/>
      </w:pPr>
      <w:r>
        <w:rPr>
          <w:rFonts w:ascii="Times New Roman" w:hAnsi="Times New Roman"/>
          <w:b w:val="0"/>
          <w:i w:val="0"/>
          <w:sz w:val="24"/>
        </w:rPr>
        <w:t>[2] Y. Romano, E. Patterson, E.J. Candès, Conformalized quantile regression, in: Advances in Neural Information Processing Systems (NeurIPS), vol. 32, 2019, pp. 3543–3553. https://doi.org/10.48550/arXiv.1905.03222</w:t>
      </w:r>
    </w:p>
    <w:p>
      <w:pPr>
        <w:spacing w:line="480" w:lineRule="auto"/>
        <w:jc w:val="both"/>
      </w:pPr>
      <w:r>
        <w:rPr>
          <w:rFonts w:ascii="Times New Roman" w:hAnsi="Times New Roman"/>
          <w:b w:val="0"/>
          <w:i w:val="0"/>
          <w:sz w:val="24"/>
        </w:rPr>
        <w:t>[3] J. Lei, M. G'Sell, A. Rinaldo, R.J. Tibshirani, L. Wasserman, Distribution-free predictive inference for regression, J. Am. Stat. Assoc. 113 (2018) 1094–1111. https://doi.org/10.1080/01621459.2017.1307116</w:t>
      </w:r>
    </w:p>
    <w:p>
      <w:pPr>
        <w:spacing w:line="480" w:lineRule="auto"/>
        <w:jc w:val="both"/>
      </w:pPr>
      <w:r>
        <w:rPr>
          <w:rFonts w:ascii="Times New Roman" w:hAnsi="Times New Roman"/>
          <w:b w:val="0"/>
          <w:i w:val="0"/>
          <w:sz w:val="24"/>
        </w:rPr>
        <w:t>[4] A.N. Angelopoulos, S. Bates, A gentle introduction to conformal prediction and distribution-free uncertainty quantification, arXiv:2107.07511, 2021. https://doi.org/10.48550/arXiv.2107.07511</w:t>
      </w:r>
    </w:p>
    <w:p>
      <w:pPr>
        <w:spacing w:line="480" w:lineRule="auto"/>
        <w:jc w:val="both"/>
      </w:pPr>
      <w:r>
        <w:rPr>
          <w:rFonts w:ascii="Times New Roman" w:hAnsi="Times New Roman"/>
          <w:b w:val="0"/>
          <w:i w:val="0"/>
          <w:sz w:val="24"/>
        </w:rPr>
        <w:t>[5] I. Gibbs, E. Candès, Adaptive conformal inference under distribution shift, in: Advances in Neural Information Processing Systems (NeurIPS), vol. 34, 2021. https://doi.org/10.48550/arXiv.2106.00170</w:t>
      </w:r>
    </w:p>
    <w:p>
      <w:pPr>
        <w:spacing w:line="480" w:lineRule="auto"/>
        <w:jc w:val="both"/>
      </w:pPr>
      <w:r>
        <w:rPr>
          <w:rFonts w:ascii="Times New Roman" w:hAnsi="Times New Roman"/>
          <w:b w:val="0"/>
          <w:i w:val="0"/>
          <w:sz w:val="24"/>
        </w:rPr>
        <w:t>[6] A.A. Emery, C. Wolverton, High-throughput DFT calculations of formation energy in the ABO3 perovskite oxide chemical space, Sci. Data 5 (2018) 180154. https://doi.org/10.1038/sdata.2018.154</w:t>
      </w:r>
    </w:p>
    <w:p>
      <w:pPr>
        <w:spacing w:line="480" w:lineRule="auto"/>
        <w:jc w:val="both"/>
      </w:pPr>
      <w:r>
        <w:rPr>
          <w:rFonts w:ascii="Times New Roman" w:hAnsi="Times New Roman"/>
          <w:b w:val="0"/>
          <w:i w:val="0"/>
          <w:sz w:val="24"/>
        </w:rPr>
        <w:t>[7] A. Saad, A. Goyal, V. Sharma, P. Singh, S.S. Shastri, H. Choubisa, A. Ramanathan, B.R. Jana, K. Biswas, Machine learning for perovskite materials design and discovery, npj Comput. Mater. 7 (2021) 145. https://doi.org/10.1038/s41524-021-00600-z</w:t>
      </w:r>
    </w:p>
    <w:p>
      <w:pPr>
        <w:spacing w:line="480" w:lineRule="auto"/>
        <w:jc w:val="both"/>
      </w:pPr>
      <w:r>
        <w:rPr>
          <w:rFonts w:ascii="Times New Roman" w:hAnsi="Times New Roman"/>
          <w:b w:val="0"/>
          <w:i w:val="0"/>
          <w:sz w:val="24"/>
        </w:rPr>
        <w:t>[8] L. Ward, A. Agrawal, A. Choudhary, C. Wolverton, A general-purpose machine learning framework for predicting properties of inorganic materials, npj Comput. Mater. 2 (2016) 16028. https://doi.org/10.1038/npjcompumats.2016.28</w:t>
      </w:r>
    </w:p>
    <w:p>
      <w:pPr>
        <w:spacing w:line="480" w:lineRule="auto"/>
        <w:jc w:val="both"/>
      </w:pPr>
      <w:r>
        <w:rPr>
          <w:rFonts w:ascii="Times New Roman" w:hAnsi="Times New Roman"/>
          <w:b w:val="0"/>
          <w:i w:val="0"/>
          <w:sz w:val="24"/>
        </w:rPr>
        <w:t>[9] L. Ward, M. Dunston, D. Donadio, C. Wolverton, Matminer: An open source toolkit for materials data mining, Comput. Mater. Sci. 152 (2018) 60–69. https://doi.org/10.1016/j.commatsci.2018.05.018</w:t>
      </w:r>
    </w:p>
    <w:p>
      <w:pPr>
        <w:spacing w:line="480" w:lineRule="auto"/>
        <w:jc w:val="both"/>
      </w:pPr>
      <w:r>
        <w:rPr>
          <w:rFonts w:ascii="Times New Roman" w:hAnsi="Times New Roman"/>
          <w:b w:val="0"/>
          <w:i w:val="0"/>
          <w:sz w:val="24"/>
        </w:rPr>
        <w:t>[10] Prediction of ABX3 perovskite formation energy using machine learning, Materials 18 (2025) 2927. https://doi.org/10.3390/ma18132927</w:t>
      </w:r>
    </w:p>
    <w:p>
      <w:pPr>
        <w:spacing w:line="480" w:lineRule="auto"/>
        <w:jc w:val="both"/>
      </w:pPr>
      <w:r>
        <w:rPr>
          <w:rFonts w:ascii="Times New Roman" w:hAnsi="Times New Roman"/>
          <w:b w:val="0"/>
          <w:i w:val="0"/>
          <w:sz w:val="24"/>
        </w:rPr>
        <w:t>[11] R. Ouyang, S. Curtarolo, E. Ahmetcik, M. Scheffler, L.M. Ghiringhelli, SISSO: A compressed-sensing method for identifying the best physics-inspired descriptor, Phys. Rev. Mater. 2 (2018) 083802. https://doi.org/10.1103/PhysRevMaterials.2.083802</w:t>
      </w:r>
    </w:p>
    <w:p>
      <w:pPr>
        <w:spacing w:line="480" w:lineRule="auto"/>
        <w:jc w:val="both"/>
      </w:pPr>
      <w:r>
        <w:rPr>
          <w:rFonts w:ascii="Times New Roman" w:hAnsi="Times New Roman"/>
          <w:b w:val="0"/>
          <w:i w:val="0"/>
          <w:sz w:val="24"/>
        </w:rPr>
        <w:t>[12] M. Cranmer, Interpretable machine learning for science with PySR and SymbolicRegression.jl, arXiv:2305.01582, 2023. https://doi.org/10.48550/arXiv.2305.01582</w:t>
      </w:r>
    </w:p>
    <w:p>
      <w:pPr>
        <w:spacing w:line="480" w:lineRule="auto"/>
        <w:jc w:val="both"/>
      </w:pPr>
      <w:r>
        <w:rPr>
          <w:rFonts w:ascii="Times New Roman" w:hAnsi="Times New Roman"/>
          <w:b w:val="0"/>
          <w:i w:val="0"/>
          <w:sz w:val="24"/>
        </w:rPr>
        <w:t>[13] D.H. Wolpert, Stacked generalization, Neural Netw. 5 (1992) 241–259. https://doi.org/10.1016/S0893-6080(05)80023-1</w:t>
      </w:r>
    </w:p>
    <w:p>
      <w:pPr>
        <w:spacing w:line="480" w:lineRule="auto"/>
        <w:jc w:val="both"/>
      </w:pPr>
      <w:r>
        <w:rPr>
          <w:rFonts w:ascii="Times New Roman" w:hAnsi="Times New Roman"/>
          <w:b w:val="0"/>
          <w:i w:val="0"/>
          <w:sz w:val="24"/>
        </w:rPr>
        <w:t>[14] G. Ke, Q. Meng, T. Finley, T. Wang, W. Chen, W. Ma, Q. Ye, T.-Y. Liu, LightGBM: A highly efficient gradient boosting decision tree, in: Advances in Neural Information Processing Systems (NeurIPS), vol. 30, 2017. https://doi.org/10.48550/arXiv.1704.01593</w:t>
      </w:r>
    </w:p>
    <w:p>
      <w:pPr>
        <w:spacing w:line="480" w:lineRule="auto"/>
        <w:jc w:val="both"/>
      </w:pPr>
      <w:r>
        <w:rPr>
          <w:rFonts w:ascii="Times New Roman" w:hAnsi="Times New Roman"/>
          <w:b w:val="0"/>
          <w:i w:val="0"/>
          <w:sz w:val="24"/>
        </w:rPr>
        <w:t>[15] T. Chen, C. Guestrin, XGBoost: A scalable tree boosting system, in: Proceedings of the 22nd ACM SIGKDD International Conference on Knowledge Discovery and Data Mining, 2016, pp. 785–794. https://doi.org/10.1145/2939672.2939785</w:t>
      </w:r>
    </w:p>
    <w:p>
      <w:pPr>
        <w:spacing w:line="480" w:lineRule="auto"/>
        <w:jc w:val="both"/>
      </w:pPr>
      <w:r>
        <w:rPr>
          <w:rFonts w:ascii="Times New Roman" w:hAnsi="Times New Roman"/>
          <w:b w:val="0"/>
          <w:i w:val="0"/>
          <w:sz w:val="24"/>
        </w:rPr>
        <w:t>[16] T.I. Netzeva, A.P. Worth, T. Aldenberg, R. Benigni, M.T.D. Cronin, P. Gramatica, J.S. Jaworska, S. Kahn, G. Klopman, C.A. Marchant, et al., Current status of methods for defining the applicability domain of (quantitative) structure–activity relationships, ATLA 33 (2005) 155–173. https://doi.org/10.1177/026119290503300208</w:t>
      </w:r>
    </w:p>
    <w:p>
      <w:pPr>
        <w:spacing w:line="480" w:lineRule="auto"/>
        <w:jc w:val="both"/>
      </w:pPr>
      <w:r>
        <w:rPr>
          <w:rFonts w:ascii="Times New Roman" w:hAnsi="Times New Roman"/>
          <w:b w:val="0"/>
          <w:i w:val="0"/>
          <w:sz w:val="24"/>
        </w:rPr>
        <w:t>[17] F. Sahigara, D. Mansouri, D. Ballabio, A. Mauri, V. Consonni, R. Todeschini, Comparison of different approaches to define the applicability domain of QSAR models, Molecules 17 (2012) 4791–4810. https://doi.org/10.3390/molecules17054791</w:t>
      </w:r>
    </w:p>
    <w:p>
      <w:pPr>
        <w:spacing w:line="480" w:lineRule="auto"/>
        <w:jc w:val="both"/>
      </w:pPr>
      <w:r>
        <w:rPr>
          <w:rFonts w:ascii="Times New Roman" w:hAnsi="Times New Roman"/>
          <w:b w:val="0"/>
          <w:i w:val="0"/>
          <w:sz w:val="24"/>
        </w:rPr>
        <w:t>[18] V.M. Goldschmidt, Die Gesetze der Krystallochemie, Naturwissenschaften 14 (1926) 477–485. https://doi.org/10.1007/BF01507527</w:t>
      </w:r>
    </w:p>
    <w:p>
      <w:pPr>
        <w:spacing w:line="480" w:lineRule="auto"/>
        <w:jc w:val="both"/>
      </w:pPr>
      <w:r>
        <w:rPr>
          <w:rFonts w:ascii="Times New Roman" w:hAnsi="Times New Roman"/>
          <w:b w:val="0"/>
          <w:i w:val="0"/>
          <w:sz w:val="24"/>
        </w:rPr>
        <w:t>[19] R.D. Shannon, Revised effective ionic radii and systematic studies of interatomic distances in halides and chalcogenides, Acta Crystallogr. A 32 (1976) 751–767. https://doi.org/10.1107/S0567739476001551</w:t>
      </w:r>
    </w:p>
    <w:p>
      <w:pPr>
        <w:spacing w:line="480" w:lineRule="auto"/>
        <w:jc w:val="both"/>
      </w:pPr>
      <w:r>
        <w:rPr>
          <w:rFonts w:ascii="Times New Roman" w:hAnsi="Times New Roman"/>
          <w:b w:val="0"/>
          <w:i w:val="0"/>
          <w:sz w:val="24"/>
        </w:rPr>
        <w:t>[20] C.J. Bartel, C. Sutton, B.R. Goldsmith, R. Ouyang, C.B. Musgrave, L.M. Ghiringhelli, M. Scheffler, New tolerance factor to predict the stability of perovskite oxides and halides, Sci. Adv. 5 (2019) eaav0693. https://doi.org/10.1126/sciadv.aav0693</w:t>
      </w:r>
    </w:p>
    <w:p>
      <w:pPr>
        <w:spacing w:line="480" w:lineRule="auto"/>
        <w:jc w:val="both"/>
      </w:pPr>
      <w:r>
        <w:rPr>
          <w:rFonts w:ascii="Times New Roman" w:hAnsi="Times New Roman"/>
          <w:b w:val="0"/>
          <w:i w:val="0"/>
          <w:sz w:val="24"/>
        </w:rPr>
        <w:t>[21] C.J. Bartel, C. Sutton, B.R. Goldsmith, C. Ophus, R. Ouyang, C.B. Musgrave, L.M. Ghiringhelli, M. Scheffler, Physical descriptor for the Gibbs energy of inorganic crystalline solids and temperature-dependent materials chemistry, Nat. Commun. 11 (2020) 6100. https://doi.org/10.1038/s41467-020-19908-0</w:t>
      </w:r>
    </w:p>
    <w:p>
      <w:pPr>
        <w:spacing w:line="480" w:lineRule="auto"/>
        <w:jc w:val="both"/>
      </w:pPr>
      <w:r>
        <w:rPr>
          <w:rFonts w:ascii="Times New Roman" w:hAnsi="Times New Roman"/>
          <w:b w:val="0"/>
          <w:i w:val="0"/>
          <w:sz w:val="24"/>
        </w:rPr>
        <w:t>[22] B. Efron, R.J. Tibshirani, An Introduction to the Bootstrap, Chapman &amp; Hall/CRC, 1993. https://doi.org/10.1201/9780429246593</w:t>
      </w:r>
    </w:p>
    <w:p>
      <w:pPr>
        <w:spacing w:line="480" w:lineRule="auto"/>
        <w:jc w:val="both"/>
      </w:pPr>
      <w:r>
        <w:rPr>
          <w:rFonts w:ascii="Times New Roman" w:hAnsi="Times New Roman"/>
          <w:b w:val="0"/>
          <w:i w:val="0"/>
          <w:sz w:val="24"/>
        </w:rPr>
        <w:t>[23] F. Wilcoxon, Individual comparisons by ranking methods, Biom. Bull. 1 (1945) 80–83. https://doi.org/10.2307/3001968</w:t>
      </w:r>
    </w:p>
    <w:p>
      <w:pPr>
        <w:spacing w:line="480" w:lineRule="auto"/>
        <w:jc w:val="both"/>
      </w:pPr>
      <w:r>
        <w:rPr>
          <w:rFonts w:ascii="Times New Roman" w:hAnsi="Times New Roman"/>
          <w:b w:val="0"/>
          <w:i w:val="0"/>
          <w:sz w:val="24"/>
        </w:rPr>
        <w:t>[24] S.M. Lundberg, S.-I. Lee, A unified approach to interpreting model predictions, in: Advances in Neural Information Processing Systems (NeurIPS), vol. 30, 2017. https://doi.org/10.48550/arXiv.1705.07874</w:t>
      </w:r>
    </w:p>
    <w:p>
      <w:pPr>
        <w:spacing w:line="480" w:lineRule="auto"/>
        <w:jc w:val="both"/>
      </w:pPr>
      <w:r>
        <w:rPr>
          <w:rFonts w:ascii="Times New Roman" w:hAnsi="Times New Roman"/>
          <w:b w:val="0"/>
          <w:i w:val="0"/>
          <w:sz w:val="24"/>
        </w:rPr>
        <w:t>[25] T. Akiba, S. Sano, T. Yanase, T. Ohta, M. Koyama, Optuna: A next-generation hyperparameter optimization framework, in: Proceedings of the 25th ACM SIGKDD International Conference on Knowledge Discovery &amp; Data Mining, 2019, pp. 2623–2631. https://doi.org/10.1145/3292500.3330701</w:t>
      </w:r>
    </w:p>
    <w:p>
      <w:pPr>
        <w:spacing w:line="480" w:lineRule="auto"/>
        <w:jc w:val="both"/>
      </w:pPr>
      <w:r>
        <w:rPr>
          <w:rFonts w:ascii="Times New Roman" w:hAnsi="Times New Roman"/>
          <w:b w:val="0"/>
          <w:i w:val="0"/>
          <w:sz w:val="24"/>
        </w:rPr>
        <w:t>[26] T. Hastie, R. Tibshirani, J. Friedman, The Elements of Statistical Learning, 2nd ed., Springer, 2009. https://doi.org/10.1007/978-0-387-84858-7</w:t>
      </w:r>
    </w:p>
    <w:p>
      <w:pPr>
        <w:spacing w:line="480" w:lineRule="auto"/>
        <w:jc w:val="both"/>
      </w:pPr>
      <w:r>
        <w:rPr>
          <w:rFonts w:ascii="Times New Roman" w:hAnsi="Times New Roman"/>
          <w:b w:val="0"/>
          <w:i w:val="0"/>
          <w:sz w:val="24"/>
        </w:rPr>
        <w:t>[27] A. Jain, S.P. Ong, G. Hautier, W. Chen, W.D. Richards, S. Dacek, S. Cholia, D. Gunter, D. Skinner, G. Ceder, K.A. Persson, Commentary: The Materials Project: A materials genome approach to accelerating materials innovation, APL Mater. 1 (2013) 011002. https://doi.org/10.1063/1.4812323</w:t>
      </w:r>
    </w:p>
    <w:p>
      <w:pPr>
        <w:spacing w:line="480" w:lineRule="auto"/>
        <w:jc w:val="both"/>
      </w:pPr>
      <w:r>
        <w:rPr>
          <w:rFonts w:ascii="Times New Roman" w:hAnsi="Times New Roman"/>
          <w:b w:val="0"/>
          <w:i w:val="0"/>
          <w:sz w:val="24"/>
        </w:rPr>
        <w:t>[28] S. Kirklin, J.E. Saal, B. Meredig, A. Thompson, J.W. Doak, M. Aykol, S. Rühl, C. Wolverton, Open Quantum Materials Database (OQMD), npj Comput. Mater. 1 (2015) 15010. https://doi.org/10.1038/npjcompumats.2015.10</w:t>
      </w:r>
    </w:p>
    <w:p>
      <w:pPr>
        <w:spacing w:line="480" w:lineRule="auto"/>
        <w:jc w:val="both"/>
      </w:pPr>
      <w:r>
        <w:rPr>
          <w:rFonts w:ascii="Times New Roman" w:hAnsi="Times New Roman"/>
          <w:b w:val="0"/>
          <w:i w:val="0"/>
          <w:sz w:val="24"/>
        </w:rPr>
        <w:t>[29] T. Xie, J.C. Grossman, Crystal graph convolutional neural networks for an accurate and interpretable prediction of material properties, Phys. Rev. Lett. 120 (2018) 145301. https://doi.org/10.1103/PhysRevLett.120.145301</w:t>
      </w:r>
    </w:p>
    <w:p>
      <w:pPr>
        <w:spacing w:line="480" w:lineRule="auto"/>
        <w:jc w:val="both"/>
      </w:pPr>
      <w:r>
        <w:rPr>
          <w:rFonts w:ascii="Times New Roman" w:hAnsi="Times New Roman"/>
          <w:b w:val="0"/>
          <w:i w:val="0"/>
          <w:sz w:val="24"/>
        </w:rPr>
        <w:t>[30] C. Chen, W. Ye, Y. Zuo, C. Zheng, S.P. Ong, Graph networks as a universal machine learning framework for molecules and crystals, Chem. Mater. 31 (2019) 3564–3572. https://doi.org/10.1021/acs.chemmater.9b01294</w:t>
      </w:r>
    </w:p>
    <w:p>
      <w:pPr>
        <w:spacing w:line="480" w:lineRule="auto"/>
        <w:jc w:val="both"/>
      </w:pPr>
      <w:r>
        <w:rPr>
          <w:rFonts w:ascii="Times New Roman" w:hAnsi="Times New Roman"/>
          <w:b w:val="0"/>
          <w:i w:val="0"/>
          <w:sz w:val="24"/>
        </w:rPr>
        <w:t>[31] P. Rajan, A. Gupta, T. Kumar, A.K. Jaiswal, Design and development of energy storage materials: An informatics approach, in: Energy Materials, Elsevier, 2021. https://doi.org/10.1016/B978-0-12-823733-6.00015-7</w:t>
      </w:r>
    </w:p>
    <w:p>
      <w:pPr>
        <w:spacing w:line="480" w:lineRule="auto"/>
        <w:jc w:val="both"/>
      </w:pPr>
      <w:r>
        <w:rPr>
          <w:rFonts w:ascii="Times New Roman" w:hAnsi="Times New Roman"/>
          <w:b w:val="0"/>
          <w:i w:val="0"/>
          <w:sz w:val="24"/>
        </w:rPr>
        <w:t>[32] J.E. Saal, S. Kirklin, M. Aykol, B. Meredig, C. Wolverton, Materials design and discovery with high-throughput density functional theory: The Open Quantum Materials Database (OQMD), JOM 65 (2013) 1501–1509. https://doi.org/10.1007/s11837-013-0755-4</w:t>
      </w:r>
    </w:p>
    <w:p>
      <w:pPr>
        <w:spacing w:line="480" w:lineRule="auto"/>
        <w:jc w:val="both"/>
      </w:pPr>
      <w:r>
        <w:rPr>
          <w:rFonts w:ascii="Times New Roman" w:hAnsi="Times New Roman"/>
          <w:b w:val="0"/>
          <w:i w:val="0"/>
          <w:sz w:val="24"/>
        </w:rPr>
        <w:t>[33] K.T. Butler, D.W. Davies, H. Cartwright, O. Isayev, A. Walsh, Machine learning for molecular and materials science, Nature 559 (2018) 547–555. https://doi.org/10.1038/s41586-018-0337-z</w:t>
      </w:r>
    </w:p>
    <w:p>
      <w:pPr>
        <w:spacing w:line="480" w:lineRule="auto"/>
        <w:jc w:val="both"/>
      </w:pPr>
      <w:r>
        <w:rPr>
          <w:rFonts w:ascii="Times New Roman" w:hAnsi="Times New Roman"/>
          <w:b w:val="0"/>
          <w:i w:val="0"/>
          <w:sz w:val="24"/>
        </w:rPr>
        <w:t>[34] A. Mansouri, P. Olsson, J. Crebolder, The Handbook of Materials Modeling, Springer, 2020. https://doi.org/10.1007/978-3-319-44680-6</w:t>
      </w:r>
    </w:p>
    <w:p>
      <w:pPr>
        <w:spacing w:line="480" w:lineRule="auto"/>
        <w:jc w:val="both"/>
      </w:pPr>
      <w:r>
        <w:rPr>
          <w:rFonts w:ascii="Times New Roman" w:hAnsi="Times New Roman"/>
          <w:b w:val="0"/>
          <w:i w:val="0"/>
          <w:sz w:val="24"/>
        </w:rPr>
        <w:t>[35] S.P. Ong, W.D. Richards, A. Jain, G. Hautier, M. Kocher, S. Cholia, D. Gunter, V.L. Chevrier, K.A. Persson, G. Ceder, Python Materials Genomics (pymatgen): A robust, open-source python library for materials analysis, Comput. Mater. Sci. 68 (2013) 314–319. https://doi.org/10.1016/j.commatsci.2012.10.028</w:t>
      </w:r>
    </w:p>
    <w:p>
      <w:pPr>
        <w:spacing w:line="480" w:lineRule="auto"/>
        <w:jc w:val="both"/>
      </w:pPr>
      <w:r>
        <w:rPr>
          <w:rFonts w:ascii="Times New Roman" w:hAnsi="Times New Roman"/>
          <w:b w:val="0"/>
          <w:i w:val="0"/>
          <w:sz w:val="24"/>
        </w:rPr>
        <w:t>[36] F. Pedregosa, G. Varoquaux, A. Gramfort, V. Michel, B. Thirion, O. Grisel, M. Blondel, P. Prettenhofer, R. Weiss, V. Dubourg, J. Vanderplas, A. Passos, D. Cournapeau, M. Brucher, M. Perrot, É. Duchesnay, Scikit-learn: Machine learning in Python, J. Mach. Learn. Res. 12 (2011) 2825–2830. https://doi.org/10.5555/1953048.2078195</w:t>
      </w:r>
    </w:p>
    <w:p>
      <w:pPr>
        <w:spacing w:line="480" w:lineRule="auto"/>
        <w:jc w:val="both"/>
      </w:pPr>
      <w:r>
        <w:rPr>
          <w:rFonts w:ascii="Times New Roman" w:hAnsi="Times New Roman"/>
          <w:b w:val="0"/>
          <w:i w:val="0"/>
          <w:sz w:val="24"/>
        </w:rPr>
        <w:t>[37] J.D. Hunter, Matplotlib: A 2D graphics environment, Comput. Sci. Eng. 9 (2007) 90–95. https://doi.org/10.1109/MCSE.2007.55</w:t>
      </w:r>
    </w:p>
    <w:p>
      <w:pPr>
        <w:spacing w:line="480" w:lineRule="auto"/>
        <w:jc w:val="both"/>
      </w:pPr>
      <w:r>
        <w:rPr>
          <w:rFonts w:ascii="Times New Roman" w:hAnsi="Times New Roman"/>
          <w:b w:val="0"/>
          <w:i w:val="0"/>
          <w:sz w:val="24"/>
        </w:rPr>
        <w:t>[38] S. Curtarolo, W. Setyawan, G.L.W. Hart, M. Jahnatek, R.V. Chepulskii, R.H. Taylor, S. Wang, J. Xue, K. Yang, O. Levy, M.J. Mehl, H.T. Stokes, D.O. Demchenko, D. Morgan, AFLOW: An automatic framework for high-throughput materials discovery, Comput. Mater. Sci. 58 (2012) 218–226. https://doi.org/10.1016/j.commatsci.2012.02.005</w:t>
      </w:r>
    </w:p>
    <w:p>
      <w:pPr>
        <w:spacing w:line="480" w:lineRule="auto"/>
        <w:jc w:val="both"/>
      </w:pPr>
      <w:r>
        <w:rPr>
          <w:rFonts w:ascii="Times New Roman" w:hAnsi="Times New Roman"/>
          <w:b w:val="0"/>
          <w:i w:val="0"/>
          <w:sz w:val="24"/>
        </w:rPr>
        <w:t>[39] R.K. Vasudevan, K. Choudhary, A. Mehta, R. Pachter, S.V. Kalinin, M. Chi, Physics-informed machine learning for materials discovery, MRS Commun. 11 (2021) 611–622. https://doi.org/10.1557/s43579-021-00050-5</w:t>
      </w:r>
    </w:p>
    <w:p>
      <w:pPr>
        <w:spacing w:line="480" w:lineRule="auto"/>
        <w:jc w:val="both"/>
      </w:pPr>
      <w:r>
        <w:rPr>
          <w:rFonts w:ascii="Times New Roman" w:hAnsi="Times New Roman"/>
          <w:b w:val="0"/>
          <w:i w:val="0"/>
          <w:sz w:val="24"/>
        </w:rPr>
        <w:t>[40] A. Ziletti, D. Kumar, M. Scheffler, L.M. Ghiringhelli, Insightful classification of crystal structures by deep learning, Nat. Commun. 9 (2018) 2775. https://doi.org/10.1038/s41467-018-05169-6</w:t>
      </w:r>
    </w:p>
    <w:p>
      <w:r>
        <w:br w:type="page"/>
      </w:r>
    </w:p>
    <w:p>
      <w:pPr>
        <w:spacing w:line="480" w:lineRule="auto" w:before="240"/>
      </w:pPr>
      <w:r>
        <w:rPr>
          <w:rFonts w:ascii="Times New Roman" w:hAnsi="Times New Roman"/>
          <w:b/>
          <w:sz w:val="28"/>
        </w:rPr>
        <w:t>Figure Captions</w:t>
      </w:r>
    </w:p>
    <w:p>
      <w:pPr>
        <w:spacing w:line="480" w:lineRule="auto"/>
        <w:jc w:val="both"/>
      </w:pPr>
      <w:r>
        <w:rPr>
          <w:rFonts w:ascii="Times New Roman" w:hAnsi="Times New Roman"/>
          <w:b w:val="0"/>
          <w:i w:val="0"/>
          <w:sz w:val="24"/>
        </w:rPr>
        <w:t>Fig. 1. Overview of the uncertainty-aware prediction framework (PACT-Final). Input features feed a physics-informed point predictor (KernelRidge baseline + GBDT stacking residual) and, independently, a conditional conformal interval (CQR) plus applicability domain (sigma/k-NN/leverage). Output includes point estimate, adaptive 80% interval, and trust label.</w:t>
      </w:r>
    </w:p>
    <w:p>
      <w:pPr>
        <w:spacing w:line="480" w:lineRule="auto"/>
        <w:jc w:val="both"/>
      </w:pPr>
      <w:r>
        <w:rPr>
          <w:rFonts w:ascii="Times New Roman" w:hAnsi="Times New Roman"/>
          <w:b w:val="0"/>
          <w:i w:val="0"/>
          <w:sz w:val="24"/>
        </w:rPr>
        <w:t>Fig. 2. Parity plots of predicted vs. DFT values for (a) formation energy and (b) energy above hull. Points colored by ensemble sigma. Dashed line: y = x. R-squared and MAE annotated.</w:t>
      </w:r>
    </w:p>
    <w:p>
      <w:pPr>
        <w:spacing w:line="480" w:lineRule="auto"/>
        <w:jc w:val="both"/>
      </w:pPr>
      <w:r>
        <w:rPr>
          <w:rFonts w:ascii="Times New Roman" w:hAnsi="Times New Roman"/>
          <w:b w:val="0"/>
          <w:i w:val="0"/>
          <w:sz w:val="24"/>
        </w:rPr>
        <w:t>Fig. 3. Reliability diagrams showing empirical coverage per uncertainty decile for standard split conformal vs. CQR. Dotted line: nominal 0.80 coverage. CQR tracks the nominal level more uniformly.</w:t>
      </w:r>
    </w:p>
    <w:p>
      <w:pPr>
        <w:spacing w:line="480" w:lineRule="auto"/>
        <w:jc w:val="both"/>
      </w:pPr>
      <w:r>
        <w:rPr>
          <w:rFonts w:ascii="Times New Roman" w:hAnsi="Times New Roman"/>
          <w:b w:val="0"/>
          <w:i w:val="0"/>
          <w:sz w:val="24"/>
        </w:rPr>
        <w:t>Fig. 4. Applicability domain visualization. Predicted value vs. absolute error, colored by trusted (sigma &lt; median) vs. untrusted regions.</w:t>
      </w:r>
    </w:p>
    <w:p>
      <w:pPr>
        <w:spacing w:line="480" w:lineRule="auto"/>
        <w:jc w:val="both"/>
      </w:pPr>
      <w:r>
        <w:rPr>
          <w:rFonts w:ascii="Times New Roman" w:hAnsi="Times New Roman"/>
          <w:b w:val="0"/>
          <w:i w:val="0"/>
          <w:sz w:val="24"/>
        </w:rPr>
        <w:t>Fig. 5. Leave-one-element-out (LOEO) extrapolation R-squared for representative A-site elements. Pure ML vs. SR + ML.</w:t>
      </w:r>
    </w:p>
    <w:p>
      <w:pPr>
        <w:spacing w:line="480" w:lineRule="auto"/>
        <w:jc w:val="both"/>
      </w:pPr>
      <w:r>
        <w:rPr>
          <w:rFonts w:ascii="Times New Roman" w:hAnsi="Times New Roman"/>
          <w:b w:val="0"/>
          <w:i w:val="0"/>
          <w:sz w:val="24"/>
        </w:rPr>
        <w:t>Fig. 6. (a) LightGBM SHAP feature importance (top-15) and (b) symbolic regression consensus frequency for physics descriptors.</w:t>
      </w:r>
    </w:p>
    <w:p>
      <w:pPr>
        <w:spacing w:line="480" w:lineRule="auto"/>
        <w:jc w:val="both"/>
      </w:pPr>
      <w:r>
        <w:rPr>
          <w:rFonts w:ascii="Times New Roman" w:hAnsi="Times New Roman"/>
          <w:b w:val="0"/>
          <w:i w:val="0"/>
          <w:sz w:val="24"/>
        </w:rPr>
        <w:t>Graphical Abstract. Vertical workflow summarizing the framework from input perovskite compounds to reliability-annotated stability predictions.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