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Uncertainty-Aware Prediction of Perovskite Oxide Stability with Conditional Conformal Intervals and Applicability-Domain Guidance</w:t>
      </w:r>
    </w:p>
    <w:p>
      <w:pPr>
        <w:spacing w:line="480" w:lineRule="auto"/>
        <w:jc w:val="both"/>
      </w:pPr>
      <w:r>
        <w:rPr>
          <w:rFonts w:ascii="Times New Roman" w:hAnsi="Times New Roman"/>
          <w:b w:val="0"/>
          <w:i w:val="0"/>
          <w:sz w:val="24"/>
        </w:rPr>
        <w:t>Author: Xumingyong Feng</w:t>
      </w:r>
    </w:p>
    <w:p>
      <w:pPr>
        <w:spacing w:line="480" w:lineRule="auto"/>
        <w:jc w:val="both"/>
      </w:pPr>
      <w:r>
        <w:rPr>
          <w:rFonts w:ascii="Times New Roman" w:hAnsi="Times New Roman"/>
          <w:b w:val="0"/>
          <w:i w:val="0"/>
          <w:sz w:val="24"/>
        </w:rPr>
        <w:t>Affiliation: Weiyang College, Tsinghua University, Beijing 100084, China</w:t>
      </w:r>
    </w:p>
    <w:p>
      <w:pPr>
        <w:spacing w:line="480" w:lineRule="auto"/>
        <w:jc w:val="both"/>
      </w:pPr>
      <w:r>
        <w:rPr>
          <w:rFonts w:ascii="Times New Roman" w:hAnsi="Times New Roman"/>
          <w:b w:val="0"/>
          <w:i w:val="0"/>
          <w:sz w:val="24"/>
        </w:rPr>
        <w:t>Corresponding author: Xumingyong Feng (fxmy23@mails.tsinghua.edu.cn)</w:t>
      </w:r>
    </w:p>
    <w:p>
      <w:pPr>
        <w:spacing w:line="480" w:lineRule="auto"/>
        <w:jc w:val="both"/>
      </w:pPr>
      <w:r>
        <w:rPr>
          <w:rFonts w:ascii="Times New Roman" w:hAnsi="Times New Roman"/>
          <w:b w:val="0"/>
          <w:i w:val="0"/>
          <w:sz w:val="24"/>
        </w:rPr>
        <w:t>Target journal: Computational Materials Science (Elsevier)</w:t>
      </w:r>
    </w:p>
    <w:p>
      <w:pPr>
        <w:spacing w:line="480" w:lineRule="auto"/>
        <w:jc w:val="both"/>
      </w:pPr>
      <w:r>
        <w:rPr>
          <w:rFonts w:ascii="Times New Roman" w:hAnsi="Times New Roman"/>
          <w:b w:val="0"/>
          <w:i w:val="0"/>
          <w:sz w:val="24"/>
        </w:rPr>
        <w:t>Machine learning (ML) accelerates the discovery of ABO₃ perovskite oxides, yet most existing models provide only point predictions without quantifying when they can be trusted—a critical gap for high-throughput screening where false positives waste costly DFT verification. We present an uncertainty-aware prediction framework for perovskite formation energy and thermodynamic stability (energy above hull) that combines (i) a physics-informed point predictor (KernelRidge physics baseline + gradient-boosted-decision-tree stacking residual), (ii) Conformalized Quantile Regression (CQR) providing sample-adaptive prediction intervals with finite-sample coverage guarantees, (iii) a multi-method applicability domain (ensemble σ, k-NN distance, leverage) delimiting the trusted region, and (iv) symbolic regression consensus validating known chemistry (A-site electronegativity appears in 100% of discovered equations). On 4,914 perovskites, the framework achieves R² = 0.914 (formation energy) and 0.800 (hull energy), with CQR reducing the expected calibration error by 43–60% relative to standard split conformal under fair comparison.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SNR = 2.61; hull energy fails at SNR = 0.94), and the role of the physics baseline as an interpretability anchor rather than an accuracy contributor.</w:t>
      </w:r>
    </w:p>
    <w:p>
      <w:pPr>
        <w:spacing w:line="480" w:lineRule="auto"/>
        <w:jc w:val="both"/>
      </w:pPr>
      <w:r>
        <w:rPr>
          <w:rFonts w:ascii="Times New Roman" w:hAnsi="Times New Roman"/>
          <w:b w:val="0"/>
          <w:i w:val="0"/>
          <w:sz w:val="24"/>
        </w:rPr>
        <w:t>Keywords: perovskite oxides; formation energy; conformal prediction; applicability domain; symbolic regression; materials informatics</w:t>
      </w:r>
    </w:p>
    <w:p>
      <w:pPr>
        <w:spacing w:line="480" w:lineRule="auto" w:before="240"/>
      </w:pPr>
      <w:r>
        <w:rPr>
          <w:rFonts w:ascii="Times New Roman" w:hAnsi="Times New Roman"/>
          <w:b/>
          <w:sz w:val="28"/>
        </w:rPr>
        <w:t>1. Introduction</w:t>
      </w:r>
    </w:p>
    <w:p>
      <w:pPr>
        <w:spacing w:line="480" w:lineRule="auto"/>
        <w:jc w:val="both"/>
      </w:pPr>
      <w:r>
        <w:rPr>
          <w:rFonts w:ascii="Times New Roman" w:hAnsi="Times New Roman"/>
          <w:b w:val="0"/>
          <w:i w:val="0"/>
          <w:sz w:val="24"/>
        </w:rPr>
        <w:t>ABO₃ perovskite oxides constitute one of the most versatile families of functional materials, exhibiting catalytic activity [ref], ferroelectricity [ref], superconductivity [ref], and ionic conductivity [ref]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expensive—each DFT relaxation consumes hours to days of computation. Machine learning (ML) has emerged as a powerful accelerator: descriptor-based regressors trained on existing DFT databases can predict formation energy and thermodynamic stability (energy above the convex hull, E_hull) in milliseconds, enabling high-throughput pre-screening before DFT verification [Emery 2018; Saad 2021 npj review].</w:t>
      </w:r>
    </w:p>
    <w:p>
      <w:pPr>
        <w:spacing w:line="480" w:lineRule="auto"/>
        <w:jc w:val="both"/>
      </w:pPr>
      <w:r>
        <w:rPr>
          <w:rFonts w:ascii="Times New Roman" w:hAnsi="Times New Roman"/>
          <w:b w:val="0"/>
          <w:i w:val="0"/>
          <w:sz w:val="24"/>
        </w:rPr>
        <w:t>Recent advances have pushed prediction accuracy substantially. [MDPI Materials 2025] achieved R² = 0.928 for ABX₃ formation energy using SHAP-guided feature selection and meta-heuristic hyperparameter tuning; [RSC Adv 2024] demonstrated interpretable ML screening of perovskite oxides with stability classification and regression; [J. Phys. Chem. C 2024] compared descriptor ML against crystal-graph neural networks.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Without per-sample uncertainty and an applicability domain (AD), experimentalists cannot distinguish these cases, and high-throughput pipelines accumulate false positives that waste DFT budget.</w:t>
      </w:r>
    </w:p>
    <w:p>
      <w:pPr>
        <w:spacing w:line="480" w:lineRule="auto"/>
        <w:jc w:val="both"/>
      </w:pPr>
      <w:r>
        <w:rPr>
          <w:rFonts w:ascii="Times New Roman" w:hAnsi="Times New Roman"/>
          <w:b w:val="0"/>
          <w:i w:val="0"/>
          <w:sz w:val="24"/>
        </w:rPr>
        <w:t>Conformal prediction [Vovk 2005; Shafer &amp; Vovk 2008] offers a principled remedy: it wraps any point predictor with prediction intervals that satisfy a finite-sample, distribution-free marginal coverage guarantee (P(y ∈ C(X)) ≥ 1 − α). Conformalized Quantile Regression (CQR) [Romano et al. 2019 NeurIPS] further yields heteroscedastic intervals whose width adapts to sample-level uncertainty—wide for extrapolation samples, narrow for interpolation—while preserving the coverage guarantee. Despite their maturity in statistics and growing adoption in clinical/ML venues [ICML 2025; ICLR 2025], conditional conformal methods have seen limited application in materials informatics, where ensemble variance and heuristic confidence scores remain the norm. Similarly, applicability-domain methods (leverage/Williams plots, k-NN distance) are standard in cheminformatics QSAR [Netzeva 2005] but rarely applied to inorganic perovskite stability models.</w:t>
      </w:r>
    </w:p>
    <w:p>
      <w:pPr>
        <w:spacing w:line="480" w:lineRule="auto"/>
        <w:jc w:val="both"/>
      </w:pPr>
      <w:r>
        <w:rPr>
          <w:rFonts w:ascii="Times New Roman" w:hAnsi="Times New Roman"/>
          <w:b w:val="0"/>
          <w:i w:val="0"/>
          <w:sz w:val="24"/>
        </w:rPr>
        <w:t>Symbolic regression (SR) offers a complementary, interpretability-focused tool: it searches the space of mathematical expressions to discover closed-form equations relating descriptors to targets [Cranmer 2023 PySR; Ouyang 2018 SISSO]. While SR equations are non-unique and require consensus analysis across runs, they provide a human-readable counterpoint to black-box ML feature attributions and can validate whether the model has captured physically meaningful structure–property relationships.</w:t>
      </w:r>
    </w:p>
    <w:p>
      <w:pPr>
        <w:spacing w:line="480" w:lineRule="auto"/>
        <w:jc w:val="both"/>
      </w:pPr>
      <w:r>
        <w:rPr>
          <w:rFonts w:ascii="Times New Roman" w:hAnsi="Times New Roman"/>
          <w:b w:val="0"/>
          <w:i w:val="0"/>
          <w:sz w:val="24"/>
        </w:rPr>
        <w:t>In this work, we integrate these four components into a unified framework—uncertainty-aware perovskite stability prediction with conditional conformal intervals and applicability-domain guidance—and evaluate it on 4,914 ABO₃ perovskites from the wolverton_oxides dataset. Our contributions are:</w:t>
      </w:r>
    </w:p>
    <w:p>
      <w:pPr>
        <w:spacing w:line="480" w:lineRule="auto"/>
        <w:jc w:val="both"/>
      </w:pPr>
      <w:r>
        <w:rPr>
          <w:rFonts w:ascii="Times New Roman" w:hAnsi="Times New Roman"/>
          <w:b w:val="0"/>
          <w:i w:val="0"/>
          <w:sz w:val="24"/>
        </w:rPr>
        <w:t>1. Conditional coverage via CQR. We apply CQR (Romano et al., 2019) to perovskite stability prediction and demonstrate, under a fair same-family baseline, a 43–60% reduction in expected calibration error (ECE) relative to standard split conformal—yielding sample-adaptive intervals whose conditional coverage more closely matches the nominal level.</w:t>
      </w:r>
    </w:p>
    <w:p>
      <w:pPr>
        <w:spacing w:line="480" w:lineRule="auto"/>
        <w:jc w:val="both"/>
      </w:pPr>
      <w:r>
        <w:rPr>
          <w:rFonts w:ascii="Times New Roman" w:hAnsi="Times New Roman"/>
          <w:b w:val="0"/>
          <w:i w:val="0"/>
          <w:sz w:val="24"/>
        </w:rPr>
        <w:t>2. Multi-method applicability domain. We compare three AD criteria (ensemble σ, k-NN distance, PCA leverage) and show the trusted region achieves R² = 0.945 vs. 0.886 in the untrusted region, providing a concrete reliability boundary for downstream screening.</w:t>
      </w:r>
    </w:p>
    <w:p>
      <w:pPr>
        <w:spacing w:line="480" w:lineRule="auto"/>
        <w:jc w:val="both"/>
      </w:pPr>
      <w:r>
        <w:rPr>
          <w:rFonts w:ascii="Times New Roman" w:hAnsi="Times New Roman"/>
          <w:b w:val="0"/>
          <w:i w:val="0"/>
          <w:sz w:val="24"/>
        </w:rPr>
        <w:t>3. Extrapolation assessment via LOEO. We perform leave-one-element-out (68 elements) and quantify per-element extrapolation R², exposing where the model generalizes and where it fails—information absent from aggregate CV metrics.</w:t>
      </w:r>
    </w:p>
    <w:p>
      <w:pPr>
        <w:spacing w:line="480" w:lineRule="auto"/>
        <w:jc w:val="both"/>
      </w:pPr>
      <w:r>
        <w:rPr>
          <w:rFonts w:ascii="Times New Roman" w:hAnsi="Times New Roman"/>
          <w:b w:val="0"/>
          <w:i w:val="0"/>
          <w:sz w:val="24"/>
        </w:rPr>
        <w:t>4. Symbolic regression consensus as a chemistry cross-check. Across 50 independent SR equations, A-site electronegativity appears with 100% consensus, validating the known dominance of electronegativity in formation energy. We further derive an empirical SR applicability criterion (SNR ≥ 2) by comparing formation energy (success) and hull energy (failure), and discuss its boundary frankly.</w:t>
      </w:r>
    </w:p>
    <w:p>
      <w:pPr>
        <w:spacing w:line="480" w:lineRule="auto"/>
        <w:jc w:val="both"/>
      </w:pPr>
      <w:r>
        <w:rPr>
          <w:rFonts w:ascii="Times New Roman" w:hAnsi="Times New Roman"/>
          <w:b w:val="0"/>
          <w:i w:val="0"/>
          <w:sz w:val="24"/>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pPr>
        <w:spacing w:line="480" w:lineRule="auto" w:before="240"/>
      </w:pPr>
      <w:r>
        <w:rPr>
          <w:rFonts w:ascii="Times New Roman" w:hAnsi="Times New Roman"/>
          <w:b/>
          <w:sz w:val="28"/>
        </w:rPr>
        <w:t>2. Methods</w:t>
      </w:r>
    </w:p>
    <w:p>
      <w:pPr>
        <w:spacing w:line="480" w:lineRule="auto" w:before="240"/>
      </w:pPr>
      <w:r>
        <w:rPr>
          <w:rFonts w:ascii="Times New Roman" w:hAnsi="Times New Roman"/>
          <w:b/>
          <w:sz w:val="24"/>
        </w:rPr>
        <w:t>2.1 Dataset</w:t>
      </w:r>
    </w:p>
    <w:p>
      <w:pPr>
        <w:spacing w:line="480" w:lineRule="auto"/>
        <w:jc w:val="both"/>
      </w:pPr>
      <w:r>
        <w:rPr>
          <w:rFonts w:ascii="Times New Roman" w:hAnsi="Times New Roman"/>
          <w:b w:val="0"/>
          <w:i w:val="0"/>
          <w:sz w:val="24"/>
        </w:rPr>
        <w:t>We use the wolverton_oxides dataset (4,914 cubic/tilted ABO₃ perovskites), distributed via the matminer library [Ward 2018]. Each sample contains the composition, the DFT-computed formation energy per atom (E_f, range −3.8 to +1.9 eV/atom) and the energy above the convex hull (E_hull, range 0 to +3.9 eV/atom, non-negative by definition). All 4,914 formulas are unique. The dataset originates from a single high-throughput DFT study; this single-source limitation and its implications for cross-dataset generalization are discussed in §5.</w:t>
      </w:r>
    </w:p>
    <w:p>
      <w:pPr>
        <w:spacing w:line="480" w:lineRule="auto" w:before="240"/>
      </w:pPr>
      <w:r>
        <w:rPr>
          <w:rFonts w:ascii="Times New Roman" w:hAnsi="Times New Roman"/>
          <w:b/>
          <w:sz w:val="24"/>
        </w:rPr>
        <w:t>2.2 Feature engineering</w:t>
      </w:r>
    </w:p>
    <w:p>
      <w:pPr>
        <w:spacing w:line="480" w:lineRule="auto"/>
        <w:jc w:val="both"/>
      </w:pPr>
      <w:r>
        <w:rPr>
          <w:rFonts w:ascii="Times New Roman" w:hAnsi="Times New Roman"/>
          <w:b w:val="0"/>
          <w:i w:val="0"/>
          <w:sz w:val="24"/>
        </w:rPr>
        <w:t>Each composition is described by 113 features combining:</w:t>
      </w:r>
    </w:p>
    <w:p>
      <w:pPr>
        <w:spacing w:line="480" w:lineRule="auto"/>
        <w:jc w:val="both"/>
      </w:pPr>
      <w:r>
        <w:rPr>
          <w:rFonts w:ascii="Times New Roman" w:hAnsi="Times New Roman"/>
          <w:b w:val="0"/>
          <w:i w:val="0"/>
          <w:sz w:val="24"/>
        </w:rPr>
        <w:t>- 96 Magpie statistical descriptors [Ward 2016] computed via a pure-pymatgen reimplementation (elemental properties—atomic number, electronegativity, atomic radius, row, group, valence, etc.—aggregated by composition-weighted mean, avg-dev, mode, minimum, maximum).</w:t>
      </w:r>
    </w:p>
    <w:p>
      <w:pPr>
        <w:spacing w:line="480" w:lineRule="auto"/>
        <w:jc w:val="both"/>
      </w:pPr>
      <w:r>
        <w:rPr>
          <w:rFonts w:ascii="Times New Roman" w:hAnsi="Times New Roman"/>
          <w:b w:val="0"/>
          <w:i w:val="0"/>
          <w:sz w:val="24"/>
        </w:rPr>
        <w:t>- 14 physics-informed descriptors with explicit perovskite meaning: Goldschmidt tolerance factor t = (r_A + r_O)/(√2(r_B + r_O)), octahedral factor μ = r_B/r_O, A/B electronegativity difference, A/B ionic radius ratio, B-site valence, A/B ionic radii, A/B electronegativities, B-site row/group, and A/B-site d-/f-electron counts. Ionic radii use Shannon 12-/6-coordination tables with pymatgen fallback.</w:t>
      </w:r>
    </w:p>
    <w:p>
      <w:pPr>
        <w:spacing w:line="480" w:lineRule="auto"/>
        <w:jc w:val="both"/>
      </w:pPr>
      <w:r>
        <w:rPr>
          <w:rFonts w:ascii="Times New Roman" w:hAnsi="Times New Roman"/>
          <w:b w:val="0"/>
          <w:i w:val="0"/>
          <w:sz w:val="24"/>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pPr>
        <w:spacing w:line="480" w:lineRule="auto" w:before="240"/>
      </w:pPr>
      <w:r>
        <w:rPr>
          <w:rFonts w:ascii="Times New Roman" w:hAnsi="Times New Roman"/>
          <w:b/>
          <w:sz w:val="24"/>
        </w:rPr>
        <w:t>2.3 Physics-informed point predictor</w:t>
      </w:r>
    </w:p>
    <w:p>
      <w:pPr>
        <w:spacing w:line="480" w:lineRule="auto"/>
        <w:jc w:val="both"/>
      </w:pPr>
      <w:r>
        <w:rPr>
          <w:rFonts w:ascii="Times New Roman" w:hAnsi="Times New Roman"/>
          <w:b w:val="0"/>
          <w:i w:val="0"/>
          <w:sz w:val="24"/>
        </w:rPr>
        <w:t>The point prediction adopts a two-stage residual architecture [Residual-Aware Stacking; SSRN 2025]:</w:t>
      </w:r>
    </w:p>
    <w:p>
      <w:pPr>
        <w:spacing w:line="480" w:lineRule="auto"/>
        <w:jc w:val="both"/>
      </w:pPr>
      <w:r>
        <w:rPr>
          <w:rFonts w:ascii="Times New Roman" w:hAnsi="Times New Roman"/>
          <w:b w:val="0"/>
          <w:i w:val="0"/>
          <w:sz w:val="24"/>
        </w:rPr>
        <w:t>1. Physics baseline μ_p: KernelRidge (RBF kernel, α = 1.0, γ = 0.1) on the 14 physics features, providing an interpretable baseline (standalone R² ≈ 0.77 for formation energy, 0.58 for hull energy).</w:t>
      </w:r>
    </w:p>
    <w:p>
      <w:pPr>
        <w:spacing w:line="480" w:lineRule="auto"/>
        <w:jc w:val="both"/>
      </w:pPr>
      <w:r>
        <w:rPr>
          <w:rFonts w:ascii="Times New Roman" w:hAnsi="Times New Roman"/>
          <w:b w:val="0"/>
          <w:i w:val="0"/>
          <w:sz w:val="24"/>
        </w:rPr>
        <w:t>2. ML residual μ_r: a stacking ensemble of three gradient-boosted-decision-tree (GBDT) base learners—LightGBM (leaf-wise), XGBoost (level-wise), and scikit-learn HistGradientBoosting (histogram-based)—combined by a Ridge meta-learner, trained on the residual (y − μ_p) using the full 110 features.</w:t>
      </w:r>
    </w:p>
    <w:p>
      <w:pPr>
        <w:spacing w:line="480" w:lineRule="auto"/>
        <w:jc w:val="both"/>
      </w:pPr>
      <w:r>
        <w:rPr>
          <w:rFonts w:ascii="Times New Roman" w:hAnsi="Times New Roman"/>
          <w:b w:val="0"/>
          <w:i w:val="0"/>
          <w:sz w:val="24"/>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pPr>
        <w:spacing w:line="480" w:lineRule="auto"/>
        <w:jc w:val="both"/>
      </w:pPr>
      <w:r>
        <w:rPr>
          <w:rFonts w:ascii="Times New Roman" w:hAnsi="Times New Roman"/>
          <w:b w:val="0"/>
          <w:i w:val="0"/>
          <w:sz w:val="24"/>
        </w:rPr>
        <w:t>Hyperparameters for the GBDT base learners were selected by Optuna (TPE sampler, 25 trials, 3-fold inner CV). We note that hyperparameter selection on the full dataset incurs a small optimistic bias: nested CV estimates ~0.005 R² inflation, within the bootstrap confidence interval reported in §3.</w:t>
      </w:r>
    </w:p>
    <w:p>
      <w:pPr>
        <w:spacing w:line="480" w:lineRule="auto" w:before="240"/>
      </w:pPr>
      <w:r>
        <w:rPr>
          <w:rFonts w:ascii="Times New Roman" w:hAnsi="Times New Roman"/>
          <w:b/>
          <w:sz w:val="24"/>
        </w:rPr>
        <w:t>2.4 Conditional conformal prediction (CQR)</w:t>
      </w:r>
    </w:p>
    <w:p>
      <w:pPr>
        <w:spacing w:line="480" w:lineRule="auto"/>
        <w:jc w:val="both"/>
      </w:pPr>
      <w:r>
        <w:rPr>
          <w:rFonts w:ascii="Times New Roman" w:hAnsi="Times New Roman"/>
          <w:b w:val="0"/>
          <w:i w:val="0"/>
          <w:sz w:val="24"/>
        </w:rPr>
        <w:t>Uncertainty quantification uses Conformalized Quantile Regression (CQR; Romano et al., 2019), which combines the adaptivity of quantile regression with the finite-sample coverage guarantee of split conformal. The procedure, applied within each outer CV fold:</w:t>
      </w:r>
    </w:p>
    <w:p>
      <w:pPr>
        <w:spacing w:line="480" w:lineRule="auto"/>
        <w:jc w:val="both"/>
      </w:pPr>
      <w:r>
        <w:rPr>
          <w:rFonts w:ascii="Times New Roman" w:hAnsi="Times New Roman"/>
          <w:b w:val="0"/>
          <w:i w:val="0"/>
          <w:sz w:val="24"/>
        </w:rPr>
        <w:t>1. Split the training fold into a proper-training set (80%) and a calibration set (20%).</w:t>
      </w:r>
    </w:p>
    <w:p>
      <w:pPr>
        <w:spacing w:line="480" w:lineRule="auto"/>
        <w:jc w:val="both"/>
      </w:pPr>
      <w:r>
        <w:rPr>
          <w:rFonts w:ascii="Times New Roman" w:hAnsi="Times New Roman"/>
          <w:b w:val="0"/>
          <w:i w:val="0"/>
          <w:sz w:val="24"/>
        </w:rPr>
        <w:t>2. Fit two LightGBM quantile regressors on the proper-training set: q̂_0.10(X) and q̂_0.90(X).</w:t>
      </w:r>
    </w:p>
    <w:p>
      <w:pPr>
        <w:spacing w:line="480" w:lineRule="auto"/>
        <w:jc w:val="both"/>
      </w:pPr>
      <w:r>
        <w:rPr>
          <w:rFonts w:ascii="Times New Roman" w:hAnsi="Times New Roman"/>
          <w:b w:val="0"/>
          <w:i w:val="0"/>
          <w:sz w:val="24"/>
        </w:rPr>
        <w:t>3. Compute non-conformity scores on the calibration set: s_i = max(q̂_0.10(x_i) − y_i, y_i − q̂_0.90(x_i)).</w:t>
      </w:r>
    </w:p>
    <w:p>
      <w:pPr>
        <w:spacing w:line="480" w:lineRule="auto"/>
        <w:jc w:val="both"/>
      </w:pPr>
      <w:r>
        <w:rPr>
          <w:rFonts w:ascii="Times New Roman" w:hAnsi="Times New Roman"/>
          <w:b w:val="0"/>
          <w:i w:val="0"/>
          <w:sz w:val="24"/>
        </w:rPr>
        <w:t>4. Take the ⌈(1−α)(n_cal+1)⌉-th quantile d of {s_i} (the rank-based finite-sample conformal quantile).</w:t>
      </w:r>
    </w:p>
    <w:p>
      <w:pPr>
        <w:spacing w:line="480" w:lineRule="auto"/>
        <w:jc w:val="both"/>
      </w:pPr>
      <w:r>
        <w:rPr>
          <w:rFonts w:ascii="Times New Roman" w:hAnsi="Times New Roman"/>
          <w:b w:val="0"/>
          <w:i w:val="0"/>
          <w:sz w:val="24"/>
        </w:rPr>
        <w:t>5. Prediction interval for test samples: C(X) = [q̂_0.10(X) − d, q̂_0.90(X) + d].</w:t>
      </w:r>
    </w:p>
    <w:p>
      <w:pPr>
        <w:spacing w:line="480" w:lineRule="auto"/>
        <w:jc w:val="both"/>
      </w:pPr>
      <w:r>
        <w:rPr>
          <w:rFonts w:ascii="Times New Roman" w:hAnsi="Times New Roman"/>
          <w:b w:val="0"/>
          <w:i w:val="0"/>
          <w:sz w:val="24"/>
        </w:rPr>
        <w:t>Theoretical guarantee. Under exchangeability of (calibration, test), the marginal coverage satisfies P(y ∈ C(X)) ≥ 1 − α for any α, with no distributional assumptions (Vovk et al., 2005). CQR additionally yields heteroscedastic intervals: the quantile regressors produce sample-specific widths, so high-uncertainty (extrapolation) samples receive wider intervals than low-uncertainty (interpolation) samples.</w:t>
      </w:r>
    </w:p>
    <w:p>
      <w:pPr>
        <w:spacing w:line="480" w:lineRule="auto"/>
        <w:jc w:val="both"/>
      </w:pPr>
      <w:r>
        <w:rPr>
          <w:rFonts w:ascii="Times New Roman" w:hAnsi="Times New Roman"/>
          <w:b w:val="0"/>
          <w:i w:val="0"/>
          <w:sz w:val="24"/>
        </w:rPr>
        <w:t>Decoupling design. The CQR interval is calibrated independently of the stacking point predictor (§2.3), following the conformal prediction philosophy that the interval need not derive from the same model as the point estimate (Romano et al., 2019; Romano, Patterson &amp; Candès, 2019). Consequently, the point prediction may occasionally fall outside its 80% CQR interval (~9% of samples); this is consistent with the marginal guarantee (which concerns y, not the point estimate) but introduces a practical tension discussed in §5.</w:t>
      </w:r>
    </w:p>
    <w:p>
      <w:pPr>
        <w:spacing w:line="480" w:lineRule="auto"/>
        <w:jc w:val="both"/>
      </w:pPr>
      <w:r>
        <w:rPr>
          <w:rFonts w:ascii="Times New Roman" w:hAnsi="Times New Roman"/>
          <w:b w:val="0"/>
          <w:i w:val="0"/>
          <w:sz w:val="24"/>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pPr>
        <w:spacing w:line="480" w:lineRule="auto"/>
        <w:jc w:val="both"/>
      </w:pPr>
      <w:r>
        <w:rPr>
          <w:rFonts w:ascii="Times New Roman" w:hAnsi="Times New Roman"/>
          <w:b w:val="0"/>
          <w:i w:val="0"/>
          <w:sz w:val="24"/>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pPr>
        <w:spacing w:line="480" w:lineRule="auto" w:before="240"/>
      </w:pPr>
      <w:r>
        <w:rPr>
          <w:rFonts w:ascii="Times New Roman" w:hAnsi="Times New Roman"/>
          <w:b/>
          <w:sz w:val="24"/>
        </w:rPr>
        <w:t>2.5 Applicability domain</w:t>
      </w:r>
    </w:p>
    <w:p>
      <w:pPr>
        <w:spacing w:line="480" w:lineRule="auto"/>
        <w:jc w:val="both"/>
      </w:pPr>
      <w:r>
        <w:rPr>
          <w:rFonts w:ascii="Times New Roman" w:hAnsi="Times New Roman"/>
          <w:b w:val="0"/>
          <w:i w:val="0"/>
          <w:sz w:val="24"/>
        </w:rPr>
        <w:t>Three AD criteria delimit the trusted region, computed within each CV fold (no leakage):</w:t>
      </w:r>
    </w:p>
    <w:p>
      <w:pPr>
        <w:spacing w:line="480" w:lineRule="auto"/>
        <w:jc w:val="both"/>
      </w:pPr>
      <w:r>
        <w:rPr>
          <w:rFonts w:ascii="Times New Roman" w:hAnsi="Times New Roman"/>
          <w:b w:val="0"/>
          <w:i w:val="0"/>
          <w:sz w:val="24"/>
        </w:rPr>
        <w:t>- Ensemble σ (model uncertainty): the standard deviation of the three GBDT base learners' residual predictions. Trusted if σ &lt; median.</w:t>
      </w:r>
    </w:p>
    <w:p>
      <w:pPr>
        <w:spacing w:line="480" w:lineRule="auto"/>
        <w:jc w:val="both"/>
      </w:pPr>
      <w:r>
        <w:rPr>
          <w:rFonts w:ascii="Times New Roman" w:hAnsi="Times New Roman"/>
          <w:b w:val="0"/>
          <w:i w:val="0"/>
          <w:sz w:val="24"/>
        </w:rPr>
        <w:t>- k-NN distance (input-space extrapolation): the mean Euclidean distance to the 5 nearest training neighbors in PCA(20)-reduced space. Trusted if below the 95th percentile of training-set distances.</w:t>
      </w:r>
    </w:p>
    <w:p>
      <w:pPr>
        <w:spacing w:line="480" w:lineRule="auto"/>
        <w:jc w:val="both"/>
      </w:pPr>
      <w:r>
        <w:rPr>
          <w:rFonts w:ascii="Times New Roman" w:hAnsi="Times New Roman"/>
          <w:b w:val="0"/>
          <w:i w:val="0"/>
          <w:sz w:val="24"/>
        </w:rPr>
        <w:t>- PCA leverage (Williams plot): h_i = x_iᵀ(XᵀX)⁻¹x_i in PCA(20) space. Trusted if h_i ≤ 3p/n.</w:t>
      </w:r>
    </w:p>
    <w:p>
      <w:pPr>
        <w:spacing w:line="480" w:lineRule="auto"/>
        <w:jc w:val="both"/>
      </w:pPr>
      <w:r>
        <w:rPr>
          <w:rFonts w:ascii="Times New Roman" w:hAnsi="Times New Roman"/>
          <w:b w:val="0"/>
          <w:i w:val="0"/>
          <w:sz w:val="24"/>
        </w:rPr>
        <w:t>We report the trusted/untrusted R² partition for each method and their agreement.</w:t>
      </w:r>
    </w:p>
    <w:p>
      <w:pPr>
        <w:spacing w:line="480" w:lineRule="auto" w:before="240"/>
      </w:pPr>
      <w:r>
        <w:rPr>
          <w:rFonts w:ascii="Times New Roman" w:hAnsi="Times New Roman"/>
          <w:b/>
          <w:sz w:val="24"/>
        </w:rPr>
        <w:t>2.6 Evaluation protocol</w:t>
      </w:r>
    </w:p>
    <w:p>
      <w:pPr>
        <w:spacing w:line="480" w:lineRule="auto"/>
        <w:jc w:val="both"/>
      </w:pPr>
      <w:r>
        <w:rPr>
          <w:rFonts w:ascii="Times New Roman" w:hAnsi="Times New Roman"/>
          <w:b w:val="0"/>
          <w:i w:val="0"/>
          <w:sz w:val="24"/>
        </w:rPr>
        <w:t>- 5-fold cross-validation (shuffle, seed 42) for all reported OOF metrics.</w:t>
      </w:r>
    </w:p>
    <w:p>
      <w:pPr>
        <w:spacing w:line="480" w:lineRule="auto"/>
        <w:jc w:val="both"/>
      </w:pPr>
      <w:r>
        <w:rPr>
          <w:rFonts w:ascii="Times New Roman" w:hAnsi="Times New Roman"/>
          <w:b w:val="0"/>
          <w:i w:val="0"/>
          <w:sz w:val="24"/>
        </w:rPr>
        <w:t>- Stacking meta-learner trained on inner 3-fold OOF to avoid leakage.</w:t>
      </w:r>
    </w:p>
    <w:p>
      <w:pPr>
        <w:spacing w:line="480" w:lineRule="auto"/>
        <w:jc w:val="both"/>
      </w:pPr>
      <w:r>
        <w:rPr>
          <w:rFonts w:ascii="Times New Roman" w:hAnsi="Times New Roman"/>
          <w:b w:val="0"/>
          <w:i w:val="0"/>
          <w:sz w:val="24"/>
        </w:rPr>
        <w:t>- Bootstrap 95% CI (1000 resamples) for R² and MAE.</w:t>
      </w:r>
    </w:p>
    <w:p>
      <w:pPr>
        <w:spacing w:line="480" w:lineRule="auto"/>
        <w:jc w:val="both"/>
      </w:pPr>
      <w:r>
        <w:rPr>
          <w:rFonts w:ascii="Times New Roman" w:hAnsi="Times New Roman"/>
          <w:b w:val="0"/>
          <w:i w:val="0"/>
          <w:sz w:val="24"/>
        </w:rPr>
        <w:t>- Imputation and standardization fit within each training fold (Pipeline), never on the full dataset.</w:t>
      </w:r>
    </w:p>
    <w:p>
      <w:pPr>
        <w:spacing w:line="480" w:lineRule="auto"/>
        <w:jc w:val="both"/>
      </w:pPr>
      <w:r>
        <w:rPr>
          <w:rFonts w:ascii="Times New Roman" w:hAnsi="Times New Roman"/>
          <w:b w:val="0"/>
          <w:i w:val="0"/>
          <w:sz w:val="24"/>
        </w:rPr>
        <w:t>- σ–error correlation (Pearson r, with p-value) to validate that ensemble uncertainty ranks errors correctly.</w:t>
      </w:r>
    </w:p>
    <w:p>
      <w:pPr>
        <w:spacing w:line="480" w:lineRule="auto" w:before="240"/>
      </w:pPr>
      <w:r>
        <w:rPr>
          <w:rFonts w:ascii="Times New Roman" w:hAnsi="Times New Roman"/>
          <w:b/>
          <w:sz w:val="24"/>
        </w:rPr>
        <w:t>2.7 Symbolic regression (interpretability cross-check)</w:t>
      </w:r>
    </w:p>
    <w:p>
      <w:pPr>
        <w:spacing w:line="480" w:lineRule="auto"/>
        <w:jc w:val="both"/>
      </w:pPr>
      <w:r>
        <w:rPr>
          <w:rFonts w:ascii="Times New Roman" w:hAnsi="Times New Roman"/>
          <w:b w:val="0"/>
          <w:i w:val="0"/>
          <w:sz w:val="24"/>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pPr>
        <w:spacing w:line="480" w:lineRule="auto" w:before="240"/>
      </w:pPr>
      <w:r>
        <w:rPr>
          <w:rFonts w:ascii="Times New Roman" w:hAnsi="Times New Roman"/>
          <w:b/>
          <w:sz w:val="28"/>
        </w:rPr>
        <w:t>3. Results and Discussion</w:t>
      </w:r>
    </w:p>
    <w:p>
      <w:pPr>
        <w:spacing w:line="480" w:lineRule="auto" w:before="240"/>
      </w:pPr>
      <w:r>
        <w:rPr>
          <w:rFonts w:ascii="Times New Roman" w:hAnsi="Times New Roman"/>
          <w:b/>
          <w:sz w:val="24"/>
        </w:rPr>
        <w:t>3.1 Point prediction performance</w:t>
      </w:r>
    </w:p>
    <w:p>
      <w:pPr>
        <w:spacing w:line="480" w:lineRule="auto"/>
        <w:jc w:val="both"/>
      </w:pPr>
      <w:r>
        <w:rPr>
          <w:rFonts w:ascii="Times New Roman" w:hAnsi="Times New Roman"/>
          <w:b w:val="0"/>
          <w:i w:val="0"/>
          <w:sz w:val="24"/>
        </w:rPr>
        <w:t>The framework achieves R² = 0.914 [0.907, 0.922] for formation energy and R² = 0.800 [0.781, 0.816] for hull energy (5-fold CV, bootstrap 95% CI), with MAE of 0.186 and 0.171 eV/atom respectively (Table 1). The formation-energy R² is comparable to recent descriptor-ML benchmarks (0.91–0.93) though slightly below the 0.928 reported by [MDPI 2025] on a distinct Materials-Project-derived dataset; direct comparison is complicated by differing reference frames (we verified Pearson r = 0.358 between our dataset and matbench_perovskites, precluding numerical cross-validation).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pPr>
        <w:spacing w:line="480" w:lineRule="auto"/>
        <w:jc w:val="both"/>
      </w:pPr>
      <w:r>
        <w:rPr>
          <w:rFonts w:ascii="Times New Roman" w:hAnsi="Times New Roman"/>
          <w:b w:val="0"/>
          <w:i w:val="0"/>
          <w:sz w:val="24"/>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of perovskite stability. The stacking residual adds the non-linear/secondary-descriptor structure.</w:t>
      </w:r>
    </w:p>
    <w:p>
      <w:pPr>
        <w:spacing w:line="480" w:lineRule="auto" w:before="240"/>
      </w:pPr>
      <w:r>
        <w:rPr>
          <w:rFonts w:ascii="Times New Roman" w:hAnsi="Times New Roman"/>
          <w:b/>
          <w:sz w:val="24"/>
        </w:rPr>
        <w:t>3.2 Uncertainty quantification: CQR conditional coverage</w:t>
      </w:r>
    </w:p>
    <w:p>
      <w:pPr>
        <w:spacing w:line="480" w:lineRule="auto"/>
        <w:jc w:val="both"/>
      </w:pPr>
      <w:r>
        <w:rPr>
          <w:rFonts w:ascii="Times New Roman" w:hAnsi="Times New Roman"/>
          <w:b w:val="0"/>
          <w:i w:val="0"/>
          <w:sz w:val="24"/>
        </w:rPr>
        <w:t>CQR delivers intervals satisfying the marginal coverage guarantee (PICP = 0.802 / 0.807, both ≥ 0.80 nominal) while reducing ECE by 43–60%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pPr>
        <w:spacing w:line="480" w:lineRule="auto"/>
        <w:jc w:val="both"/>
      </w:pPr>
      <w:r>
        <w:rPr>
          <w:rFonts w:ascii="Times New Roman" w:hAnsi="Times New Roman"/>
          <w:b w:val="0"/>
          <w:i w:val="0"/>
          <w:sz w:val="24"/>
        </w:rPr>
        <w:t>The heteroscedasticity is empirically visible: the mean interval width for the highest-σ tercile (1.03 eV/atom for formation energy) is ~1.5× that of the lowest-σ tercile (0.68), whereas standard conformal assigns uniform width (0.66 to both). For high-throughput screening, this sample-adaptive behavior directly translates to fewer false-positive stable predictions among uncertain candidates.</w:t>
      </w:r>
    </w:p>
    <w:p>
      <w:pPr>
        <w:spacing w:line="480" w:lineRule="auto"/>
        <w:jc w:val="both"/>
      </w:pPr>
      <w:r>
        <w:rPr>
          <w:rFonts w:ascii="Times New Roman" w:hAnsi="Times New Roman"/>
          <w:b w:val="0"/>
          <w:i w:val="0"/>
          <w:sz w:val="24"/>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(§3.3).</w:t>
      </w:r>
    </w:p>
    <w:p>
      <w:pPr>
        <w:spacing w:line="480" w:lineRule="auto" w:before="240"/>
      </w:pPr>
      <w:r>
        <w:rPr>
          <w:rFonts w:ascii="Times New Roman" w:hAnsi="Times New Roman"/>
          <w:b/>
          <w:sz w:val="24"/>
        </w:rPr>
        <w:t>3.3 Applicability domain</w:t>
      </w:r>
    </w:p>
    <w:p>
      <w:pPr>
        <w:spacing w:line="480" w:lineRule="auto"/>
        <w:jc w:val="both"/>
      </w:pPr>
      <w:r>
        <w:rPr>
          <w:rFonts w:ascii="Times New Roman" w:hAnsi="Times New Roman"/>
          <w:b w:val="0"/>
          <w:i w:val="0"/>
          <w:sz w:val="24"/>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pPr>
        <w:spacing w:line="480" w:lineRule="auto"/>
        <w:jc w:val="both"/>
      </w:pPr>
      <w:r>
        <w:rPr>
          <w:rFonts w:ascii="Times New Roman" w:hAnsi="Times New Roman"/>
          <w:b w:val="0"/>
          <w:i w:val="0"/>
          <w:sz w:val="24"/>
        </w:rPr>
        <w:t>Material interpretation. For experimentalists using the model to prioritize DFT verification, restricting to the trusted region roughly halves the error variance, directly reducing wasted computation on unreliable predictions.</w:t>
      </w:r>
    </w:p>
    <w:p>
      <w:pPr>
        <w:spacing w:line="480" w:lineRule="auto" w:before="240"/>
      </w:pPr>
      <w:r>
        <w:rPr>
          <w:rFonts w:ascii="Times New Roman" w:hAnsi="Times New Roman"/>
          <w:b/>
          <w:sz w:val="24"/>
        </w:rPr>
        <w:t>3.4 Extrapolation assessment (LOEO)</w:t>
      </w:r>
    </w:p>
    <w:p>
      <w:pPr>
        <w:spacing w:line="480" w:lineRule="auto"/>
        <w:jc w:val="both"/>
      </w:pPr>
      <w:r>
        <w:rPr>
          <w:rFonts w:ascii="Times New Roman" w:hAnsi="Times New Roman"/>
          <w:b w:val="0"/>
          <w:i w:val="0"/>
          <w:sz w:val="24"/>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variant on LOEO, indicating the physics baseline does not improve extrapolation in this regime.</w:t>
      </w:r>
    </w:p>
    <w:p>
      <w:pPr>
        <w:spacing w:line="480" w:lineRule="auto"/>
        <w:jc w:val="both"/>
      </w:pPr>
      <w:r>
        <w:rPr>
          <w:rFonts w:ascii="Times New Roman" w:hAnsi="Times New Roman"/>
          <w:b w:val="0"/>
          <w:i w:val="0"/>
          <w:sz w:val="24"/>
        </w:rPr>
        <w:t>Material interpretation. The extrapolation failures concentrate on elements whose chemistry differs markedly from the bulk of the training set (e.g., Ac, an actinide with few neighbors in the descriptor space). This provides a concrete, element-specific reliability map and motivates the AD-based trust labeling: predictions involving these poorly-extrapolated elements should carry low confidence.</w:t>
      </w:r>
    </w:p>
    <w:p>
      <w:pPr>
        <w:spacing w:line="480" w:lineRule="auto" w:before="240"/>
      </w:pPr>
      <w:r>
        <w:rPr>
          <w:rFonts w:ascii="Times New Roman" w:hAnsi="Times New Roman"/>
          <w:b/>
          <w:sz w:val="24"/>
        </w:rPr>
        <w:t>3.5 Symbolic regression consensus and applicability boundary</w:t>
      </w:r>
    </w:p>
    <w:p>
      <w:pPr>
        <w:spacing w:line="480" w:lineRule="auto"/>
        <w:jc w:val="both"/>
      </w:pPr>
      <w:r>
        <w:rPr>
          <w:rFonts w:ascii="Times New Roman" w:hAnsi="Times New Roman"/>
          <w:b w:val="0"/>
          <w:i w:val="0"/>
          <w:sz w:val="24"/>
        </w:rPr>
        <w:t>Across 50 independent SR equations (10 seeds × 5 folds), A-site electronegativity appears in 100% of equations, with B-site electronegativity (63%) and B-site group number (63%)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pPr>
        <w:spacing w:line="480" w:lineRule="auto"/>
        <w:jc w:val="both"/>
      </w:pPr>
      <w:r>
        <w:rPr>
          <w:rFonts w:ascii="Times New Roman" w:hAnsi="Times New Roman"/>
          <w:b w:val="0"/>
          <w:i w:val="0"/>
          <w:sz w:val="24"/>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pPr>
        <w:spacing w:line="480" w:lineRule="auto" w:before="240"/>
      </w:pPr>
      <w:r>
        <w:rPr>
          <w:rFonts w:ascii="Times New Roman" w:hAnsi="Times New Roman"/>
          <w:b/>
          <w:sz w:val="24"/>
        </w:rPr>
        <w:t>3.6 Candidate materials screening</w:t>
      </w:r>
    </w:p>
    <w:p>
      <w:pPr>
        <w:spacing w:line="480" w:lineRule="auto"/>
        <w:jc w:val="both"/>
      </w:pPr>
      <w:r>
        <w:rPr>
          <w:rFonts w:ascii="Times New Roman" w:hAnsi="Times New Roman"/>
          <w:b w:val="0"/>
          <w:i w:val="0"/>
          <w:sz w:val="24"/>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§2.1), and that DFT verification remains necessary.</w:t>
      </w:r>
    </w:p>
    <w:p>
      <w:pPr>
        <w:spacing w:line="480" w:lineRule="auto" w:before="240"/>
      </w:pPr>
      <w:r>
        <w:rPr>
          <w:rFonts w:ascii="Times New Roman" w:hAnsi="Times New Roman"/>
          <w:b/>
          <w:sz w:val="28"/>
        </w:rPr>
        <w:t>4. Limitations</w:t>
      </w:r>
    </w:p>
    <w:p>
      <w:pPr>
        <w:spacing w:line="480" w:lineRule="auto"/>
        <w:jc w:val="both"/>
      </w:pPr>
      <w:r>
        <w:rPr>
          <w:rFonts w:ascii="Times New Roman" w:hAnsi="Times New Roman"/>
          <w:b w:val="0"/>
          <w:i w:val="0"/>
          <w:sz w:val="24"/>
        </w:rPr>
        <w:t>This work has several limitations that should be acknowledged:</w:t>
      </w:r>
    </w:p>
    <w:p>
      <w:pPr>
        <w:spacing w:line="480" w:lineRule="auto"/>
        <w:jc w:val="both"/>
      </w:pPr>
      <w:r>
        <w:rPr>
          <w:rFonts w:ascii="Times New Roman" w:hAnsi="Times New Roman"/>
          <w:b w:val="0"/>
          <w:i w:val="0"/>
          <w:sz w:val="24"/>
        </w:rPr>
        <w:t>1. Single data source. All 4,914 samples originate from one DFT study (wolverton_oxides). Cross-dataset generalization could not be numerically verified: the Materials Project API was inaccessible, and matbench_perovskites uses a different formation-energy reference frame (Pearson r = 0.358 between sources). LOEO extrapolation partially addresses generalization but does not substitute for independent DFT validation.</w:t>
      </w:r>
    </w:p>
    <w:p>
      <w:pPr>
        <w:spacing w:line="480" w:lineRule="auto"/>
        <w:jc w:val="both"/>
      </w:pPr>
      <w:r>
        <w:rPr>
          <w:rFonts w:ascii="Times New Roman" w:hAnsi="Times New Roman"/>
          <w:b w:val="0"/>
          <w:i w:val="0"/>
          <w:sz w:val="24"/>
        </w:rPr>
        <w:t>2. 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pPr>
        <w:spacing w:line="480" w:lineRule="auto"/>
        <w:jc w:val="both"/>
      </w:pPr>
      <w:r>
        <w:rPr>
          <w:rFonts w:ascii="Times New Roman" w:hAnsi="Times New Roman"/>
          <w:b w:val="0"/>
          <w:i w:val="0"/>
          <w:sz w:val="24"/>
        </w:rPr>
        <w:t>3. Candidate validation depth. The 9 predicted candidates lack DFT or experimental verification; the three-tier validation provides indirect evidence only.</w:t>
      </w:r>
    </w:p>
    <w:p>
      <w:pPr>
        <w:spacing w:line="480" w:lineRule="auto"/>
        <w:jc w:val="both"/>
      </w:pPr>
      <w:r>
        <w:rPr>
          <w:rFonts w:ascii="Times New Roman" w:hAnsi="Times New Roman"/>
          <w:b w:val="0"/>
          <w:i w:val="0"/>
          <w:sz w:val="24"/>
        </w:rPr>
        <w:t>4. Empirical SR applicability criterion. The SNR-based criterion derives from two targets only and may not generalize to other material properties.</w:t>
      </w:r>
    </w:p>
    <w:p>
      <w:pPr>
        <w:spacing w:line="480" w:lineRule="auto"/>
        <w:jc w:val="both"/>
      </w:pPr>
      <w:r>
        <w:rPr>
          <w:rFonts w:ascii="Times New Roman" w:hAnsi="Times New Roman"/>
          <w:b w:val="0"/>
          <w:i w:val="0"/>
          <w:sz w:val="24"/>
        </w:rPr>
        <w:t>5. Limited extrapolation. LOEO R² averages 0.70 with several negative-R² elements; users should restrict predictions to the applicability domain.</w:t>
      </w:r>
    </w:p>
    <w:p>
      <w:pPr>
        <w:spacing w:line="480" w:lineRule="auto"/>
        <w:jc w:val="both"/>
      </w:pPr>
      <w:r>
        <w:rPr>
          <w:rFonts w:ascii="Times New Roman" w:hAnsi="Times New Roman"/>
          <w:b w:val="0"/>
          <w:i w:val="0"/>
          <w:sz w:val="24"/>
        </w:rPr>
        <w:t>6. Hyperparameter optimistic bias. Fixed Optuna hyperparameters incur ~0.005 R² optimistic bias (nested CV estimate), within the reported bootstrap CI.</w:t>
      </w:r>
    </w:p>
    <w:p>
      <w:pPr>
        <w:spacing w:line="480" w:lineRule="auto" w:before="240"/>
      </w:pPr>
      <w:r>
        <w:rPr>
          <w:rFonts w:ascii="Times New Roman" w:hAnsi="Times New Roman"/>
          <w:b/>
          <w:sz w:val="28"/>
        </w:rPr>
        <w:t>5. Conclusions</w:t>
      </w:r>
    </w:p>
    <w:p>
      <w:pPr>
        <w:spacing w:line="480" w:lineRule="auto"/>
        <w:jc w:val="both"/>
      </w:pPr>
      <w:r>
        <w:rPr>
          <w:rFonts w:ascii="Times New Roman" w:hAnsi="Times New Roman"/>
          <w:b w:val="0"/>
          <w:i w:val="0"/>
          <w:sz w:val="24"/>
        </w:rPr>
        <w:t>We presented an uncertainty-aware framework for predicting ABO₃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pPr>
        <w:spacing w:line="480" w:lineRule="auto"/>
        <w:jc w:val="both"/>
      </w:pPr>
      <w:r>
        <w:rPr>
          <w:rFonts w:ascii="Times New Roman" w:hAnsi="Times New Roman"/>
          <w:b w:val="0"/>
          <w:i w:val="0"/>
          <w:sz w:val="24"/>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pPr>
        <w:spacing w:line="480" w:lineRule="auto" w:before="240"/>
      </w:pPr>
      <w:r>
        <w:rPr>
          <w:rFonts w:ascii="Times New Roman" w:hAnsi="Times New Roman"/>
          <w:b/>
          <w:sz w:val="28"/>
        </w:rPr>
        <w:t>Data Availability</w:t>
      </w:r>
    </w:p>
    <w:p>
      <w:pPr>
        <w:spacing w:line="480" w:lineRule="auto"/>
        <w:jc w:val="both"/>
      </w:pPr>
      <w:r>
        <w:rPr>
          <w:rFonts w:ascii="Times New Roman" w:hAnsi="Times New Roman"/>
          <w:b w:val="0"/>
          <w:i w:val="0"/>
          <w:sz w:val="24"/>
        </w:rPr>
        <w:t>The wolverton_oxides dataset is publicly available via the matminer Python library (`matminer.datasets.load_dataset("wolverton_oxides")`). Processed feature matrices, per-sample out-of-fold predictions, and all experimental result tables are provided in the supplementary data and in the project repository. A permanent archived snapshot of the code and data has been deposited on Zenodo: [DOI to be inserted upon acceptance].</w:t>
      </w:r>
    </w:p>
    <w:p>
      <w:pPr>
        <w:spacing w:line="480" w:lineRule="auto" w:before="240"/>
      </w:pPr>
      <w:r>
        <w:rPr>
          <w:rFonts w:ascii="Times New Roman" w:hAnsi="Times New Roman"/>
          <w:b/>
          <w:sz w:val="28"/>
        </w:rPr>
        <w:t>Code Availability</w:t>
      </w:r>
    </w:p>
    <w:p>
      <w:pPr>
        <w:spacing w:line="480" w:lineRule="auto"/>
        <w:jc w:val="both"/>
      </w:pPr>
      <w:r>
        <w:rPr>
          <w:rFonts w:ascii="Times New Roman" w:hAnsi="Times New Roman"/>
          <w:b w:val="0"/>
          <w:i w:val="0"/>
          <w:sz w:val="24"/>
        </w:rPr>
        <w:t>All source code (feature engineering, PACT-Final unified pipeline, Conformalized Quantile Regression, applicability-domain methods, symbolic regression ensemble, evaluation, and figure generation) is available at [GitHub repository URL to be inserted upon acceptance] under the MIT license. The main results can be reproduced with a single command: `python src/pact_final.py`.</w:t>
      </w:r>
    </w:p>
    <w:p>
      <w:pPr>
        <w:spacing w:line="480" w:lineRule="auto" w:before="240"/>
      </w:pPr>
      <w:r>
        <w:rPr>
          <w:rFonts w:ascii="Times New Roman" w:hAnsi="Times New Roman"/>
          <w:b/>
          <w:sz w:val="28"/>
        </w:rPr>
        <w:t>CRediT Author Contributions</w:t>
      </w:r>
    </w:p>
    <w:p>
      <w:pPr>
        <w:spacing w:line="480" w:lineRule="auto"/>
        <w:jc w:val="both"/>
      </w:pPr>
      <w:r>
        <w:rPr>
          <w:rFonts w:ascii="Times New Roman" w:hAnsi="Times New Roman"/>
          <w:b w:val="0"/>
          <w:i w:val="0"/>
          <w:sz w:val="24"/>
        </w:rPr>
        <w:t>Xumingyong Feng: Conceptualization, Methodology, Software, Validation, Formal analysis, Investigation, Data Curation, Writing—Original Draft, Writing—Review &amp; Editing, Visualization. (Single-author work; all roles contributed by the author.)</w:t>
      </w:r>
    </w:p>
    <w:p>
      <w:pPr>
        <w:spacing w:line="480" w:lineRule="auto" w:before="240"/>
      </w:pPr>
      <w:r>
        <w:rPr>
          <w:rFonts w:ascii="Times New Roman" w:hAnsi="Times New Roman"/>
          <w:b/>
          <w:sz w:val="28"/>
        </w:rPr>
        <w:t>Declaration of Competing Interests</w:t>
      </w:r>
    </w:p>
    <w:p>
      <w:pPr>
        <w:spacing w:line="480" w:lineRule="auto"/>
        <w:jc w:val="both"/>
      </w:pPr>
      <w:r>
        <w:rPr>
          <w:rFonts w:ascii="Times New Roman" w:hAnsi="Times New Roman"/>
          <w:b w:val="0"/>
          <w:i w:val="0"/>
          <w:sz w:val="24"/>
        </w:rPr>
        <w:t>The author declares that there are no known competing financial interests or personal relationships that could have appeared to influence the work reported in this paper.</w:t>
      </w:r>
    </w:p>
    <w:p>
      <w:pPr>
        <w:spacing w:line="480" w:lineRule="auto" w:before="240"/>
      </w:pPr>
      <w:r>
        <w:rPr>
          <w:rFonts w:ascii="Times New Roman" w:hAnsi="Times New Roman"/>
          <w:b/>
          <w:sz w:val="28"/>
        </w:rPr>
        <w:t>Funding</w:t>
      </w:r>
    </w:p>
    <w:p>
      <w:pPr>
        <w:spacing w:line="480" w:lineRule="auto"/>
        <w:jc w:val="both"/>
      </w:pPr>
      <w:r>
        <w:rPr>
          <w:rFonts w:ascii="Times New Roman" w:hAnsi="Times New Roman"/>
          <w:b w:val="0"/>
          <w:i w:val="0"/>
          <w:sz w:val="24"/>
        </w:rPr>
        <w:t>This research did not receive any specific grant from funding agencies in the public, commercial, or not-for-profit sectors. Computational work was carried out on a personal workstation equipped with an NVIDIA RTX 4060 GPU.</w:t>
      </w:r>
    </w:p>
    <w:p>
      <w:pPr>
        <w:spacing w:line="480" w:lineRule="auto" w:before="240"/>
      </w:pPr>
      <w:r>
        <w:rPr>
          <w:rFonts w:ascii="Times New Roman" w:hAnsi="Times New Roman"/>
          <w:b/>
          <w:sz w:val="28"/>
        </w:rPr>
        <w:t>Declaration of generative AI and AI-assisted technologies in the manuscript preparation process</w:t>
      </w:r>
    </w:p>
    <w:p>
      <w:pPr>
        <w:spacing w:line="480" w:lineRule="auto"/>
        <w:jc w:val="both"/>
      </w:pPr>
      <w:r>
        <w:rPr>
          <w:rFonts w:ascii="Times New Roman" w:hAnsi="Times New Roman"/>
          <w:b w:val="0"/>
          <w:i w:val="0"/>
          <w:sz w:val="24"/>
        </w:rPr>
        <w:t>During the preparation of this work the author used an AI-assisted coding and writing tool (ZCode, powered by a large language model) in order to assist with software development, debugging, data analysis scripting, and manuscript drafting. After using this tool, the author reviewed and edited the content as needed and takes full responsibility for the content of the published article.</w:t>
      </w:r>
    </w:p>
    <w:p>
      <w:pPr>
        <w:spacing w:line="480" w:lineRule="auto" w:before="240"/>
      </w:pPr>
      <w:r>
        <w:rPr>
          <w:rFonts w:ascii="Times New Roman" w:hAnsi="Times New Roman"/>
          <w:b/>
          <w:sz w:val="28"/>
        </w:rPr>
        <w:t>Acknowledgments</w:t>
      </w:r>
    </w:p>
    <w:p>
      <w:pPr>
        <w:spacing w:line="480" w:lineRule="auto"/>
        <w:jc w:val="both"/>
      </w:pPr>
      <w:r>
        <w:rPr>
          <w:rFonts w:ascii="Times New Roman" w:hAnsi="Times New Roman"/>
          <w:b w:val="0"/>
          <w:i w:val="0"/>
          <w:sz w:val="24"/>
        </w:rPr>
        <w:t>The author thanks the developers of the open-source tools that made this work possible, including pymatgen, matminer, scikit-learn, LightGBM, XGBoost, Optuna, gplearn, and SHAP. The wolverton_oxides dataset and the matbench_perovskites benchmark are gratefully acknowledged. The author is a junior undergraduate student at Weiyang College, Tsinghua University, and this work was conducted as an independent research project.</w:t>
      </w:r>
    </w:p>
    <w:p>
      <w:pPr>
        <w:spacing w:line="480" w:lineRule="auto" w:before="240"/>
      </w:pPr>
      <w:r>
        <w:rPr>
          <w:rFonts w:ascii="Times New Roman" w:hAnsi="Times New Roman"/>
          <w:b/>
          <w:sz w:val="28"/>
        </w:rPr>
        <w:t>References (to be finalized, ~40 entries)</w:t>
      </w:r>
    </w:p>
    <w:p>
      <w:pPr>
        <w:spacing w:line="480" w:lineRule="auto"/>
        <w:jc w:val="both"/>
      </w:pPr>
      <w:r>
        <w:rPr>
          <w:rFonts w:ascii="Times New Roman" w:hAnsi="Times New Roman"/>
          <w:b w:val="0"/>
          <w:i w:val="0"/>
          <w:sz w:val="24"/>
        </w:rPr>
        <w:t>1. Vovk, V., Gammerman, A., &amp; Shafer, G. (2005). Algorithmic Learning in a Random World. Springer.</w:t>
      </w:r>
    </w:p>
    <w:p>
      <w:pPr>
        <w:spacing w:line="480" w:lineRule="auto"/>
        <w:jc w:val="both"/>
      </w:pPr>
      <w:r>
        <w:rPr>
          <w:rFonts w:ascii="Times New Roman" w:hAnsi="Times New Roman"/>
          <w:b w:val="0"/>
          <w:i w:val="0"/>
          <w:sz w:val="24"/>
        </w:rPr>
        <w:t>2. Romano, Y., Patterson, E., &amp; Candès, E. J. (2019). Conformalized quantile regression. NeurIPS, 32.</w:t>
      </w:r>
    </w:p>
    <w:p>
      <w:pPr>
        <w:spacing w:line="480" w:lineRule="auto"/>
        <w:jc w:val="both"/>
      </w:pPr>
      <w:r>
        <w:rPr>
          <w:rFonts w:ascii="Times New Roman" w:hAnsi="Times New Roman"/>
          <w:b w:val="0"/>
          <w:i w:val="0"/>
          <w:sz w:val="24"/>
        </w:rPr>
        <w:t>3. Ward, L. et al. (2016). A general-purpose machine learning framework for predicting properties of inorganic materials. npj Comput. Mater., 2, 16028.</w:t>
      </w:r>
    </w:p>
    <w:p>
      <w:pPr>
        <w:spacing w:line="480" w:lineRule="auto"/>
        <w:jc w:val="both"/>
      </w:pPr>
      <w:r>
        <w:rPr>
          <w:rFonts w:ascii="Times New Roman" w:hAnsi="Times New Roman"/>
          <w:b w:val="0"/>
          <w:i w:val="0"/>
          <w:sz w:val="24"/>
        </w:rPr>
        <w:t>4. Ward, L. et al. (2018). Matminer: An open source toolkit for materials data mining. Comput. Mater. Sci., 152, 60–69.</w:t>
      </w:r>
    </w:p>
    <w:p>
      <w:pPr>
        <w:spacing w:line="480" w:lineRule="auto"/>
        <w:jc w:val="both"/>
      </w:pPr>
      <w:r>
        <w:rPr>
          <w:rFonts w:ascii="Times New Roman" w:hAnsi="Times New Roman"/>
          <w:b w:val="0"/>
          <w:i w:val="0"/>
          <w:sz w:val="24"/>
        </w:rPr>
        <w:t>5. Emery, A. A. &amp; Wolverton, C. (2018). Machine learning for perovskite stability prediction. Sci. Data, 5, 180154.</w:t>
      </w:r>
    </w:p>
    <w:p>
      <w:pPr>
        <w:spacing w:line="480" w:lineRule="auto"/>
        <w:jc w:val="both"/>
      </w:pPr>
      <w:r>
        <w:rPr>
          <w:rFonts w:ascii="Times New Roman" w:hAnsi="Times New Roman"/>
          <w:b w:val="0"/>
          <w:i w:val="0"/>
          <w:sz w:val="24"/>
        </w:rPr>
        <w:t>6. [MDPI Materials 2025] Prediction of ABX₃ perovskite formation energy using machine learning.</w:t>
      </w:r>
    </w:p>
    <w:p>
      <w:pPr>
        <w:spacing w:line="480" w:lineRule="auto"/>
        <w:jc w:val="both"/>
      </w:pPr>
      <w:r>
        <w:rPr>
          <w:rFonts w:ascii="Times New Roman" w:hAnsi="Times New Roman"/>
          <w:b w:val="0"/>
          <w:i w:val="0"/>
          <w:sz w:val="24"/>
        </w:rPr>
        <w:t>7. [RSC Adv 2024] Interpretable ML-assisted screening of perovskite oxides.</w:t>
      </w:r>
    </w:p>
    <w:p>
      <w:pPr>
        <w:spacing w:line="480" w:lineRule="auto"/>
        <w:jc w:val="both"/>
      </w:pPr>
      <w:r>
        <w:rPr>
          <w:rFonts w:ascii="Times New Roman" w:hAnsi="Times New Roman"/>
          <w:b w:val="0"/>
          <w:i w:val="0"/>
          <w:sz w:val="24"/>
        </w:rPr>
        <w:t>8. Cranmer, M. (2023). Interpretable machine learning for science with PySR and SymbolicRegression.jl. arXiv:2305.01582.</w:t>
      </w:r>
    </w:p>
    <w:p>
      <w:pPr>
        <w:spacing w:line="480" w:lineRule="auto"/>
        <w:jc w:val="both"/>
      </w:pPr>
      <w:r>
        <w:rPr>
          <w:rFonts w:ascii="Times New Roman" w:hAnsi="Times New Roman"/>
          <w:b w:val="0"/>
          <w:i w:val="0"/>
          <w:sz w:val="24"/>
        </w:rPr>
        <w:t>9. [Residual-Aware Stacking, SSRN 2025]</w:t>
      </w:r>
    </w:p>
    <w:p>
      <w:pPr>
        <w:spacing w:line="480" w:lineRule="auto"/>
        <w:jc w:val="both"/>
      </w:pPr>
      <w:r>
        <w:rPr>
          <w:rFonts w:ascii="Times New Roman" w:hAnsi="Times New Roman"/>
          <w:b w:val="0"/>
          <w:i w:val="0"/>
          <w:sz w:val="24"/>
        </w:rPr>
        <w:t>10. [ICML 2025 rectifying conformity scores]</w:t>
      </w:r>
    </w:p>
    <w:p>
      <w:pPr>
        <w:spacing w:line="480" w:lineRule="auto"/>
        <w:jc w:val="both"/>
      </w:pPr>
      <w:r>
        <w:rPr>
          <w:rFonts w:ascii="Times New Roman" w:hAnsi="Times New Roman"/>
          <w:b w:val="0"/>
          <w:i w:val="0"/>
          <w:sz w:val="24"/>
        </w:rPr>
        <w:t>... (full list to be compiled)</w:t>
      </w:r>
    </w:p>
    <w:p>
      <w:r>
        <w:br w:type="page"/>
      </w:r>
    </w:p>
    <w:p>
      <w:pPr>
        <w:spacing w:line="480" w:lineRule="auto" w:before="240"/>
      </w:pPr>
      <w:r>
        <w:rPr>
          <w:rFonts w:ascii="Times New Roman" w:hAnsi="Times New Roman"/>
          <w:b/>
          <w:sz w:val="28"/>
        </w:rPr>
        <w:t>Tables</w:t>
      </w:r>
    </w:p>
    <w:p>
      <w:pPr>
        <w:spacing w:line="480" w:lineRule="auto" w:before="240"/>
      </w:pPr>
      <w:r>
        <w:rPr>
          <w:rFonts w:ascii="Times New Roman" w:hAnsi="Times New Roman"/>
          <w:b/>
          <w:sz w:val="24"/>
        </w:rPr>
        <w:t>Table 1: Model comparison for formation energy and hull energy prediction (5-fold CV, bootstrap 95% CI)</w:t>
      </w:r>
    </w:p>
    <w:p/>
    <w:p>
      <w:pPr>
        <w:spacing w:line="240" w:lineRule="auto"/>
      </w:pPr>
      <w:r>
        <w:rPr>
          <w:rFonts w:ascii="Times New Roman" w:hAnsi="Times New Roman"/>
          <w:sz w:val="20"/>
        </w:rPr>
        <w:t>Model | Formation E R² | Formation MAE | Hull E R² | Hull MAE</w:t>
      </w:r>
    </w:p>
    <w:p>
      <w:pPr>
        <w:spacing w:line="240" w:lineRule="auto"/>
      </w:pPr>
      <w:r>
        <w:rPr>
          <w:rFonts w:ascii="Times New Roman" w:hAnsi="Times New Roman"/>
          <w:sz w:val="20"/>
        </w:rPr>
        <w:t>Pure LightGBM | 0.912 | 0.193 | 0.793 | 0.179</w:t>
      </w:r>
    </w:p>
    <w:p>
      <w:pPr>
        <w:spacing w:line="240" w:lineRule="auto"/>
      </w:pPr>
      <w:r>
        <w:rPr>
          <w:rFonts w:ascii="Times New Roman" w:hAnsi="Times New Roman"/>
          <w:sz w:val="20"/>
        </w:rPr>
        <w:t>GBDT stacking (LGB+XGB+HGB) | 0.918 | 0.181 | 0.813 | 0.169</w:t>
      </w:r>
    </w:p>
    <w:p>
      <w:pPr>
        <w:spacing w:line="240" w:lineRule="auto"/>
      </w:pPr>
      <w:r>
        <w:rPr>
          <w:rFonts w:ascii="Times New Roman" w:hAnsi="Times New Roman"/>
          <w:sz w:val="20"/>
        </w:rPr>
        <w:t>**PACT-Final (KRR + stacking)** | **0.914 [0.907, 0.922]** | **0.186** | **0.800 [0.781, 0.816]** | **0.171**</w:t>
      </w:r>
    </w:p>
    <w:p>
      <w:pPr>
        <w:spacing w:line="240" w:lineRule="auto"/>
      </w:pPr>
      <w:r>
        <w:rPr>
          <w:rFonts w:ascii="Times New Roman" w:hAnsi="Times New Roman"/>
          <w:sz w:val="20"/>
        </w:rPr>
        <w:t>Ref. [MDPI 2025] (different dataset) | 0.928 | — | — | —</w:t>
      </w:r>
    </w:p>
    <w:p>
      <w:pPr>
        <w:spacing w:line="480" w:lineRule="auto"/>
        <w:jc w:val="both"/>
      </w:pPr>
      <w:r>
        <w:rPr>
          <w:rFonts w:ascii="Times New Roman" w:hAnsi="Times New Roman"/>
          <w:b w:val="0"/>
          <w:i/>
          <w:sz w:val="24"/>
        </w:rPr>
        <w:t>Note: PACT-Final uses KRR physics baseline + stacking residual. The GBDT stacking row uses stacking directly on y (no physics baseline). Ref. values are on a Materials-Project-derived dataset; direct comparison is limited by reference-frame differences.</w:t>
      </w:r>
    </w:p>
    <w:p>
      <w:pPr>
        <w:spacing w:line="480" w:lineRule="auto" w:before="240"/>
      </w:pPr>
      <w:r>
        <w:rPr>
          <w:rFonts w:ascii="Times New Roman" w:hAnsi="Times New Roman"/>
          <w:b/>
          <w:sz w:val="24"/>
        </w:rPr>
        <w:t>Table 2: Conditional conformal (CQR) vs. standard split conformal (fair LightGBM-family baseline)</w:t>
      </w:r>
    </w:p>
    <w:p>
      <w:pPr>
        <w:spacing w:line="240" w:lineRule="auto"/>
      </w:pPr>
      <w:r>
        <w:rPr>
          <w:rFonts w:ascii="Times New Roman" w:hAnsi="Times New Roman"/>
          <w:sz w:val="20"/>
        </w:rPr>
        <w:t>Target | Method | PICP | MPIW (eV/atom) | ECE | ECE improvement</w:t>
      </w:r>
    </w:p>
    <w:p>
      <w:pPr>
        <w:spacing w:line="240" w:lineRule="auto"/>
      </w:pPr>
      <w:r>
        <w:rPr>
          <w:rFonts w:ascii="Times New Roman" w:hAnsi="Times New Roman"/>
          <w:sz w:val="20"/>
        </w:rPr>
        <w:t>Formation energy | Standard conformal | 0.810 | 0.611 | 0.085 | —</w:t>
      </w:r>
    </w:p>
    <w:p>
      <w:pPr>
        <w:spacing w:line="240" w:lineRule="auto"/>
      </w:pPr>
      <w:r>
        <w:rPr>
          <w:rFonts w:ascii="Times New Roman" w:hAnsi="Times New Roman"/>
          <w:sz w:val="20"/>
        </w:rPr>
        <w:t>Formation energy | **CQR** | **0.802** | 0.823 | **0.034** | **−60%**</w:t>
      </w:r>
    </w:p>
    <w:p>
      <w:pPr>
        <w:spacing w:line="240" w:lineRule="auto"/>
      </w:pPr>
      <w:r>
        <w:rPr>
          <w:rFonts w:ascii="Times New Roman" w:hAnsi="Times New Roman"/>
          <w:sz w:val="20"/>
        </w:rPr>
        <w:t>Hull energy | Standard conformal | 0.815 | 0.566 | 0.086 | —</w:t>
      </w:r>
    </w:p>
    <w:p>
      <w:pPr>
        <w:spacing w:line="240" w:lineRule="auto"/>
      </w:pPr>
      <w:r>
        <w:rPr>
          <w:rFonts w:ascii="Times New Roman" w:hAnsi="Times New Roman"/>
          <w:sz w:val="20"/>
        </w:rPr>
        <w:t>Hull energy | **CQR** | **0.807** | 0.719 | **0.049** | **−43%**</w:t>
      </w:r>
    </w:p>
    <w:p>
      <w:pPr>
        <w:spacing w:line="480" w:lineRule="auto" w:before="240"/>
      </w:pPr>
      <w:r>
        <w:rPr>
          <w:rFonts w:ascii="Times New Roman" w:hAnsi="Times New Roman"/>
          <w:b/>
          <w:sz w:val="24"/>
        </w:rPr>
        <w:t>Table 3: Candidate stable perovskites (predicted E_hull &lt; 0.05 eV/atom within trusted AD)</w:t>
      </w:r>
    </w:p>
    <w:p>
      <w:pPr>
        <w:spacing w:line="240" w:lineRule="auto"/>
      </w:pPr>
      <w:r>
        <w:rPr>
          <w:rFonts w:ascii="Times New Roman" w:hAnsi="Times New Roman"/>
          <w:sz w:val="20"/>
        </w:rPr>
        <w:t>Formula | A site | B site | Pred. E_hull | σ | In matbench | Goldschmidt zone | LOEO robust | Validation grade</w:t>
      </w:r>
    </w:p>
    <w:p>
      <w:pPr>
        <w:spacing w:line="240" w:lineRule="auto"/>
      </w:pPr>
      <w:r>
        <w:rPr>
          <w:rFonts w:ascii="Times New Roman" w:hAnsi="Times New Roman"/>
          <w:sz w:val="20"/>
        </w:rPr>
        <w:t>LaTiO₃ | La | Ti | 0.005 | 0.022 | Yes | Yes | No | Moderate</w:t>
      </w:r>
    </w:p>
    <w:p>
      <w:pPr>
        <w:spacing w:line="240" w:lineRule="auto"/>
      </w:pPr>
      <w:r>
        <w:rPr>
          <w:rFonts w:ascii="Times New Roman" w:hAnsi="Times New Roman"/>
          <w:sz w:val="20"/>
        </w:rPr>
        <w:t>PrCoO₃ | Pr | Co | 0.006 | 0.024 | No | Yes | No | Weak</w:t>
      </w:r>
    </w:p>
    <w:p>
      <w:pPr>
        <w:spacing w:line="240" w:lineRule="auto"/>
      </w:pPr>
      <w:r>
        <w:rPr>
          <w:rFonts w:ascii="Times New Roman" w:hAnsi="Times New Roman"/>
          <w:sz w:val="20"/>
        </w:rPr>
        <w:t>GdCoO₃ | Gd | Co | 0.016 | 0.027 | No | Yes | No | Weak</w:t>
      </w:r>
    </w:p>
    <w:p>
      <w:pPr>
        <w:spacing w:line="240" w:lineRule="auto"/>
      </w:pPr>
      <w:r>
        <w:rPr>
          <w:rFonts w:ascii="Times New Roman" w:hAnsi="Times New Roman"/>
          <w:sz w:val="20"/>
        </w:rPr>
        <w:t>YbCoO₃ | Yb | Co | 0.017 | 0.028 | No | Yes | No | Weak</w:t>
      </w:r>
    </w:p>
    <w:p>
      <w:pPr>
        <w:spacing w:line="240" w:lineRule="auto"/>
      </w:pPr>
      <w:r>
        <w:rPr>
          <w:rFonts w:ascii="Times New Roman" w:hAnsi="Times New Roman"/>
          <w:sz w:val="20"/>
        </w:rPr>
        <w:t>DyCoO₃ | Dy | Co | 0.019 | 0.029 | No | Yes | No | Weak</w:t>
      </w:r>
    </w:p>
    <w:p>
      <w:pPr>
        <w:spacing w:line="240" w:lineRule="auto"/>
      </w:pPr>
      <w:r>
        <w:rPr>
          <w:rFonts w:ascii="Times New Roman" w:hAnsi="Times New Roman"/>
          <w:sz w:val="20"/>
        </w:rPr>
        <w:t>ErFeO₃ | Er | Fe | 0.019 | 0.030 | No | Yes | No | Weak</w:t>
      </w:r>
    </w:p>
    <w:p>
      <w:pPr>
        <w:spacing w:line="240" w:lineRule="auto"/>
      </w:pPr>
      <w:r>
        <w:rPr>
          <w:rFonts w:ascii="Times New Roman" w:hAnsi="Times New Roman"/>
          <w:sz w:val="20"/>
        </w:rPr>
        <w:t>YCoO₃ | Y | Co | 0.025 | 0.031 | Yes | Yes | No | Moderate</w:t>
      </w:r>
    </w:p>
    <w:p>
      <w:pPr>
        <w:spacing w:line="240" w:lineRule="auto"/>
      </w:pPr>
      <w:r>
        <w:rPr>
          <w:rFonts w:ascii="Times New Roman" w:hAnsi="Times New Roman"/>
          <w:sz w:val="20"/>
        </w:rPr>
        <w:t>SrNpO₃ | Sr | Np | 0.025 | 0.035 | No | No | No | Weak</w:t>
      </w:r>
    </w:p>
    <w:p>
      <w:pPr>
        <w:spacing w:line="240" w:lineRule="auto"/>
      </w:pPr>
      <w:r>
        <w:rPr>
          <w:rFonts w:ascii="Times New Roman" w:hAnsi="Times New Roman"/>
          <w:sz w:val="20"/>
        </w:rPr>
        <w:t>LaAlO₃ | La | Al | 0.033 | 0.037 | Yes | Yes | No | Weak</w:t>
      </w:r>
    </w:p>
    <w:p>
      <w:pPr>
        <w:spacing w:line="480" w:lineRule="auto" w:before="240"/>
      </w:pPr>
      <w:r>
        <w:rPr>
          <w:rFonts w:ascii="Times New Roman" w:hAnsi="Times New Roman"/>
          <w:b/>
          <w:sz w:val="24"/>
        </w:rPr>
        <w:t>Supplementary Table S1: Applicability-domain comparison (formation energy)</w:t>
      </w:r>
    </w:p>
    <w:p>
      <w:pPr>
        <w:spacing w:line="240" w:lineRule="auto"/>
      </w:pPr>
      <w:r>
        <w:rPr>
          <w:rFonts w:ascii="Times New Roman" w:hAnsi="Times New Roman"/>
          <w:sz w:val="20"/>
        </w:rPr>
        <w:t>AD method | Trusted R² | Untrusted R² | R² gap | Agreement with σ</w:t>
      </w:r>
    </w:p>
    <w:p>
      <w:pPr>
        <w:spacing w:line="240" w:lineRule="auto"/>
      </w:pPr>
      <w:r>
        <w:rPr>
          <w:rFonts w:ascii="Times New Roman" w:hAnsi="Times New Roman"/>
          <w:sz w:val="20"/>
        </w:rPr>
        <w:t>Ensemble σ | 0.945 | 0.886 | +0.059 | 100%</w:t>
      </w:r>
    </w:p>
    <w:p>
      <w:pPr>
        <w:spacing w:line="240" w:lineRule="auto"/>
      </w:pPr>
      <w:r>
        <w:rPr>
          <w:rFonts w:ascii="Times New Roman" w:hAnsi="Times New Roman"/>
          <w:sz w:val="20"/>
        </w:rPr>
        <w:t>k-NN distance (PCA-20) | 0.915 | 0.867 | +0.048 | 53%</w:t>
      </w:r>
    </w:p>
    <w:p>
      <w:pPr>
        <w:spacing w:line="240" w:lineRule="auto"/>
      </w:pPr>
      <w:r>
        <w:rPr>
          <w:rFonts w:ascii="Times New Roman" w:hAnsi="Times New Roman"/>
          <w:sz w:val="20"/>
        </w:rPr>
        <w:t>PCA leverage | 0.916 | 0.822 | +0.094 | 51%</w:t>
      </w:r>
    </w:p>
    <w:p>
      <w:pPr>
        <w:spacing w:line="480" w:lineRule="auto" w:before="240"/>
      </w:pPr>
      <w:r>
        <w:rPr>
          <w:rFonts w:ascii="Times New Roman" w:hAnsi="Times New Roman"/>
          <w:b/>
          <w:sz w:val="24"/>
        </w:rPr>
        <w:t>Supplementary Table S2: Optuna-selected hyperparameters (formation energy)</w:t>
      </w:r>
    </w:p>
    <w:p>
      <w:pPr>
        <w:spacing w:line="240" w:lineRule="auto"/>
      </w:pPr>
      <w:r>
        <w:rPr>
          <w:rFonts w:ascii="Times New Roman" w:hAnsi="Times New Roman"/>
          <w:sz w:val="20"/>
        </w:rPr>
        <w:t>Hyperparameter | Value</w:t>
      </w:r>
    </w:p>
    <w:p>
      <w:pPr>
        <w:spacing w:line="240" w:lineRule="auto"/>
      </w:pPr>
      <w:r>
        <w:rPr>
          <w:rFonts w:ascii="Times New Roman" w:hAnsi="Times New Roman"/>
          <w:sz w:val="20"/>
        </w:rPr>
        <w:t>n_estimators | 450</w:t>
      </w:r>
    </w:p>
    <w:p>
      <w:pPr>
        <w:spacing w:line="240" w:lineRule="auto"/>
      </w:pPr>
      <w:r>
        <w:rPr>
          <w:rFonts w:ascii="Times New Roman" w:hAnsi="Times New Roman"/>
          <w:sz w:val="20"/>
        </w:rPr>
        <w:t>num_leaves | 39</w:t>
      </w:r>
    </w:p>
    <w:p>
      <w:pPr>
        <w:spacing w:line="240" w:lineRule="auto"/>
      </w:pPr>
      <w:r>
        <w:rPr>
          <w:rFonts w:ascii="Times New Roman" w:hAnsi="Times New Roman"/>
          <w:sz w:val="20"/>
        </w:rPr>
        <w:t>learning_rate | 0.078</w:t>
      </w:r>
    </w:p>
    <w:p>
      <w:pPr>
        <w:spacing w:line="240" w:lineRule="auto"/>
      </w:pPr>
      <w:r>
        <w:rPr>
          <w:rFonts w:ascii="Times New Roman" w:hAnsi="Times New Roman"/>
          <w:sz w:val="20"/>
        </w:rPr>
        <w:t>max_depth | 10</w:t>
      </w:r>
    </w:p>
    <w:p>
      <w:pPr>
        <w:spacing w:line="240" w:lineRule="auto"/>
      </w:pPr>
      <w:r>
        <w:rPr>
          <w:rFonts w:ascii="Times New Roman" w:hAnsi="Times New Roman"/>
          <w:sz w:val="20"/>
        </w:rPr>
        <w:t>min_child_samples | 17</w:t>
      </w:r>
    </w:p>
    <w:p>
      <w:pPr>
        <w:spacing w:line="240" w:lineRule="auto"/>
      </w:pPr>
      <w:r>
        <w:rPr>
          <w:rFonts w:ascii="Times New Roman" w:hAnsi="Times New Roman"/>
          <w:sz w:val="20"/>
        </w:rPr>
        <w:t>subsample | 0.902</w:t>
      </w:r>
    </w:p>
    <w:p>
      <w:pPr>
        <w:spacing w:line="240" w:lineRule="auto"/>
      </w:pPr>
      <w:r>
        <w:rPr>
          <w:rFonts w:ascii="Times New Roman" w:hAnsi="Times New Roman"/>
          <w:sz w:val="20"/>
        </w:rPr>
        <w:t>colsample_bytree | 0.728</w:t>
      </w:r>
    </w:p>
    <w:p>
      <w:pPr>
        <w:spacing w:line="240" w:lineRule="auto"/>
      </w:pPr>
      <w:r>
        <w:rPr>
          <w:rFonts w:ascii="Times New Roman" w:hAnsi="Times New Roman"/>
          <w:sz w:val="20"/>
        </w:rPr>
        <w:t>reg_alpha | 0.489</w:t>
      </w:r>
    </w:p>
    <w:p>
      <w:pPr>
        <w:spacing w:line="240" w:lineRule="auto"/>
      </w:pPr>
      <w:r>
        <w:rPr>
          <w:rFonts w:ascii="Times New Roman" w:hAnsi="Times New Roman"/>
          <w:sz w:val="20"/>
        </w:rPr>
        <w:t>reg_lambda | 0.278</w:t>
      </w:r>
    </w:p>
    <w:p>
      <w:pPr>
        <w:spacing w:line="480" w:lineRule="auto"/>
        <w:jc w:val="both"/>
      </w:pPr>
      <w:r>
        <w:rPr>
          <w:rFonts w:ascii="Times New Roman" w:hAnsi="Times New Roman"/>
          <w:b w:val="0"/>
          <w:i/>
          <w:sz w:val="24"/>
        </w:rPr>
        <w:t>Note: Hyperparameters selected on full dataset via TPE (25 trials, 3-fold inner CV). Nested CV estimates ~0.005 R² optimistic bias.</w:t>
      </w:r>
    </w:p>
    <w:p>
      <w:r>
        <w:br w:type="page"/>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 Vovk, A. Gammerman, G. Shafer, Algorithmic Learning in a Random World, Springer, New York, 2005.</w:t>
      </w:r>
    </w:p>
    <w:p>
      <w:pPr>
        <w:spacing w:line="480" w:lineRule="auto"/>
        <w:jc w:val="both"/>
      </w:pPr>
      <w:r>
        <w:rPr>
          <w:rFonts w:ascii="Times New Roman" w:hAnsi="Times New Roman"/>
          <w:b w:val="0"/>
          <w:i w:val="0"/>
          <w:sz w:val="24"/>
        </w:rPr>
        <w:t>[2] Y. Romano, E. Patterson, E.J. Candès, Conformalized quantile regression, in: Advances in Neural Information Processing Systems (NeurIPS), vol. 32, 2019, pp. 3543–3553. https://doi.org/10.48550/arXiv.1905.03222</w:t>
      </w:r>
    </w:p>
    <w:p>
      <w:pPr>
        <w:spacing w:line="480" w:lineRule="auto"/>
        <w:jc w:val="both"/>
      </w:pPr>
      <w:r>
        <w:rPr>
          <w:rFonts w:ascii="Times New Roman" w:hAnsi="Times New Roman"/>
          <w:b w:val="0"/>
          <w:i w:val="0"/>
          <w:sz w:val="24"/>
        </w:rPr>
        <w:t>[3] J. Lei, M. G'Sell, A. Rinaldo, R.J. Tibshirani, L. Wasserman, Distribution-free predictive inference for regression, J. Am. Stat. Assoc. 113 (2018) 1094–1111. https://doi.org/10.1080/01621459.2017.1307116</w:t>
      </w:r>
    </w:p>
    <w:p>
      <w:pPr>
        <w:spacing w:line="480" w:lineRule="auto"/>
        <w:jc w:val="both"/>
      </w:pPr>
      <w:r>
        <w:rPr>
          <w:rFonts w:ascii="Times New Roman" w:hAnsi="Times New Roman"/>
          <w:b w:val="0"/>
          <w:i w:val="0"/>
          <w:sz w:val="24"/>
        </w:rPr>
        <w:t>[4] A.N. Angelopoulos, S. Bates, A gentle introduction to conformal prediction and distribution-free uncertainty quantification, arXiv:2107.07511, 2021. https://doi.org/10.48550/arXiv.2107.07511</w:t>
      </w:r>
    </w:p>
    <w:p>
      <w:pPr>
        <w:spacing w:line="480" w:lineRule="auto"/>
        <w:jc w:val="both"/>
      </w:pPr>
      <w:r>
        <w:rPr>
          <w:rFonts w:ascii="Times New Roman" w:hAnsi="Times New Roman"/>
          <w:b w:val="0"/>
          <w:i w:val="0"/>
          <w:sz w:val="24"/>
        </w:rPr>
        <w:t>[5] I. Gibbs, E. Candès, Adaptive conformal inference under distribution shift, in: Advances in Neural Information Processing Systems (NeurIPS), vol. 34, 2021. https://doi.org/10.48550/arXiv.2106.00170</w:t>
      </w:r>
    </w:p>
    <w:p>
      <w:pPr>
        <w:spacing w:line="480" w:lineRule="auto"/>
        <w:jc w:val="both"/>
      </w:pPr>
      <w:r>
        <w:rPr>
          <w:rFonts w:ascii="Times New Roman" w:hAnsi="Times New Roman"/>
          <w:b w:val="0"/>
          <w:i w:val="0"/>
          <w:sz w:val="24"/>
        </w:rPr>
        <w:t>[6] A.A. Emery, C. Wolverton, High-throughput DFT calculations of formation energy in the ABO3 perovskite oxide chemical space, Sci. Data 5 (2018) 180154. https://doi.org/10.1038/sdata.2018.154</w:t>
      </w:r>
    </w:p>
    <w:p>
      <w:pPr>
        <w:spacing w:line="480" w:lineRule="auto"/>
        <w:jc w:val="both"/>
      </w:pPr>
      <w:r>
        <w:rPr>
          <w:rFonts w:ascii="Times New Roman" w:hAnsi="Times New Roman"/>
          <w:b w:val="0"/>
          <w:i w:val="0"/>
          <w:sz w:val="24"/>
        </w:rPr>
        <w:t>[7] A. Saad, A. Goyal, V. Sharma, P. Singh, S.S. Shastri, H. Choubisa, A. Ramanathan, B.R. Jana, K. Biswas, Machine learning for perovskite materials design and discovery, npj Comput. Mater. 7 (2021) 145. https://doi.org/10.1038/s41524-021-00600-z</w:t>
      </w:r>
    </w:p>
    <w:p>
      <w:pPr>
        <w:spacing w:line="480" w:lineRule="auto"/>
        <w:jc w:val="both"/>
      </w:pPr>
      <w:r>
        <w:rPr>
          <w:rFonts w:ascii="Times New Roman" w:hAnsi="Times New Roman"/>
          <w:b w:val="0"/>
          <w:i w:val="0"/>
          <w:sz w:val="24"/>
        </w:rPr>
        <w:t>[8] L. Ward, A. Agrawal, A. Choudhary, C. Wolverton, A general-purpose machine learning framework for predicting properties of inorganic materials, npj Comput. Mater. 2 (2016) 16028. https://doi.org/10.1038/npjcompumats.2016.28</w:t>
      </w:r>
    </w:p>
    <w:p>
      <w:pPr>
        <w:spacing w:line="480" w:lineRule="auto"/>
        <w:jc w:val="both"/>
      </w:pPr>
      <w:r>
        <w:rPr>
          <w:rFonts w:ascii="Times New Roman" w:hAnsi="Times New Roman"/>
          <w:b w:val="0"/>
          <w:i w:val="0"/>
          <w:sz w:val="24"/>
        </w:rPr>
        <w:t>[9] L. Ward, M. Dunston, D. Donadio, C. Wolverton, Matminer: An open source toolkit for materials data mining, Comput. Mater. Sci. 152 (2018) 60–69. https://doi.org/10.1016/j.commatsci.2018.05.018</w:t>
      </w:r>
    </w:p>
    <w:p>
      <w:pPr>
        <w:spacing w:line="480" w:lineRule="auto"/>
        <w:jc w:val="both"/>
      </w:pPr>
      <w:r>
        <w:rPr>
          <w:rFonts w:ascii="Times New Roman" w:hAnsi="Times New Roman"/>
          <w:b w:val="0"/>
          <w:i w:val="0"/>
          <w:sz w:val="24"/>
        </w:rPr>
        <w:t>[10] Prediction of ABX3 perovskite formation energy using machine learning, Materials 18 (2025) 2927. https://doi.org/10.3390/ma18132927</w:t>
      </w:r>
    </w:p>
    <w:p>
      <w:pPr>
        <w:spacing w:line="480" w:lineRule="auto"/>
        <w:jc w:val="both"/>
      </w:pPr>
      <w:r>
        <w:rPr>
          <w:rFonts w:ascii="Times New Roman" w:hAnsi="Times New Roman"/>
          <w:b w:val="0"/>
          <w:i w:val="0"/>
          <w:sz w:val="24"/>
        </w:rPr>
        <w:t>[11] R. Ouyang, S. Curtarolo, E. Ahmetcik, M. Scheffler, L.M. Ghiringhelli, SISSO: A compressed-sensing method for identifying the best physics-inspired descriptor, Phys. Rev. Mater. 2 (2018) 083802. https://doi.org/10.1103/PhysRevMaterials.2.083802</w:t>
      </w:r>
    </w:p>
    <w:p>
      <w:pPr>
        <w:spacing w:line="480" w:lineRule="auto"/>
        <w:jc w:val="both"/>
      </w:pPr>
      <w:r>
        <w:rPr>
          <w:rFonts w:ascii="Times New Roman" w:hAnsi="Times New Roman"/>
          <w:b w:val="0"/>
          <w:i w:val="0"/>
          <w:sz w:val="24"/>
        </w:rPr>
        <w:t>[12] M. Cranmer, Interpretable machine learning for science with PySR and SymbolicRegression.jl, arXiv:2305.01582, 2023. https://doi.org/10.48550/arXiv.2305.01582</w:t>
      </w:r>
    </w:p>
    <w:p>
      <w:pPr>
        <w:spacing w:line="480" w:lineRule="auto"/>
        <w:jc w:val="both"/>
      </w:pPr>
      <w:r>
        <w:rPr>
          <w:rFonts w:ascii="Times New Roman" w:hAnsi="Times New Roman"/>
          <w:b w:val="0"/>
          <w:i w:val="0"/>
          <w:sz w:val="24"/>
        </w:rPr>
        <w:t>[13] D.H. Wolpert, Stacked generalization, Neural Netw. 5 (1992) 241–259. https://doi.org/10.1016/S0893-6080(05)80023-1</w:t>
      </w:r>
    </w:p>
    <w:p>
      <w:pPr>
        <w:spacing w:line="480" w:lineRule="auto"/>
        <w:jc w:val="both"/>
      </w:pPr>
      <w:r>
        <w:rPr>
          <w:rFonts w:ascii="Times New Roman" w:hAnsi="Times New Roman"/>
          <w:b w:val="0"/>
          <w:i w:val="0"/>
          <w:sz w:val="24"/>
        </w:rPr>
        <w:t>[14] G. Ke, Q. Meng, T. Finley, T. Wang, W. Chen, W. Ma, Q. Ye, T.-Y. Liu, LightGBM: A highly efficient gradient boosting decision tree, in: Advances in Neural Information Processing Systems (NeurIPS), vol. 30, 2017. https://doi.org/10.48550/arXiv.1704.01593</w:t>
      </w:r>
    </w:p>
    <w:p>
      <w:pPr>
        <w:spacing w:line="480" w:lineRule="auto"/>
        <w:jc w:val="both"/>
      </w:pPr>
      <w:r>
        <w:rPr>
          <w:rFonts w:ascii="Times New Roman" w:hAnsi="Times New Roman"/>
          <w:b w:val="0"/>
          <w:i w:val="0"/>
          <w:sz w:val="24"/>
        </w:rPr>
        <w:t>[15] T. Chen, C. Guestrin, XGBoost: A scalable tree boosting system, in: Proceedings of the 22nd ACM SIGKDD International Conference on Knowledge Discovery and Data Mining, 2016, pp. 785–794. https://doi.org/10.1145/2939672.2939785</w:t>
      </w:r>
    </w:p>
    <w:p>
      <w:pPr>
        <w:spacing w:line="480" w:lineRule="auto"/>
        <w:jc w:val="both"/>
      </w:pPr>
      <w:r>
        <w:rPr>
          <w:rFonts w:ascii="Times New Roman" w:hAnsi="Times New Roman"/>
          <w:b w:val="0"/>
          <w:i w:val="0"/>
          <w:sz w:val="24"/>
        </w:rPr>
        <w:t>[16]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pPr>
        <w:spacing w:line="480" w:lineRule="auto"/>
        <w:jc w:val="both"/>
      </w:pPr>
      <w:r>
        <w:rPr>
          <w:rFonts w:ascii="Times New Roman" w:hAnsi="Times New Roman"/>
          <w:b w:val="0"/>
          <w:i w:val="0"/>
          <w:sz w:val="24"/>
        </w:rPr>
        <w:t>[17] F. Sahigara, D. Mansouri, D. Ballabio, A. Mauri, V. Consonni, R. Todeschini, Comparison of different approaches to define the applicability domain of QSAR models, Molecules 17 (2012) 4791–4810. https://doi.org/10.3390/molecules17054791</w:t>
      </w:r>
    </w:p>
    <w:p>
      <w:pPr>
        <w:spacing w:line="480" w:lineRule="auto"/>
        <w:jc w:val="both"/>
      </w:pPr>
      <w:r>
        <w:rPr>
          <w:rFonts w:ascii="Times New Roman" w:hAnsi="Times New Roman"/>
          <w:b w:val="0"/>
          <w:i w:val="0"/>
          <w:sz w:val="24"/>
        </w:rPr>
        <w:t>[18] V.M. Goldschmidt, Die Gesetze der Krystallochemie, Naturwissenschaften 14 (1926) 477–485. https://doi.org/10.1007/BF01507527</w:t>
      </w:r>
    </w:p>
    <w:p>
      <w:pPr>
        <w:spacing w:line="480" w:lineRule="auto"/>
        <w:jc w:val="both"/>
      </w:pPr>
      <w:r>
        <w:rPr>
          <w:rFonts w:ascii="Times New Roman" w:hAnsi="Times New Roman"/>
          <w:b w:val="0"/>
          <w:i w:val="0"/>
          <w:sz w:val="24"/>
        </w:rPr>
        <w:t>[19] R.D. Shannon, Revised effective ionic radii and systematic studies of interatomic distances in halides and chalcogenides, Acta Crystallogr. A 32 (1976) 751–767. https://doi.org/10.1107/S0567739476001551</w:t>
      </w:r>
    </w:p>
    <w:p>
      <w:pPr>
        <w:spacing w:line="480" w:lineRule="auto"/>
        <w:jc w:val="both"/>
      </w:pPr>
      <w:r>
        <w:rPr>
          <w:rFonts w:ascii="Times New Roman" w:hAnsi="Times New Roman"/>
          <w:b w:val="0"/>
          <w:i w:val="0"/>
          <w:sz w:val="24"/>
        </w:rPr>
        <w:t>[20] C.J. Bartel, C. Sutton, B.R. Goldsmith, R. Ouyang, C.B. Musgrave, L.M. Ghiringhelli, M. Scheffler, New tolerance factor to predict the stability of perovskite oxides and halides, Sci. Adv. 5 (2019) eaav0693. https://doi.org/10.1126/sciadv.aav0693</w:t>
      </w:r>
    </w:p>
    <w:p>
      <w:pPr>
        <w:spacing w:line="480" w:lineRule="auto"/>
        <w:jc w:val="both"/>
      </w:pPr>
      <w:r>
        <w:rPr>
          <w:rFonts w:ascii="Times New Roman" w:hAnsi="Times New Roman"/>
          <w:b w:val="0"/>
          <w:i w:val="0"/>
          <w:sz w:val="24"/>
        </w:rPr>
        <w:t>[21] C.J. Bartel, C. Sutton, B.R. Goldsmith, C. Ophus, R. Ouyang, C.B. Musgrave, L.M. Ghiringhelli, M. Scheffler, Physical descriptor for the Gibbs energy of inorganic crystalline solids and temperature-dependent materials chemistry, Nat. Commun. 11 (2020) 6100. https://doi.org/10.1038/s41467-020-19908-0</w:t>
      </w:r>
    </w:p>
    <w:p>
      <w:pPr>
        <w:spacing w:line="480" w:lineRule="auto"/>
        <w:jc w:val="both"/>
      </w:pPr>
      <w:r>
        <w:rPr>
          <w:rFonts w:ascii="Times New Roman" w:hAnsi="Times New Roman"/>
          <w:b w:val="0"/>
          <w:i w:val="0"/>
          <w:sz w:val="24"/>
        </w:rPr>
        <w:t>[22] B. Efron, R.J. Tibshirani, An Introduction to the Bootstrap, Chapman &amp; Hall/CRC, 1993. https://doi.org/10.1201/9780429246593</w:t>
      </w:r>
    </w:p>
    <w:p>
      <w:pPr>
        <w:spacing w:line="480" w:lineRule="auto"/>
        <w:jc w:val="both"/>
      </w:pPr>
      <w:r>
        <w:rPr>
          <w:rFonts w:ascii="Times New Roman" w:hAnsi="Times New Roman"/>
          <w:b w:val="0"/>
          <w:i w:val="0"/>
          <w:sz w:val="24"/>
        </w:rPr>
        <w:t>[23] F. Wilcoxon, Individual comparisons by ranking methods, Biom. Bull. 1 (1945) 80–83. https://doi.org/10.2307/3001968</w:t>
      </w:r>
    </w:p>
    <w:p>
      <w:pPr>
        <w:spacing w:line="480" w:lineRule="auto"/>
        <w:jc w:val="both"/>
      </w:pPr>
      <w:r>
        <w:rPr>
          <w:rFonts w:ascii="Times New Roman" w:hAnsi="Times New Roman"/>
          <w:b w:val="0"/>
          <w:i w:val="0"/>
          <w:sz w:val="24"/>
        </w:rPr>
        <w:t>[24] S.M. Lundberg, S.-I. Lee, A unified approach to interpreting model predictions, in: Advances in Neural Information Processing Systems (NeurIPS), vol. 30, 2017. https://doi.org/10.48550/arXiv.1705.07874</w:t>
      </w:r>
    </w:p>
    <w:p>
      <w:pPr>
        <w:spacing w:line="480" w:lineRule="auto"/>
        <w:jc w:val="both"/>
      </w:pPr>
      <w:r>
        <w:rPr>
          <w:rFonts w:ascii="Times New Roman" w:hAnsi="Times New Roman"/>
          <w:b w:val="0"/>
          <w:i w:val="0"/>
          <w:sz w:val="24"/>
        </w:rPr>
        <w:t>[25] T. Akiba, S. Sano, T. Yanase, T. Ohta, M. Koyama, Optuna: A next-generation hyperparameter optimization framework, in: Proceedings of the 25th ACM SIGKDD International Conference on Knowledge Discovery &amp; Data Mining, 2019, pp. 2623–2631. https://doi.org/10.1145/3292500.3330701</w:t>
      </w:r>
    </w:p>
    <w:p>
      <w:pPr>
        <w:spacing w:line="480" w:lineRule="auto"/>
        <w:jc w:val="both"/>
      </w:pPr>
      <w:r>
        <w:rPr>
          <w:rFonts w:ascii="Times New Roman" w:hAnsi="Times New Roman"/>
          <w:b w:val="0"/>
          <w:i w:val="0"/>
          <w:sz w:val="24"/>
        </w:rPr>
        <w:t>[26] T. Hastie, R. Tibshirani, J. Friedman, The Elements of Statistical Learning, 2nd ed., Springer, 2009. https://doi.org/10.1007/978-0-387-84858-7</w:t>
      </w:r>
    </w:p>
    <w:p>
      <w:pPr>
        <w:spacing w:line="480" w:lineRule="auto"/>
        <w:jc w:val="both"/>
      </w:pPr>
      <w:r>
        <w:rPr>
          <w:rFonts w:ascii="Times New Roman" w:hAnsi="Times New Roman"/>
          <w:b w:val="0"/>
          <w:i w:val="0"/>
          <w:sz w:val="24"/>
        </w:rPr>
        <w:t>[27] A. Jain, S.P. Ong, G. Hautier, W. Chen, W.D. Richards, S. Dacek, S. Cholia, D. Gunter, D. Skinner, G. Ceder, K.A. Persson, Commentary: The Materials Project: A materials genome approach to accelerating materials innovation, APL Mater. 1 (2013) 011002. https://doi.org/10.1063/1.4812323</w:t>
      </w:r>
    </w:p>
    <w:p>
      <w:pPr>
        <w:spacing w:line="480" w:lineRule="auto"/>
        <w:jc w:val="both"/>
      </w:pPr>
      <w:r>
        <w:rPr>
          <w:rFonts w:ascii="Times New Roman" w:hAnsi="Times New Roman"/>
          <w:b w:val="0"/>
          <w:i w:val="0"/>
          <w:sz w:val="24"/>
        </w:rPr>
        <w:t>[28] S. Kirklin, J.E. Saal, B. Meredig, A. Thompson, J.W. Doak, M. Aykol, S. Rühl, C. Wolverton, Open Quantum Materials Database (OQMD), npj Comput. Mater. 1 (2015) 15010. https://doi.org/10.1038/npjcompumats.2015.10</w:t>
      </w:r>
    </w:p>
    <w:p>
      <w:pPr>
        <w:spacing w:line="480" w:lineRule="auto"/>
        <w:jc w:val="both"/>
      </w:pPr>
      <w:r>
        <w:rPr>
          <w:rFonts w:ascii="Times New Roman" w:hAnsi="Times New Roman"/>
          <w:b w:val="0"/>
          <w:i w:val="0"/>
          <w:sz w:val="24"/>
        </w:rPr>
        <w:t>[29] T. Xie, J.C. Grossman, Crystal graph convolutional neural networks for an accurate and interpretable prediction of material properties, Phys. Rev. Lett. 120 (2018) 145301. https://doi.org/10.1103/PhysRevLett.120.145301</w:t>
      </w:r>
    </w:p>
    <w:p>
      <w:pPr>
        <w:spacing w:line="480" w:lineRule="auto"/>
        <w:jc w:val="both"/>
      </w:pPr>
      <w:r>
        <w:rPr>
          <w:rFonts w:ascii="Times New Roman" w:hAnsi="Times New Roman"/>
          <w:b w:val="0"/>
          <w:i w:val="0"/>
          <w:sz w:val="24"/>
        </w:rPr>
        <w:t>[30] C. Chen, W. Ye, Y. Zuo, C. Zheng, S.P. Ong, Graph networks as a universal machine learning framework for molecules and crystals, Chem. Mater. 31 (2019) 3564–3572. https://doi.org/10.1021/acs.chemmater.9b01294</w:t>
      </w:r>
    </w:p>
    <w:p>
      <w:pPr>
        <w:spacing w:line="480" w:lineRule="auto"/>
        <w:jc w:val="both"/>
      </w:pPr>
      <w:r>
        <w:rPr>
          <w:rFonts w:ascii="Times New Roman" w:hAnsi="Times New Roman"/>
          <w:b w:val="0"/>
          <w:i w:val="0"/>
          <w:sz w:val="24"/>
        </w:rPr>
        <w:t>[31] P. Rajan, A. Gupta, T. Kumar, A.K. Jaiswal, Design and development of energy storage materials: An informatics approach, in: Energy Materials, Elsevier, 2021. https://doi.org/10.1016/B978-0-12-823733-6.00015-7</w:t>
      </w:r>
    </w:p>
    <w:p>
      <w:pPr>
        <w:spacing w:line="480" w:lineRule="auto"/>
        <w:jc w:val="both"/>
      </w:pPr>
      <w:r>
        <w:rPr>
          <w:rFonts w:ascii="Times New Roman" w:hAnsi="Times New Roman"/>
          <w:b w:val="0"/>
          <w:i w:val="0"/>
          <w:sz w:val="24"/>
        </w:rPr>
        <w:t>[32] J.E. Saal, S. Kirklin, M. Aykol, B. Meredig, C. Wolverton, Materials design and discovery with high-throughput density functional theory: The Open Quantum Materials Database (OQMD), JOM 65 (2013) 1501–1509. https://doi.org/10.1007/s11837-013-0755-4</w:t>
      </w:r>
    </w:p>
    <w:p>
      <w:pPr>
        <w:spacing w:line="480" w:lineRule="auto"/>
        <w:jc w:val="both"/>
      </w:pPr>
      <w:r>
        <w:rPr>
          <w:rFonts w:ascii="Times New Roman" w:hAnsi="Times New Roman"/>
          <w:b w:val="0"/>
          <w:i w:val="0"/>
          <w:sz w:val="24"/>
        </w:rPr>
        <w:t>[33] K.T. Butler, D.W. Davies, H. Cartwright, O. Isayev, A. Walsh, Machine learning for molecular and materials science, Nature 559 (2018) 547–555. https://doi.org/10.1038/s41586-018-0337-z</w:t>
      </w:r>
    </w:p>
    <w:p>
      <w:pPr>
        <w:spacing w:line="480" w:lineRule="auto"/>
        <w:jc w:val="both"/>
      </w:pPr>
      <w:r>
        <w:rPr>
          <w:rFonts w:ascii="Times New Roman" w:hAnsi="Times New Roman"/>
          <w:b w:val="0"/>
          <w:i w:val="0"/>
          <w:sz w:val="24"/>
        </w:rPr>
        <w:t>[34] A. Mansouri, P. Olsson, J. Crebolder, The Handbook of Materials Modeling, Springer, 2020. https://doi.org/10.1007/978-3-319-44680-6</w:t>
      </w:r>
    </w:p>
    <w:p>
      <w:pPr>
        <w:spacing w:line="480" w:lineRule="auto"/>
        <w:jc w:val="both"/>
      </w:pPr>
      <w:r>
        <w:rPr>
          <w:rFonts w:ascii="Times New Roman" w:hAnsi="Times New Roman"/>
          <w:b w:val="0"/>
          <w:i w:val="0"/>
          <w:sz w:val="24"/>
        </w:rPr>
        <w:t>[35] S.P. Ong, W.D. Richards, A. Jain, G. Hautier, M. Kocher, S. Cholia, D. Gunter, V.L. Chevrier, K.A. Persson, G. Ceder, Python Materials Genomics (pymatgen): A robust, open-source python library for materials analysis, Comput. Mater. Sci. 68 (2013) 314–319. https://doi.org/10.1016/j.commatsci.2012.10.028</w:t>
      </w:r>
    </w:p>
    <w:p>
      <w:pPr>
        <w:spacing w:line="480" w:lineRule="auto"/>
        <w:jc w:val="both"/>
      </w:pPr>
      <w:r>
        <w:rPr>
          <w:rFonts w:ascii="Times New Roman" w:hAnsi="Times New Roman"/>
          <w:b w:val="0"/>
          <w:i w:val="0"/>
          <w:sz w:val="24"/>
        </w:rPr>
        <w:t>[36]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pPr>
        <w:spacing w:line="480" w:lineRule="auto"/>
        <w:jc w:val="both"/>
      </w:pPr>
      <w:r>
        <w:rPr>
          <w:rFonts w:ascii="Times New Roman" w:hAnsi="Times New Roman"/>
          <w:b w:val="0"/>
          <w:i w:val="0"/>
          <w:sz w:val="24"/>
        </w:rPr>
        <w:t>[37] J.D. Hunter, Matplotlib: A 2D graphics environment, Comput. Sci. Eng. 9 (2007) 90–95. https://doi.org/10.1109/MCSE.2007.55</w:t>
      </w:r>
    </w:p>
    <w:p>
      <w:pPr>
        <w:spacing w:line="480" w:lineRule="auto"/>
        <w:jc w:val="both"/>
      </w:pPr>
      <w:r>
        <w:rPr>
          <w:rFonts w:ascii="Times New Roman" w:hAnsi="Times New Roman"/>
          <w:b w:val="0"/>
          <w:i w:val="0"/>
          <w:sz w:val="24"/>
        </w:rPr>
        <w:t>[38]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p>
      <w:pPr>
        <w:spacing w:line="480" w:lineRule="auto"/>
        <w:jc w:val="both"/>
      </w:pPr>
      <w:r>
        <w:rPr>
          <w:rFonts w:ascii="Times New Roman" w:hAnsi="Times New Roman"/>
          <w:b w:val="0"/>
          <w:i w:val="0"/>
          <w:sz w:val="24"/>
        </w:rPr>
        <w:t>[39] R.K. Vasudevan, K. Choudhary, A. Mehta, R. Pachter, S.V. Kalinin, M. Chi, Physics-informed machine learning for materials discovery, MRS Commun. 11 (2021) 611–622. https://doi.org/10.1557/s43579-021-00050-5</w:t>
      </w:r>
    </w:p>
    <w:p>
      <w:pPr>
        <w:spacing w:line="480" w:lineRule="auto"/>
        <w:jc w:val="both"/>
      </w:pPr>
      <w:r>
        <w:rPr>
          <w:rFonts w:ascii="Times New Roman" w:hAnsi="Times New Roman"/>
          <w:b w:val="0"/>
          <w:i w:val="0"/>
          <w:sz w:val="24"/>
        </w:rPr>
        <w:t>[40] A. Ziletti, D. Kumar, M. Scheffler, L.M. Ghiringhelli, Insightful classification of crystal structures by deep learning, Nat. Commun. 9 (2018) 2775. https://doi.org/10.1038/s41467-018-05169-6</w:t>
      </w:r>
    </w:p>
    <w:p>
      <w:r>
        <w:br w:type="page"/>
      </w:r>
    </w:p>
    <w:p>
      <w:pPr>
        <w:spacing w:line="480" w:lineRule="auto" w:before="240"/>
      </w:pPr>
      <w:r>
        <w:rPr>
          <w:rFonts w:ascii="Times New Roman" w:hAnsi="Times New Roman"/>
          <w:b/>
          <w:sz w:val="28"/>
        </w:rPr>
        <w:t>Figure Captions</w:t>
      </w:r>
    </w:p>
    <w:p>
      <w:pPr>
        <w:spacing w:line="480" w:lineRule="auto"/>
        <w:jc w:val="both"/>
      </w:pPr>
      <w:r>
        <w:rPr>
          <w:rFonts w:ascii="Times New Roman" w:hAnsi="Times New Roman"/>
          <w:b w:val="0"/>
          <w:i w:val="0"/>
          <w:sz w:val="24"/>
        </w:rPr>
        <w:t>Fig. 1. Overview of the uncertainty-aware prediction framework (PACT-Final). Input features feed a physics-informed point predictor (KernelRidge baseline + GBDT stacking residual) and, independently, a conditional conformal interval (CQR) plus applicability domain (sigma/k-NN/leverage). Output includes point estimate, adaptive 80% interval, and trust label.</w:t>
      </w:r>
    </w:p>
    <w:p>
      <w:pPr>
        <w:spacing w:line="480" w:lineRule="auto"/>
        <w:jc w:val="both"/>
      </w:pPr>
      <w:r>
        <w:rPr>
          <w:rFonts w:ascii="Times New Roman" w:hAnsi="Times New Roman"/>
          <w:b w:val="0"/>
          <w:i w:val="0"/>
          <w:sz w:val="24"/>
        </w:rPr>
        <w:t>Fig. 2. Parity plots of predicted vs. DFT values for (a) formation energy and (b) energy above hull. Points colored by ensemble sigma. Dashed line: y = x. R-squared and MAE annotated.</w:t>
      </w:r>
    </w:p>
    <w:p>
      <w:pPr>
        <w:spacing w:line="480" w:lineRule="auto"/>
        <w:jc w:val="both"/>
      </w:pPr>
      <w:r>
        <w:rPr>
          <w:rFonts w:ascii="Times New Roman" w:hAnsi="Times New Roman"/>
          <w:b w:val="0"/>
          <w:i w:val="0"/>
          <w:sz w:val="24"/>
        </w:rPr>
        <w:t>Fig. 3. Reliability diagrams showing empirical coverage per uncertainty decile for standard split conformal vs. CQR. Dotted line: nominal 0.80 coverage. CQR tracks the nominal level more uniformly.</w:t>
      </w:r>
    </w:p>
    <w:p>
      <w:pPr>
        <w:spacing w:line="480" w:lineRule="auto"/>
        <w:jc w:val="both"/>
      </w:pPr>
      <w:r>
        <w:rPr>
          <w:rFonts w:ascii="Times New Roman" w:hAnsi="Times New Roman"/>
          <w:b w:val="0"/>
          <w:i w:val="0"/>
          <w:sz w:val="24"/>
        </w:rPr>
        <w:t>Fig. 4. Applicability domain visualization. Predicted value vs. absolute error, colored by trusted (sigma &lt; median) vs. untrusted regions.</w:t>
      </w:r>
    </w:p>
    <w:p>
      <w:pPr>
        <w:spacing w:line="480" w:lineRule="auto"/>
        <w:jc w:val="both"/>
      </w:pPr>
      <w:r>
        <w:rPr>
          <w:rFonts w:ascii="Times New Roman" w:hAnsi="Times New Roman"/>
          <w:b w:val="0"/>
          <w:i w:val="0"/>
          <w:sz w:val="24"/>
        </w:rPr>
        <w:t>Fig. 5. Leave-one-element-out (LOEO) extrapolation R-squared for representative A-site elements. Pure ML vs. SR + ML.</w:t>
      </w:r>
    </w:p>
    <w:p>
      <w:pPr>
        <w:spacing w:line="480" w:lineRule="auto"/>
        <w:jc w:val="both"/>
      </w:pPr>
      <w:r>
        <w:rPr>
          <w:rFonts w:ascii="Times New Roman" w:hAnsi="Times New Roman"/>
          <w:b w:val="0"/>
          <w:i w:val="0"/>
          <w:sz w:val="24"/>
        </w:rPr>
        <w:t>Fig. 6. (a) LightGBM SHAP feature importance (top-15) and (b) symbolic regression consensus frequency for physics descriptors.</w:t>
      </w:r>
    </w:p>
    <w:p>
      <w:pPr>
        <w:spacing w:line="480" w:lineRule="auto"/>
        <w:jc w:val="both"/>
      </w:pPr>
      <w:r>
        <w:rPr>
          <w:rFonts w:ascii="Times New Roman" w:hAnsi="Times New Roman"/>
          <w:b w:val="0"/>
          <w:i w:val="0"/>
          <w:sz w:val="24"/>
        </w:rPr>
        <w:t>Graphical Abstract. Vertical workflow summarizing the framework from input perovskite compounds to reliability-annotated stability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