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jc w:val="both"/>
      </w:pPr>
      <w:r>
        <w:rPr>
          <w:rFonts w:ascii="Times New Roman" w:hAnsi="Times New Roman"/>
          <w:b w:val="0"/>
          <w:i w:val="0"/>
          <w:sz w:val="24"/>
        </w:rPr>
        <w:t>Target journal: Computational Materials Science (Elsevier)</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catalytic activity [ref], ferroelectricity [ref], superconductivity [ref], and ionic conductivity [ref]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[Emery 2018; Saad 2021 npj review].</w:t>
      </w:r>
    </w:p>
    <w:p>
      <w:pPr>
        <w:spacing w:line="480" w:lineRule="auto"/>
        <w:jc w:val="both"/>
      </w:pPr>
      <w:r>
        <w:rPr>
          <w:rFonts w:ascii="Times New Roman" w:hAnsi="Times New Roman"/>
          <w:b w:val="0"/>
          <w:i w:val="0"/>
          <w:sz w:val="24"/>
        </w:rPr>
        <w:t>Recent advances have pushed prediction accuracy substantially. [MDPI Materials 2025] achieved R² = 0.928 for ABX₃ formation energy using SHAP-guided feature selection and meta-heuristic hyperparameter tuning; [RSC Adv 2024] demonstrated interpretable ML screening of perovskite oxides with stability classification and regression; [J. Phys. Chem. C 2024] compared descriptor ML against crystal-graph neural networks.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(E_hull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A-site—poorly represented in the training data—is far less reliable than one involving a well-sampled alkaline-earth cation, even if both receive the same point estimate. Applicability-domain (AD) methods, standard in cheminformatics QSAR [Netzeva 2005; Sahigara 2012], address this by delimiting the chemical space where predictions are trustworthy, yet they remain rarely applied to inorganic perovskite stability models.</w:t>
      </w:r>
    </w:p>
    <w:p>
      <w:pPr>
        <w:spacing w:line="480" w:lineRule="auto"/>
        <w:jc w:val="both"/>
      </w:pPr>
      <w:r>
        <w:rPr>
          <w:rFonts w:ascii="Times New Roman" w:hAnsi="Times New Roman"/>
          <w:b w:val="0"/>
          <w:i w:val="0"/>
          <w:sz w:val="24"/>
        </w:rPr>
        <w:t>Conformal prediction [Vovk 2005; Shafer &amp; Vovk 2008] offers a principled remedy: it wraps any point predictor with prediction intervals that satisfy a finite-sample, distribution-free marginal coverage guarantee (P(y ∈ C(X)) ≥ 1 − α). Conformalized Quantile Regression (CQR) [Romano et al. 2019 NeurIPS] further yields heteroscedastic intervals whose width adapts to sample-level uncertainty—wide for extrapolation samples, narrow for interpolation—while preserving the coverage guarantee. Despite their maturity in statistics and growing adoption in clinical/ML venues [ICML 2025; ICLR 2025], conditional conformal methods have seen limited application in materials informatics, where ensemble variance and heuristic confidence scores remain the norm. Similarly, applicability-domain methods (leverage/Williams plots, k-NN distance) are standard in cheminformatics QSAR [Netzeva 2005]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[Cranmer 2023 PySR; Ouyang 2018 SISSO].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(Romano et al., 2019) to perovskite stability prediction and demonstrate, under a fair same-family baseline, a 43–60% reduction in expected calibration error (ECE) relative to standard split conformal—yielding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σ,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 2) by comparing formation energy (success) and hull energy (failure), and discuss its boundary frankly.</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 [Residual-Aware Stacking; SSRN 2025]:</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2019),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2005).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2019;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The formation-energy R² is comparable to recent descriptor-ML benchmarks (0.91–0.93) though slightly below the 0.928 reported by [MDPI 2025] on a distinct Materials-Project-derived dataset; direct comparison is complicated by differing reference frames (we verified Pearson r = 0.358 between our dataset and matbench_perovskites, precluding numerical cross-validation).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jc w:val="both"/>
      </w:pPr>
      <w:r>
        <w:rPr>
          <w:rFonts w:ascii="Times New Roman" w:hAnsi="Times New Roman"/>
          <w:b w:val="0"/>
          <w:i w:val="0"/>
          <w:sz w:val="24"/>
        </w:rPr>
        <w:t>Error analysis. The 8.0% of samples with absolute error exceeding 0.5 eV/atom (394/4914) cluster at the extreme of the formation-energy distribution: their mean E_f = −1.384 eV/atom is less negative than the global mean (−1.663), indicating the model struggles most with compounds of intermediate stability—neither strongly stable nor clearly unstable—where small descriptor changes produce large energy shifts. Conversely, the most accurately predicted compounds are strongly stable perovskites (E_f &lt; −2.5 eV/atom, e.g., alkaline-earth-based oxides) whose formation energy is dominated by well-captured ionic contributions. Notably, 4 of the 5 worst predictions occur at σ &lt; 0.10 eV/atom, suggesting the ensemble underestimates uncertainty for certain extrapolative samples; this residual miscalibration motivates the conditional (CQR) intervals in §3.2, which do not rely on σ alone.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Material interpretation. The extrapolation pattern is chemically coherent. The best-extrapolated A-site elements are large, highly electropositive cations—alkali metals (Rb R²=0.96, K 0.93, Na 0.94, Cs 0.92), alkaline earths (Ba 0.94), and lanthanides (Pr 0.95, La 0.91, Gd 0.92, Ho 0.93, Dy 0.94). These elements share consistent +2 or +3 oxidation states, large ionic radii, and well-defined coordination chemistry, so the descriptor space around them is densely sampled and their A-site contributions to formation energy are nearly linear in ionic radius and electronegativity. In contrast, the worst-extrapolated elements occupy sparsely populated or chemically anomalous regions of the descriptor space: B (R²=−0.88) and Os (−0.89) have very few isochemical neighbors in the training set; Ac (0.33) and Pa (0.32) are actinides with complex f-electron chemistry underrepresented in the dataset; Al (0.33), Be (0.48), and Te (0.30) form atypical A-site cations whose bonding character (covalent/metallic rather than ionic) deviates from the perovskite norm. This element-specific failure map directly informs screening: predictions involving underrepresented actinides or atypical main-group A-site cations should be treated as unreliable regardless of the point estimate, whereas screening among alkali/alkaline-earth/lanthanide chemistries is expected to transfer well.</w:t>
      </w:r>
    </w:p>
    <w:p>
      <w:pPr>
        <w:spacing w:line="480" w:lineRule="auto" w:before="240"/>
      </w:pPr>
      <w:r>
        <w:rPr>
          <w:rFonts w:ascii="Times New Roman" w:hAnsi="Times New Roman"/>
          <w:b/>
          <w:sz w:val="24"/>
        </w:rPr>
        <w:t>3.5 Symbolic regression consensus and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(63%) and B-site group number (63%)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supplementary data and in the project repository. A permanent archived snapshot of the code and data has been deposited on Zenodo: [DOI to be inserted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[GitHub repository URL to be inserted upon acceptance]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Writing—Original Draft, Writing—Review &amp; Editing, Visualization. (Single-author work; all roles contributed by the author.)</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and AI-assisted technologies in the manuscript preparation process</w:t>
      </w:r>
    </w:p>
    <w:p>
      <w:pPr>
        <w:spacing w:line="480" w:lineRule="auto"/>
        <w:jc w:val="both"/>
      </w:pPr>
      <w:r>
        <w:rPr>
          <w:rFonts w:ascii="Times New Roman" w:hAnsi="Times New Roman"/>
          <w:b w:val="0"/>
          <w:i w:val="0"/>
          <w:sz w:val="24"/>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 (to be finalized, ~40 entries)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[MDPI Materials 2025] Prediction of ABX₃ perovskite formation energy using machine learning.</w:t>
      </w:r>
    </w:p>
    <w:p>
      <w:pPr>
        <w:spacing w:line="480" w:lineRule="auto"/>
        <w:jc w:val="both"/>
      </w:pPr>
      <w:r>
        <w:rPr>
          <w:rFonts w:ascii="Times New Roman" w:hAnsi="Times New Roman"/>
          <w:b w:val="0"/>
          <w:i w:val="0"/>
          <w:sz w:val="24"/>
        </w:rPr>
        <w:t>7. [RSC Adv 2024]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Tables</w:t>
      </w:r>
    </w:p>
    <w:p>
      <w:pPr>
        <w:spacing w:line="480" w:lineRule="auto" w:before="240"/>
      </w:pPr>
      <w:r>
        <w:rPr>
          <w:rFonts w:ascii="Times New Roman" w:hAnsi="Times New Roman"/>
          <w:b/>
          <w:sz w:val="24"/>
        </w:rPr>
        <w:t>Table 1: Model comparison for formation energy and hull energy prediction (5-fold CV, bootstrap 95% CI)</w:t>
      </w:r>
    </w:p>
    <w:p/>
    <w:p>
      <w:pPr>
        <w:spacing w:line="240" w:lineRule="auto"/>
      </w:pPr>
      <w:r>
        <w:rPr>
          <w:rFonts w:ascii="Times New Roman" w:hAnsi="Times New Roman"/>
          <w:sz w:val="20"/>
        </w:rPr>
        <w:t>Model | Formation E R² | Formation MAE | Hull E R² | Hull MAE</w:t>
      </w:r>
    </w:p>
    <w:p>
      <w:pPr>
        <w:spacing w:line="240" w:lineRule="auto"/>
      </w:pPr>
      <w:r>
        <w:rPr>
          <w:rFonts w:ascii="Times New Roman" w:hAnsi="Times New Roman"/>
          <w:sz w:val="20"/>
        </w:rPr>
        <w:t>Pure LightGBM | 0.912 | 0.193 | 0.793 | 0.179</w:t>
      </w:r>
    </w:p>
    <w:p>
      <w:pPr>
        <w:spacing w:line="240" w:lineRule="auto"/>
      </w:pPr>
      <w:r>
        <w:rPr>
          <w:rFonts w:ascii="Times New Roman" w:hAnsi="Times New Roman"/>
          <w:sz w:val="20"/>
        </w:rPr>
        <w:t>GBDT stacking (LGB+XGB+HGB) | 0.918 | 0.181 | 0.813 | 0.169</w:t>
      </w:r>
    </w:p>
    <w:p>
      <w:pPr>
        <w:spacing w:line="240" w:lineRule="auto"/>
      </w:pPr>
      <w:r>
        <w:rPr>
          <w:rFonts w:ascii="Times New Roman" w:hAnsi="Times New Roman"/>
          <w:sz w:val="20"/>
        </w:rPr>
        <w:t>**PACT-Final (KRR + stacking)** | **0.914 [0.907, 0.922]** | **0.186** | **0.800 [0.781, 0.816]** | **0.171**</w:t>
      </w:r>
    </w:p>
    <w:p>
      <w:pPr>
        <w:spacing w:line="240" w:lineRule="auto"/>
      </w:pPr>
      <w:r>
        <w:rPr>
          <w:rFonts w:ascii="Times New Roman" w:hAnsi="Times New Roman"/>
          <w:sz w:val="20"/>
        </w:rPr>
        <w:t>Ref. [MDPI 2025] (different dataset) | 0.928 | — | — | —</w:t>
      </w:r>
    </w:p>
    <w:p>
      <w:pPr>
        <w:spacing w:line="480" w:lineRule="auto"/>
        <w:jc w:val="both"/>
      </w:pPr>
      <w:r>
        <w:rPr>
          <w:rFonts w:ascii="Times New Roman" w:hAnsi="Times New Roman"/>
          <w:b w:val="0"/>
          <w:i/>
          <w:sz w:val="24"/>
        </w:rPr>
        <w:t>Note: PACT-Final uses KRR physics baseline + stacking residual. The GBDT stacking row uses stacking directly on y (no physics baseline). Ref. values are on a Materials-Project-derived dataset; direct comparison is limited by reference-frame differences.</w:t>
      </w:r>
    </w:p>
    <w:p>
      <w:pPr>
        <w:spacing w:line="480" w:lineRule="auto" w:before="240"/>
      </w:pPr>
      <w:r>
        <w:rPr>
          <w:rFonts w:ascii="Times New Roman" w:hAnsi="Times New Roman"/>
          <w:b/>
          <w:sz w:val="24"/>
        </w:rPr>
        <w:t>Table 2: Conditional conformal (CQR) vs. standard split conformal (fair LightGBM-family baseline)</w:t>
      </w:r>
    </w:p>
    <w:p>
      <w:pPr>
        <w:spacing w:line="240" w:lineRule="auto"/>
      </w:pPr>
      <w:r>
        <w:rPr>
          <w:rFonts w:ascii="Times New Roman" w:hAnsi="Times New Roman"/>
          <w:sz w:val="20"/>
        </w:rPr>
        <w:t>Target | Method | PICP | MPIW (eV/atom) | ECE | ECE improvement</w:t>
      </w:r>
    </w:p>
    <w:p>
      <w:pPr>
        <w:spacing w:line="240" w:lineRule="auto"/>
      </w:pPr>
      <w:r>
        <w:rPr>
          <w:rFonts w:ascii="Times New Roman" w:hAnsi="Times New Roman"/>
          <w:sz w:val="20"/>
        </w:rPr>
        <w:t>Formation energy | Standard conformal | 0.810 | 0.611 | 0.085 | —</w:t>
      </w:r>
    </w:p>
    <w:p>
      <w:pPr>
        <w:spacing w:line="240" w:lineRule="auto"/>
      </w:pPr>
      <w:r>
        <w:rPr>
          <w:rFonts w:ascii="Times New Roman" w:hAnsi="Times New Roman"/>
          <w:sz w:val="20"/>
        </w:rPr>
        <w:t>Formation energy | **CQR** | **0.802** | 0.823 | **0.034** | **−60%**</w:t>
      </w:r>
    </w:p>
    <w:p>
      <w:pPr>
        <w:spacing w:line="240" w:lineRule="auto"/>
      </w:pPr>
      <w:r>
        <w:rPr>
          <w:rFonts w:ascii="Times New Roman" w:hAnsi="Times New Roman"/>
          <w:sz w:val="20"/>
        </w:rPr>
        <w:t>Hull energy | Standard conformal | 0.815 | 0.566 | 0.086 | —</w:t>
      </w:r>
    </w:p>
    <w:p>
      <w:pPr>
        <w:spacing w:line="240" w:lineRule="auto"/>
      </w:pPr>
      <w:r>
        <w:rPr>
          <w:rFonts w:ascii="Times New Roman" w:hAnsi="Times New Roman"/>
          <w:sz w:val="20"/>
        </w:rPr>
        <w:t>Hull energy | **CQR** | **0.807** | 0.719 | **0.049** | **−43%**</w:t>
      </w:r>
    </w:p>
    <w:p>
      <w:pPr>
        <w:spacing w:line="480" w:lineRule="auto" w:before="240"/>
      </w:pPr>
      <w:r>
        <w:rPr>
          <w:rFonts w:ascii="Times New Roman" w:hAnsi="Times New Roman"/>
          <w:b/>
          <w:sz w:val="24"/>
        </w:rPr>
        <w:t>Table 3: Candidate stable perovskites (predicted E_hull &lt; 0.05 eV/atom within trusted AD)</w:t>
      </w:r>
    </w:p>
    <w:p>
      <w:pPr>
        <w:spacing w:line="240" w:lineRule="auto"/>
      </w:pPr>
      <w:r>
        <w:rPr>
          <w:rFonts w:ascii="Times New Roman" w:hAnsi="Times New Roman"/>
          <w:sz w:val="20"/>
        </w:rPr>
        <w:t>Formula | A site | B site | Pred. E_hull | σ | In matbench | Goldschmidt zone | LOEO robust | Validation grade</w:t>
      </w:r>
    </w:p>
    <w:p>
      <w:pPr>
        <w:spacing w:line="240" w:lineRule="auto"/>
      </w:pPr>
      <w:r>
        <w:rPr>
          <w:rFonts w:ascii="Times New Roman" w:hAnsi="Times New Roman"/>
          <w:sz w:val="20"/>
        </w:rPr>
        <w:t>LaTiO₃ | La | Ti | 0.005 | 0.022 | Yes | Yes | No | Moderate</w:t>
      </w:r>
    </w:p>
    <w:p>
      <w:pPr>
        <w:spacing w:line="240" w:lineRule="auto"/>
      </w:pPr>
      <w:r>
        <w:rPr>
          <w:rFonts w:ascii="Times New Roman" w:hAnsi="Times New Roman"/>
          <w:sz w:val="20"/>
        </w:rPr>
        <w:t>PrCoO₃ | Pr | Co | 0.006 | 0.024 | No | Yes | No | Weak</w:t>
      </w:r>
    </w:p>
    <w:p>
      <w:pPr>
        <w:spacing w:line="240" w:lineRule="auto"/>
      </w:pPr>
      <w:r>
        <w:rPr>
          <w:rFonts w:ascii="Times New Roman" w:hAnsi="Times New Roman"/>
          <w:sz w:val="20"/>
        </w:rPr>
        <w:t>GdCoO₃ | Gd | Co | 0.016 | 0.027 | No | Yes | No | Weak</w:t>
      </w:r>
    </w:p>
    <w:p>
      <w:pPr>
        <w:spacing w:line="240" w:lineRule="auto"/>
      </w:pPr>
      <w:r>
        <w:rPr>
          <w:rFonts w:ascii="Times New Roman" w:hAnsi="Times New Roman"/>
          <w:sz w:val="20"/>
        </w:rPr>
        <w:t>YbCoO₃ | Yb | Co | 0.017 | 0.028 | No | Yes | No | Weak</w:t>
      </w:r>
    </w:p>
    <w:p>
      <w:pPr>
        <w:spacing w:line="240" w:lineRule="auto"/>
      </w:pPr>
      <w:r>
        <w:rPr>
          <w:rFonts w:ascii="Times New Roman" w:hAnsi="Times New Roman"/>
          <w:sz w:val="20"/>
        </w:rPr>
        <w:t>DyCoO₃ | Dy | Co | 0.019 | 0.029 | No | Yes | No | Weak</w:t>
      </w:r>
    </w:p>
    <w:p>
      <w:pPr>
        <w:spacing w:line="240" w:lineRule="auto"/>
      </w:pPr>
      <w:r>
        <w:rPr>
          <w:rFonts w:ascii="Times New Roman" w:hAnsi="Times New Roman"/>
          <w:sz w:val="20"/>
        </w:rPr>
        <w:t>ErFeO₃ | Er | Fe | 0.019 | 0.030 | No | Yes | No | Weak</w:t>
      </w:r>
    </w:p>
    <w:p>
      <w:pPr>
        <w:spacing w:line="240" w:lineRule="auto"/>
      </w:pPr>
      <w:r>
        <w:rPr>
          <w:rFonts w:ascii="Times New Roman" w:hAnsi="Times New Roman"/>
          <w:sz w:val="20"/>
        </w:rPr>
        <w:t>YCoO₃ | Y | Co | 0.025 | 0.031 | Yes | Yes | No | Moderate</w:t>
      </w:r>
    </w:p>
    <w:p>
      <w:pPr>
        <w:spacing w:line="240" w:lineRule="auto"/>
      </w:pPr>
      <w:r>
        <w:rPr>
          <w:rFonts w:ascii="Times New Roman" w:hAnsi="Times New Roman"/>
          <w:sz w:val="20"/>
        </w:rPr>
        <w:t>SrNpO₃ | Sr | Np | 0.025 | 0.035 | No | No | No | Weak</w:t>
      </w:r>
    </w:p>
    <w:p>
      <w:pPr>
        <w:spacing w:line="240" w:lineRule="auto"/>
      </w:pPr>
      <w:r>
        <w:rPr>
          <w:rFonts w:ascii="Times New Roman" w:hAnsi="Times New Roman"/>
          <w:sz w:val="20"/>
        </w:rPr>
        <w:t>LaAlO₃ | La | Al | 0.033 | 0.037 | Yes | Yes | No | Weak</w:t>
      </w:r>
    </w:p>
    <w:p>
      <w:pPr>
        <w:spacing w:line="480" w:lineRule="auto" w:before="240"/>
      </w:pPr>
      <w:r>
        <w:rPr>
          <w:rFonts w:ascii="Times New Roman" w:hAnsi="Times New Roman"/>
          <w:b/>
          <w:sz w:val="24"/>
        </w:rPr>
        <w:t>Supplementary Table S1: Applicability-domain comparison (formation energy)</w:t>
      </w:r>
    </w:p>
    <w:p>
      <w:pPr>
        <w:spacing w:line="240" w:lineRule="auto"/>
      </w:pPr>
      <w:r>
        <w:rPr>
          <w:rFonts w:ascii="Times New Roman" w:hAnsi="Times New Roman"/>
          <w:sz w:val="20"/>
        </w:rPr>
        <w:t>AD method | Trusted R² | Untrusted R² | R² gap | Agreement with σ</w:t>
      </w:r>
    </w:p>
    <w:p>
      <w:pPr>
        <w:spacing w:line="240" w:lineRule="auto"/>
      </w:pPr>
      <w:r>
        <w:rPr>
          <w:rFonts w:ascii="Times New Roman" w:hAnsi="Times New Roman"/>
          <w:sz w:val="20"/>
        </w:rPr>
        <w:t>Ensemble σ | 0.945 | 0.886 | +0.059 | 100%</w:t>
      </w:r>
    </w:p>
    <w:p>
      <w:pPr>
        <w:spacing w:line="240" w:lineRule="auto"/>
      </w:pPr>
      <w:r>
        <w:rPr>
          <w:rFonts w:ascii="Times New Roman" w:hAnsi="Times New Roman"/>
          <w:sz w:val="20"/>
        </w:rPr>
        <w:t>k-NN distance (PCA-20) | 0.915 | 0.867 | +0.048 | 53%</w:t>
      </w:r>
    </w:p>
    <w:p>
      <w:pPr>
        <w:spacing w:line="240" w:lineRule="auto"/>
      </w:pPr>
      <w:r>
        <w:rPr>
          <w:rFonts w:ascii="Times New Roman" w:hAnsi="Times New Roman"/>
          <w:sz w:val="20"/>
        </w:rPr>
        <w:t>PCA leverage | 0.916 | 0.822 | +0.094 | 51%</w:t>
      </w:r>
    </w:p>
    <w:p>
      <w:pPr>
        <w:spacing w:line="480" w:lineRule="auto" w:before="240"/>
      </w:pPr>
      <w:r>
        <w:rPr>
          <w:rFonts w:ascii="Times New Roman" w:hAnsi="Times New Roman"/>
          <w:b/>
          <w:sz w:val="24"/>
        </w:rPr>
        <w:t>Supplementary Table S2: Optuna-selected hyperparameters (formation energy)</w:t>
      </w:r>
    </w:p>
    <w:p>
      <w:pPr>
        <w:spacing w:line="240" w:lineRule="auto"/>
      </w:pPr>
      <w:r>
        <w:rPr>
          <w:rFonts w:ascii="Times New Roman" w:hAnsi="Times New Roman"/>
          <w:sz w:val="20"/>
        </w:rPr>
        <w:t>Hyperparameter | Value</w:t>
      </w:r>
    </w:p>
    <w:p>
      <w:pPr>
        <w:spacing w:line="240" w:lineRule="auto"/>
      </w:pPr>
      <w:r>
        <w:rPr>
          <w:rFonts w:ascii="Times New Roman" w:hAnsi="Times New Roman"/>
          <w:sz w:val="20"/>
        </w:rPr>
        <w:t>n_estimators | 450</w:t>
      </w:r>
    </w:p>
    <w:p>
      <w:pPr>
        <w:spacing w:line="240" w:lineRule="auto"/>
      </w:pPr>
      <w:r>
        <w:rPr>
          <w:rFonts w:ascii="Times New Roman" w:hAnsi="Times New Roman"/>
          <w:sz w:val="20"/>
        </w:rPr>
        <w:t>num_leaves | 39</w:t>
      </w:r>
    </w:p>
    <w:p>
      <w:pPr>
        <w:spacing w:line="240" w:lineRule="auto"/>
      </w:pPr>
      <w:r>
        <w:rPr>
          <w:rFonts w:ascii="Times New Roman" w:hAnsi="Times New Roman"/>
          <w:sz w:val="20"/>
        </w:rPr>
        <w:t>learning_rate | 0.078</w:t>
      </w:r>
    </w:p>
    <w:p>
      <w:pPr>
        <w:spacing w:line="240" w:lineRule="auto"/>
      </w:pPr>
      <w:r>
        <w:rPr>
          <w:rFonts w:ascii="Times New Roman" w:hAnsi="Times New Roman"/>
          <w:sz w:val="20"/>
        </w:rPr>
        <w:t>max_depth | 10</w:t>
      </w:r>
    </w:p>
    <w:p>
      <w:pPr>
        <w:spacing w:line="240" w:lineRule="auto"/>
      </w:pPr>
      <w:r>
        <w:rPr>
          <w:rFonts w:ascii="Times New Roman" w:hAnsi="Times New Roman"/>
          <w:sz w:val="20"/>
        </w:rPr>
        <w:t>min_child_samples | 17</w:t>
      </w:r>
    </w:p>
    <w:p>
      <w:pPr>
        <w:spacing w:line="240" w:lineRule="auto"/>
      </w:pPr>
      <w:r>
        <w:rPr>
          <w:rFonts w:ascii="Times New Roman" w:hAnsi="Times New Roman"/>
          <w:sz w:val="20"/>
        </w:rPr>
        <w:t>subsample | 0.902</w:t>
      </w:r>
    </w:p>
    <w:p>
      <w:pPr>
        <w:spacing w:line="240" w:lineRule="auto"/>
      </w:pPr>
      <w:r>
        <w:rPr>
          <w:rFonts w:ascii="Times New Roman" w:hAnsi="Times New Roman"/>
          <w:sz w:val="20"/>
        </w:rPr>
        <w:t>colsample_bytree | 0.728</w:t>
      </w:r>
    </w:p>
    <w:p>
      <w:pPr>
        <w:spacing w:line="240" w:lineRule="auto"/>
      </w:pPr>
      <w:r>
        <w:rPr>
          <w:rFonts w:ascii="Times New Roman" w:hAnsi="Times New Roman"/>
          <w:sz w:val="20"/>
        </w:rPr>
        <w:t>reg_alpha | 0.489</w:t>
      </w:r>
    </w:p>
    <w:p>
      <w:pPr>
        <w:spacing w:line="240" w:lineRule="auto"/>
      </w:pPr>
      <w:r>
        <w:rPr>
          <w:rFonts w:ascii="Times New Roman" w:hAnsi="Times New Roman"/>
          <w:sz w:val="20"/>
        </w:rPr>
        <w:t>reg_lambda | 0.278</w:t>
      </w:r>
    </w:p>
    <w:p>
      <w:pPr>
        <w:spacing w:line="480" w:lineRule="auto"/>
        <w:jc w:val="both"/>
      </w:pPr>
      <w:r>
        <w:rPr>
          <w:rFonts w:ascii="Times New Roman" w:hAnsi="Times New Roman"/>
          <w:b w:val="0"/>
          <w:i/>
          <w:sz w:val="24"/>
        </w:rPr>
        <w:t>Note: Hyperparameters selected on full dataset via TPE (25 trials, 3-fold inner CV). Nested CV estimates ~0.005 R² optimistic bias.</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p>
      <w:r>
        <w:br w:type="page"/>
      </w:r>
    </w:p>
    <w:p>
      <w:pPr>
        <w:spacing w:line="480" w:lineRule="auto" w:before="240"/>
      </w:pPr>
      <w:r>
        <w:rPr>
          <w:rFonts w:ascii="Times New Roman" w:hAnsi="Times New Roman"/>
          <w:b/>
          <w:sz w:val="28"/>
        </w:rPr>
        <w:t>Figure Captions</w:t>
      </w:r>
    </w:p>
    <w:p>
      <w:pPr>
        <w:spacing w:line="480" w:lineRule="auto"/>
        <w:jc w:val="both"/>
      </w:pPr>
      <w:r>
        <w:rPr>
          <w:rFonts w:ascii="Times New Roman" w:hAnsi="Times New Roman"/>
          <w:b w:val="0"/>
          <w:i w:val="0"/>
          <w:sz w:val="24"/>
        </w:rPr>
        <w:t>Fig. 1. Overview of the uncertainty-aware prediction framework (PACT-Final). Input features feed a physics-informed point predictor (KernelRidge baseline + GBDT stacking residual) and, independently, a conditional conformal interval (CQR) plus applicability domain (sigma/k-NN/leverage). Output includes point estimate, adaptive 80% interval, and trust label.</w:t>
      </w:r>
    </w:p>
    <w:p>
      <w:pPr>
        <w:spacing w:line="480" w:lineRule="auto"/>
        <w:jc w:val="both"/>
      </w:pPr>
      <w:r>
        <w:rPr>
          <w:rFonts w:ascii="Times New Roman" w:hAnsi="Times New Roman"/>
          <w:b w:val="0"/>
          <w:i w:val="0"/>
          <w:sz w:val="24"/>
        </w:rPr>
        <w:t>Fig. 2. Parity plots of predicted vs. DFT values for (a) formation energy and (b) energy above hull. Points colored by ensemble sigma. Dashed line: y = x. R-squared and MAE annotated.</w:t>
      </w:r>
    </w:p>
    <w:p>
      <w:pPr>
        <w:spacing w:line="480" w:lineRule="auto"/>
        <w:jc w:val="both"/>
      </w:pPr>
      <w:r>
        <w:rPr>
          <w:rFonts w:ascii="Times New Roman" w:hAnsi="Times New Roman"/>
          <w:b w:val="0"/>
          <w:i w:val="0"/>
          <w:sz w:val="24"/>
        </w:rPr>
        <w:t>Fig. 3. Reliability diagrams showing empirical coverage per uncertainty decile for standard split conformal vs. CQR. Dotted line: nominal 0.80 coverage. CQR tracks the nominal level more uniformly.</w:t>
      </w:r>
    </w:p>
    <w:p>
      <w:pPr>
        <w:spacing w:line="480" w:lineRule="auto"/>
        <w:jc w:val="both"/>
      </w:pPr>
      <w:r>
        <w:rPr>
          <w:rFonts w:ascii="Times New Roman" w:hAnsi="Times New Roman"/>
          <w:b w:val="0"/>
          <w:i w:val="0"/>
          <w:sz w:val="24"/>
        </w:rPr>
        <w:t>Fig. 4. Applicability domain visualization. Predicted value vs. absolute error, colored by trusted (sigma &lt; median) vs. untrusted regions.</w:t>
      </w:r>
    </w:p>
    <w:p>
      <w:pPr>
        <w:spacing w:line="480" w:lineRule="auto"/>
        <w:jc w:val="both"/>
      </w:pPr>
      <w:r>
        <w:rPr>
          <w:rFonts w:ascii="Times New Roman" w:hAnsi="Times New Roman"/>
          <w:b w:val="0"/>
          <w:i w:val="0"/>
          <w:sz w:val="24"/>
        </w:rPr>
        <w:t>Fig. 5. Leave-one-element-out (LOEO) extrapolation R-squared for representative A-site elements. Pure ML vs. SR + ML.</w:t>
      </w:r>
    </w:p>
    <w:p>
      <w:pPr>
        <w:spacing w:line="480" w:lineRule="auto"/>
        <w:jc w:val="both"/>
      </w:pPr>
      <w:r>
        <w:rPr>
          <w:rFonts w:ascii="Times New Roman" w:hAnsi="Times New Roman"/>
          <w:b w:val="0"/>
          <w:i w:val="0"/>
          <w:sz w:val="24"/>
        </w:rPr>
        <w:t>Fig. 6. (a) LightGBM SHAP feature importance (top-15) and (b) symbolic regression consensus frequency for physics descriptors.</w:t>
      </w:r>
    </w:p>
    <w:p>
      <w:pPr>
        <w:spacing w:line="480" w:lineRule="auto"/>
        <w:jc w:val="both"/>
      </w:pPr>
      <w:r>
        <w:rPr>
          <w:rFonts w:ascii="Times New Roman" w:hAnsi="Times New Roman"/>
          <w:b w:val="0"/>
          <w:i w:val="0"/>
          <w:sz w:val="24"/>
        </w:rPr>
        <w:t>Graphical Abstract. Vertical workflow summarizing the framework from input perovskite compounds to reliability-annotated stability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