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b w:val="0"/>
          <w:i w:val="0"/>
          <w:sz w:val="24"/>
        </w:rPr>
        <w:t>﻿# 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before="240"/>
      </w:pPr>
      <w:r>
        <w:rPr>
          <w:rFonts w:ascii="Times New Roman" w:hAnsi="Times New Roman"/>
          <w:b/>
          <w:sz w:val="28"/>
        </w:rPr>
        <w:t>Abstract</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a wide range of functional properties including catalytic activity, ferroelectricity, superconductivity, and ionic conductivity [7,33]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 - 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[6,7].</w:t>
      </w:r>
    </w:p>
    <w:p>
      <w:pPr>
        <w:spacing w:line="480" w:lineRule="auto"/>
        <w:jc w:val="both"/>
      </w:pPr>
      <w:r>
        <w:rPr>
          <w:rFonts w:ascii="Times New Roman" w:hAnsi="Times New Roman"/>
          <w:b w:val="0"/>
          <w:i w:val="0"/>
          <w:sz w:val="24"/>
        </w:rPr>
        <w:t>Recent advances have pushed prediction accuracy substantially. Deng et al. [10] achieved R² = 0.928 for ABX₃ formation energy using SHAP-guided feature selection and meta-heuristic hyperparameter tuning; interpretable ML screening of perovskite oxides with stability classification and regression has also been demonstrated [11]; and descriptor ML has been compared against crystal-graph neural networks [29].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(E_hull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 - poorly represented in the training data - is far less reliable than one involving a well-sampled alkaline-earth cation, even if both receive the same point estimate. Applicability-domain (AD) methods, standard in cheminformatics QSAR [16,17], address this by delimiting the chemical space where predictions are trustworthy, yet they remain rarely applied to inorganic perovskite stability models.</w:t>
      </w:r>
    </w:p>
    <w:p>
      <w:pPr>
        <w:spacing w:line="480" w:lineRule="auto"/>
        <w:jc w:val="both"/>
      </w:pPr>
      <w:r>
        <w:rPr>
          <w:rFonts w:ascii="Times New Roman" w:hAnsi="Times New Roman"/>
          <w:b w:val="0"/>
          <w:i w:val="0"/>
          <w:sz w:val="24"/>
        </w:rPr>
        <w:t>Conformal prediction [1] offers a principled remedy: it wraps any point predictor with prediction intervals that satisfy a finite-sample, distribution-free marginal coverage guarantee (P(y in C(X)) &gt;= 1 - alpha). Conformalized Quantile Regression (CQR) [2] further yields heteroscedastic intervals whose width adapts to sample-level uncertainty - wide for extrapolation samples, narrow for interpolation - while preserving the coverage guarantee. Despite their maturity in statistics, conditional conformal methods have seen limited application in materials informatics, where ensemble variance and heuristic confidence scores remain the norm.</w:t>
      </w:r>
    </w:p>
    <w:p>
      <w:pPr>
        <w:spacing w:line="480" w:lineRule="auto"/>
        <w:jc w:val="both"/>
      </w:pPr>
      <w:r>
        <w:rPr>
          <w:rFonts w:ascii="Times New Roman" w:hAnsi="Times New Roman"/>
          <w:b w:val="0"/>
          <w:i w:val="0"/>
          <w:sz w:val="24"/>
        </w:rPr>
        <w:t>The inadequacy of current uncertainty practices in perovskite ML is not merely theoretical. Ensemble standard deviation-the most common uncertainty estimate-suffers from model correlation: when the ensemble members share training data and architecture, their predictions are highly correlated and the resulting σ systematically underestimates true error. In our own preliminary experiments (§3.2), naive 80% intervals constructed from ensemble σ achieved a coverage of only 0.24-far below the nominal 0.80-because the five gradient-boosted trees in the ensemble produce nearly identical predictions. Standard split conformal corrects the marginal coverage but assigns uniform-width intervals to all samples regardless of their individual reliability, yielding poor conditional coverage (expected calibration error ECE = 0.085 in our data, §3.2). CQR addresses both problems: it provides intervals whose marginal coverage is theoretically guaranteed and whose width varies per-sample, reducing ECE by 43–60% relative to standard conformal in our experiments. This motivates our adoption of CQR as the uncertainty layer.</w:t>
      </w:r>
    </w:p>
    <w:p>
      <w:pPr>
        <w:spacing w:line="480" w:lineRule="auto"/>
        <w:jc w:val="both"/>
      </w:pPr>
      <w:r>
        <w:rPr>
          <w:rFonts w:ascii="Times New Roman" w:hAnsi="Times New Roman"/>
          <w:b w:val="0"/>
          <w:i w:val="0"/>
          <w:sz w:val="24"/>
        </w:rPr>
        <w:t>Similarly, applicability-domain methods (leverage/Williams plots, k-NN distance) are standard in cheminformatics QSAR [16,17]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[11,12].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[2] to perovskite stability prediction and demonstrate, under a fair same-family baseline, a 43-60% reduction in expected calibration error (ECE) relative to standard split conformal - 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sigma,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 - 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&gt;= 2) by comparing formation energy (success) and hull energy (failure), and discuss its boundary frankly.</w:t>
      </w:r>
    </w:p>
    <w:p>
      <w:pPr>
        <w:spacing w:line="480" w:lineRule="auto"/>
        <w:jc w:val="both"/>
      </w:pPr>
      <w:r>
        <w:rPr>
          <w:rFonts w:ascii="Times New Roman" w:hAnsi="Times New Roman"/>
          <w:b w:val="0"/>
          <w:i w:val="0"/>
          <w:sz w:val="24"/>
        </w:rPr>
        <w:t>Existing perovskite ML models report aggregate accuracy but do not provide calibrated per-sample uncertainty, a trust boundary, or element-level extrapolation maps. By integrating CQR, multi-criteria AD, and LOEO into a single reproducible pipeline, this work moves beyond point-prediction benchmarks toward reliability-aware screening - a shift that is necessary for high-throughput computational materials discovery but remains uncommon in the perovskite literature.</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240" w:lineRule="auto"/>
        <w:jc w:val="center"/>
      </w:pPr>
      <w:r>
        <w:drawing>
          <wp:inline xmlns:a="http://schemas.openxmlformats.org/drawingml/2006/main" xmlns:pic="http://schemas.openxmlformats.org/drawingml/2006/picture">
            <wp:extent cx="5029200" cy="2582562"/>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029200" cy="2582562"/>
                    </a:xfrm>
                    <a:prstGeom prst="rect"/>
                  </pic:spPr>
                </pic:pic>
              </a:graphicData>
            </a:graphic>
          </wp:inline>
        </w:drawing>
      </w:r>
    </w:p>
    <w:p>
      <w:pPr>
        <w:spacing w:line="240" w:lineRule="auto"/>
        <w:jc w:val="center"/>
      </w:pPr>
      <w:r>
        <w:rPr>
          <w:rFonts w:ascii="Times New Roman" w:hAnsi="Times New Roman"/>
          <w:sz w:val="20"/>
        </w:rPr>
        <w:t>Fig. 1. Overview of the uncertainty-aware prediction framework (PACT-Final).</w:t>
      </w:r>
    </w:p>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[1]).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Table 1**: Model comparison with literature benchmark row - R²/MAE/RMSE for formation energy and hull energy; rows: pure LightGBM, GBDT stacking, PACT-Final (KRR + stacking), and literature reference (MDPI 2025 R² = 0.928 on a different dataset, noted).</w:t>
      </w:r>
    </w:p>
    <w:p>
      <w:pPr>
        <w:spacing w:line="240" w:lineRule="auto"/>
      </w:pPr>
      <w:r>
        <w:rPr>
          <w:rFonts w:ascii="Times New Roman" w:hAnsi="Times New Roman"/>
          <w:b/>
          <w:sz w:val="20"/>
        </w:rPr>
        <w:t>Table 1. Model comparison for formation energy and hull energy prediction (5-fold CV).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Model</w:t>
            </w:r>
          </w:p>
        </w:tc>
        <w:tc>
          <w:tcPr>
            <w:tcW w:type="dxa" w:w="1872"/>
          </w:tcPr>
          <w:p>
            <w:pPr>
              <w:jc w:val="center"/>
            </w:pPr>
            <w:r/>
            <w:r>
              <w:rPr>
                <w:rFonts w:ascii="Times New Roman" w:hAnsi="Times New Roman"/>
                <w:b/>
                <w:sz w:val="18"/>
              </w:rPr>
              <w:t>Form. R2</w:t>
            </w:r>
          </w:p>
        </w:tc>
        <w:tc>
          <w:tcPr>
            <w:tcW w:type="dxa" w:w="1872"/>
          </w:tcPr>
          <w:p>
            <w:pPr>
              <w:jc w:val="center"/>
            </w:pPr>
            <w:r/>
            <w:r>
              <w:rPr>
                <w:rFonts w:ascii="Times New Roman" w:hAnsi="Times New Roman"/>
                <w:b/>
                <w:sz w:val="18"/>
              </w:rPr>
              <w:t>Form. MAE</w:t>
            </w:r>
          </w:p>
        </w:tc>
        <w:tc>
          <w:tcPr>
            <w:tcW w:type="dxa" w:w="1872"/>
          </w:tcPr>
          <w:p>
            <w:pPr>
              <w:jc w:val="center"/>
            </w:pPr>
            <w:r/>
            <w:r>
              <w:rPr>
                <w:rFonts w:ascii="Times New Roman" w:hAnsi="Times New Roman"/>
                <w:b/>
                <w:sz w:val="18"/>
              </w:rPr>
              <w:t>Hull R2</w:t>
            </w:r>
          </w:p>
        </w:tc>
        <w:tc>
          <w:tcPr>
            <w:tcW w:type="dxa" w:w="1872"/>
          </w:tcPr>
          <w:p>
            <w:pPr>
              <w:jc w:val="center"/>
            </w:pPr>
            <w:r/>
            <w:r>
              <w:rPr>
                <w:rFonts w:ascii="Times New Roman" w:hAnsi="Times New Roman"/>
                <w:b/>
                <w:sz w:val="18"/>
              </w:rPr>
              <w:t>Hull MAE</w:t>
            </w:r>
          </w:p>
        </w:tc>
      </w:tr>
      <w:tr>
        <w:tc>
          <w:tcPr>
            <w:tcW w:type="dxa" w:w="1872"/>
          </w:tcPr>
          <w:p>
            <w:pPr>
              <w:jc w:val="center"/>
            </w:pPr>
            <w:r/>
            <w:r>
              <w:rPr>
                <w:rFonts w:ascii="Times New Roman" w:hAnsi="Times New Roman"/>
                <w:sz w:val="18"/>
              </w:rPr>
              <w:t>Pure LightGBM</w:t>
            </w:r>
          </w:p>
        </w:tc>
        <w:tc>
          <w:tcPr>
            <w:tcW w:type="dxa" w:w="1872"/>
          </w:tcPr>
          <w:p>
            <w:pPr>
              <w:jc w:val="center"/>
            </w:pPr>
            <w:r/>
            <w:r>
              <w:rPr>
                <w:rFonts w:ascii="Times New Roman" w:hAnsi="Times New Roman"/>
                <w:sz w:val="18"/>
              </w:rPr>
              <w:t>0.912</w:t>
            </w:r>
          </w:p>
        </w:tc>
        <w:tc>
          <w:tcPr>
            <w:tcW w:type="dxa" w:w="1872"/>
          </w:tcPr>
          <w:p>
            <w:pPr>
              <w:jc w:val="center"/>
            </w:pPr>
            <w:r/>
            <w:r>
              <w:rPr>
                <w:rFonts w:ascii="Times New Roman" w:hAnsi="Times New Roman"/>
                <w:sz w:val="18"/>
              </w:rPr>
              <w:t>0.193</w:t>
            </w:r>
          </w:p>
        </w:tc>
        <w:tc>
          <w:tcPr>
            <w:tcW w:type="dxa" w:w="1872"/>
          </w:tcPr>
          <w:p>
            <w:pPr>
              <w:jc w:val="center"/>
            </w:pPr>
            <w:r/>
            <w:r>
              <w:rPr>
                <w:rFonts w:ascii="Times New Roman" w:hAnsi="Times New Roman"/>
                <w:sz w:val="18"/>
              </w:rPr>
              <w:t>0.793</w:t>
            </w:r>
          </w:p>
        </w:tc>
        <w:tc>
          <w:tcPr>
            <w:tcW w:type="dxa" w:w="1872"/>
          </w:tcPr>
          <w:p>
            <w:pPr>
              <w:jc w:val="center"/>
            </w:pPr>
            <w:r/>
            <w:r>
              <w:rPr>
                <w:rFonts w:ascii="Times New Roman" w:hAnsi="Times New Roman"/>
                <w:sz w:val="18"/>
              </w:rPr>
              <w:t>0.179</w:t>
            </w:r>
          </w:p>
        </w:tc>
      </w:tr>
      <w:tr>
        <w:tc>
          <w:tcPr>
            <w:tcW w:type="dxa" w:w="1872"/>
          </w:tcPr>
          <w:p>
            <w:pPr>
              <w:jc w:val="center"/>
            </w:pPr>
            <w:r/>
            <w:r>
              <w:rPr>
                <w:rFonts w:ascii="Times New Roman" w:hAnsi="Times New Roman"/>
                <w:sz w:val="18"/>
              </w:rPr>
              <w:t>GBDT stacking</w:t>
            </w:r>
          </w:p>
        </w:tc>
        <w:tc>
          <w:tcPr>
            <w:tcW w:type="dxa" w:w="1872"/>
          </w:tcPr>
          <w:p>
            <w:pPr>
              <w:jc w:val="center"/>
            </w:pPr>
            <w:r/>
            <w:r>
              <w:rPr>
                <w:rFonts w:ascii="Times New Roman" w:hAnsi="Times New Roman"/>
                <w:sz w:val="18"/>
              </w:rPr>
              <w:t>0.918</w:t>
            </w:r>
          </w:p>
        </w:tc>
        <w:tc>
          <w:tcPr>
            <w:tcW w:type="dxa" w:w="1872"/>
          </w:tcPr>
          <w:p>
            <w:pPr>
              <w:jc w:val="center"/>
            </w:pPr>
            <w:r/>
            <w:r>
              <w:rPr>
                <w:rFonts w:ascii="Times New Roman" w:hAnsi="Times New Roman"/>
                <w:sz w:val="18"/>
              </w:rPr>
              <w:t>0.181</w:t>
            </w:r>
          </w:p>
        </w:tc>
        <w:tc>
          <w:tcPr>
            <w:tcW w:type="dxa" w:w="1872"/>
          </w:tcPr>
          <w:p>
            <w:pPr>
              <w:jc w:val="center"/>
            </w:pPr>
            <w:r/>
            <w:r>
              <w:rPr>
                <w:rFonts w:ascii="Times New Roman" w:hAnsi="Times New Roman"/>
                <w:sz w:val="18"/>
              </w:rPr>
              <w:t>0.813</w:t>
            </w:r>
          </w:p>
        </w:tc>
        <w:tc>
          <w:tcPr>
            <w:tcW w:type="dxa" w:w="1872"/>
          </w:tcPr>
          <w:p>
            <w:pPr>
              <w:jc w:val="center"/>
            </w:pPr>
            <w:r/>
            <w:r>
              <w:rPr>
                <w:rFonts w:ascii="Times New Roman" w:hAnsi="Times New Roman"/>
                <w:sz w:val="18"/>
              </w:rPr>
              <w:t>0.169</w:t>
            </w:r>
          </w:p>
        </w:tc>
      </w:tr>
      <w:tr>
        <w:tc>
          <w:tcPr>
            <w:tcW w:type="dxa" w:w="1872"/>
          </w:tcPr>
          <w:p>
            <w:pPr>
              <w:jc w:val="center"/>
            </w:pPr>
            <w:r/>
            <w:r>
              <w:rPr>
                <w:rFonts w:ascii="Times New Roman" w:hAnsi="Times New Roman"/>
                <w:sz w:val="18"/>
              </w:rPr>
              <w:t>PACT-Final</w:t>
            </w:r>
          </w:p>
        </w:tc>
        <w:tc>
          <w:tcPr>
            <w:tcW w:type="dxa" w:w="1872"/>
          </w:tcPr>
          <w:p>
            <w:pPr>
              <w:jc w:val="center"/>
            </w:pPr>
            <w:r/>
            <w:r>
              <w:rPr>
                <w:rFonts w:ascii="Times New Roman" w:hAnsi="Times New Roman"/>
                <w:sz w:val="18"/>
              </w:rPr>
              <w:t>0.914</w:t>
            </w:r>
          </w:p>
        </w:tc>
        <w:tc>
          <w:tcPr>
            <w:tcW w:type="dxa" w:w="1872"/>
          </w:tcPr>
          <w:p>
            <w:pPr>
              <w:jc w:val="center"/>
            </w:pPr>
            <w:r/>
            <w:r>
              <w:rPr>
                <w:rFonts w:ascii="Times New Roman" w:hAnsi="Times New Roman"/>
                <w:sz w:val="18"/>
              </w:rPr>
              <w:t>0.186</w:t>
            </w:r>
          </w:p>
        </w:tc>
        <w:tc>
          <w:tcPr>
            <w:tcW w:type="dxa" w:w="1872"/>
          </w:tcPr>
          <w:p>
            <w:pPr>
              <w:jc w:val="center"/>
            </w:pPr>
            <w:r/>
            <w:r>
              <w:rPr>
                <w:rFonts w:ascii="Times New Roman" w:hAnsi="Times New Roman"/>
                <w:sz w:val="18"/>
              </w:rPr>
              <w:t>0.800</w:t>
            </w:r>
          </w:p>
        </w:tc>
        <w:tc>
          <w:tcPr>
            <w:tcW w:type="dxa" w:w="1872"/>
          </w:tcPr>
          <w:p>
            <w:pPr>
              <w:jc w:val="center"/>
            </w:pPr>
            <w:r/>
            <w:r>
              <w:rPr>
                <w:rFonts w:ascii="Times New Roman" w:hAnsi="Times New Roman"/>
                <w:sz w:val="18"/>
              </w:rPr>
              <w:t>0.171</w:t>
            </w:r>
          </w:p>
        </w:tc>
      </w:tr>
      <w:tr>
        <w:tc>
          <w:tcPr>
            <w:tcW w:type="dxa" w:w="1872"/>
          </w:tcPr>
          <w:p>
            <w:pPr>
              <w:jc w:val="center"/>
            </w:pPr>
            <w:r/>
            <w:r>
              <w:rPr>
                <w:rFonts w:ascii="Times New Roman" w:hAnsi="Times New Roman"/>
                <w:sz w:val="18"/>
              </w:rPr>
              <w:t>Ref. [10] (diff. dataset)</w:t>
            </w:r>
          </w:p>
        </w:tc>
        <w:tc>
          <w:tcPr>
            <w:tcW w:type="dxa" w:w="1872"/>
          </w:tcPr>
          <w:p>
            <w:pPr>
              <w:jc w:val="center"/>
            </w:pPr>
            <w:r/>
            <w:r>
              <w:rPr>
                <w:rFonts w:ascii="Times New Roman" w:hAnsi="Times New Roman"/>
                <w:sz w:val="18"/>
              </w:rPr>
              <w:t>0.928</w:t>
            </w:r>
          </w:p>
        </w:tc>
        <w:tc>
          <w:tcPr>
            <w:tcW w:type="dxa" w:w="1872"/>
          </w:tcPr>
          <w:p>
            <w:pPr>
              <w:jc w:val="center"/>
            </w:pPr>
            <w:r/>
            <w:r>
              <w:rPr>
                <w:rFonts w:ascii="Times New Roman" w:hAnsi="Times New Roman"/>
                <w:sz w:val="18"/>
              </w:rPr>
              <w:t>-</w:t>
            </w:r>
          </w:p>
        </w:tc>
        <w:tc>
          <w:tcPr>
            <w:tcW w:type="dxa" w:w="1872"/>
          </w:tcPr>
          <w:p>
            <w:pPr>
              <w:jc w:val="center"/>
            </w:pPr>
            <w:r/>
            <w:r>
              <w:rPr>
                <w:rFonts w:ascii="Times New Roman" w:hAnsi="Times New Roman"/>
                <w:sz w:val="18"/>
              </w:rPr>
              <w:t>-</w:t>
            </w:r>
          </w:p>
        </w:tc>
        <w:tc>
          <w:tcPr>
            <w:tcW w:type="dxa" w:w="1872"/>
          </w:tcPr>
          <w:p>
            <w:pPr>
              <w:jc w:val="center"/>
            </w:pPr>
            <w:r/>
            <w:r>
              <w:rPr>
                <w:rFonts w:ascii="Times New Roman" w:hAnsi="Times New Roman"/>
                <w:sz w:val="18"/>
              </w:rPr>
              <w:t>-</w:t>
            </w:r>
          </w:p>
        </w:tc>
      </w:tr>
    </w:tbl>
    <w:p/>
    <w:p>
      <w:pPr>
        <w:spacing w:line="480" w:lineRule="auto"/>
        <w:jc w:val="both"/>
      </w:pPr>
      <w:r>
        <w:rPr>
          <w:rFonts w:ascii="Times New Roman" w:hAnsi="Times New Roman"/>
          <w:b w:val="0"/>
          <w:i w:val="0"/>
          <w:sz w:val="24"/>
        </w:rPr>
        <w:t>Figure 2**: Parity plots - predicted vs. DFT for (a) formation energy, (b) hull energy, colored by ensemble σ, with y = x reference line, R² and MAE annotated.</w:t>
      </w:r>
    </w:p>
    <w:p>
      <w:pPr>
        <w:spacing w:line="240" w:lineRule="auto"/>
        <w:jc w:val="center"/>
      </w:pPr>
      <w:r>
        <w:drawing>
          <wp:inline xmlns:a="http://schemas.openxmlformats.org/drawingml/2006/main" xmlns:pic="http://schemas.openxmlformats.org/drawingml/2006/picture">
            <wp:extent cx="5029200" cy="2104376"/>
            <wp:docPr id="2" name="Picture 2"/>
            <wp:cNvGraphicFramePr>
              <a:graphicFrameLocks noChangeAspect="1"/>
            </wp:cNvGraphicFramePr>
            <a:graphic>
              <a:graphicData uri="http://schemas.openxmlformats.org/drawingml/2006/picture">
                <pic:pic>
                  <pic:nvPicPr>
                    <pic:cNvPr id="0" name="Figure_2_parity.png"/>
                    <pic:cNvPicPr/>
                  </pic:nvPicPr>
                  <pic:blipFill>
                    <a:blip r:embed="rId10"/>
                    <a:stretch>
                      <a:fillRect/>
                    </a:stretch>
                  </pic:blipFill>
                  <pic:spPr>
                    <a:xfrm>
                      <a:off x="0" y="0"/>
                      <a:ext cx="5029200" cy="2104376"/>
                    </a:xfrm>
                    <a:prstGeom prst="rect"/>
                  </pic:spPr>
                </pic:pic>
              </a:graphicData>
            </a:graphic>
          </wp:inline>
        </w:drawing>
      </w:r>
    </w:p>
    <w:p>
      <w:pPr>
        <w:spacing w:line="240" w:lineRule="auto"/>
        <w:jc w:val="center"/>
      </w:pPr>
      <w:r>
        <w:rPr>
          <w:rFonts w:ascii="Times New Roman" w:hAnsi="Times New Roman"/>
          <w:sz w:val="20"/>
        </w:rPr>
        <w:t>Fig. 2. Parity plots of predicted vs. DFT values for (a) formation energy and (b) energy above hull. Points colored by ensemble sigma. Dashed line: y = x.</w:t>
      </w:r>
    </w:p>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For context, this formation-energy R² is comparable to the gradient-boosting benchmark of Emery and Wolverton (R² ≈ 0.91 on the same wolverton_oxides dataset [6]) and to the 0.928 reported by Deng et al. [10] on a distinct Materials-Project-derived ABX₃ dataset using SHAP-guided feature selection. Direct numerical comparison across datasets is complicated by differing DFT reference frames (we measured Pearson r = 0.358 between our dataset and matbench_perovskites, precluding cross-dataset validation), but the point-estimate accuracy places our model in the same tier as recent descriptor-ML benchmarks. Crucially, our differentiation is not in R² but in the uncertainty and applicability components that follow.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jc w:val="both"/>
      </w:pPr>
      <w:r>
        <w:rPr>
          <w:rFonts w:ascii="Times New Roman" w:hAnsi="Times New Roman"/>
          <w:b w:val="0"/>
          <w:i w:val="0"/>
          <w:sz w:val="24"/>
        </w:rPr>
        <w:t>Error analysis. The 8.0% of samples with absolute error exceeding 0.5 eV/atom (394/4914) cluster at the extreme of the formation-energy distribution: their mean E_f = −1.384 eV/atom is less negative than the global mean (−1.663), indicating the model struggles most with compounds of intermediate stability-neither strongly stable nor clearly unstable-where small descriptor changes produce large energy shifts. Conversely, the most accurately predicted compounds are strongly stable perovskites (E_f &lt; −2.5 eV/atom, e.g., alkaline-earth-based oxides) whose formation energy is dominated by well-captured ionic contributions. Notably, 4 of the 5 worst predictions occur at σ &lt; 0.10 eV/atom, suggesting the ensemble underestimates uncertainty for certain extrapolative samples; this residual miscalibration motivates the conditional (CQR) intervals in §3.2, which do not rely on σ alone.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Table 2**: CQR vs. standard split conformal - PICP, MPIW, ECE, for both targets, fair (same-family) baseline.</w:t>
      </w:r>
    </w:p>
    <w:p>
      <w:pPr>
        <w:spacing w:line="240" w:lineRule="auto"/>
      </w:pPr>
      <w:r>
        <w:rPr>
          <w:rFonts w:ascii="Times New Roman" w:hAnsi="Times New Roman"/>
          <w:b/>
          <w:sz w:val="20"/>
        </w:rPr>
        <w:t>Table 2. CQR vs. standard split conformal (fair LightGBM-family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Target</w:t>
            </w:r>
          </w:p>
        </w:tc>
        <w:tc>
          <w:tcPr>
            <w:tcW w:type="dxa" w:w="1560"/>
          </w:tcPr>
          <w:p>
            <w:pPr>
              <w:jc w:val="center"/>
            </w:pPr>
            <w:r/>
            <w:r>
              <w:rPr>
                <w:rFonts w:ascii="Times New Roman" w:hAnsi="Times New Roman"/>
                <w:b/>
                <w:sz w:val="18"/>
              </w:rPr>
              <w:t>Method</w:t>
            </w:r>
          </w:p>
        </w:tc>
        <w:tc>
          <w:tcPr>
            <w:tcW w:type="dxa" w:w="1560"/>
          </w:tcPr>
          <w:p>
            <w:pPr>
              <w:jc w:val="center"/>
            </w:pPr>
            <w:r/>
            <w:r>
              <w:rPr>
                <w:rFonts w:ascii="Times New Roman" w:hAnsi="Times New Roman"/>
                <w:b/>
                <w:sz w:val="18"/>
              </w:rPr>
              <w:t>PICP</w:t>
            </w:r>
          </w:p>
        </w:tc>
        <w:tc>
          <w:tcPr>
            <w:tcW w:type="dxa" w:w="1560"/>
          </w:tcPr>
          <w:p>
            <w:pPr>
              <w:jc w:val="center"/>
            </w:pPr>
            <w:r/>
            <w:r>
              <w:rPr>
                <w:rFonts w:ascii="Times New Roman" w:hAnsi="Times New Roman"/>
                <w:b/>
                <w:sz w:val="18"/>
              </w:rPr>
              <w:t>MPIW</w:t>
            </w:r>
          </w:p>
        </w:tc>
        <w:tc>
          <w:tcPr>
            <w:tcW w:type="dxa" w:w="1560"/>
          </w:tcPr>
          <w:p>
            <w:pPr>
              <w:jc w:val="center"/>
            </w:pPr>
            <w:r/>
            <w:r>
              <w:rPr>
                <w:rFonts w:ascii="Times New Roman" w:hAnsi="Times New Roman"/>
                <w:b/>
                <w:sz w:val="18"/>
              </w:rPr>
              <w:t>ECE</w:t>
            </w:r>
          </w:p>
        </w:tc>
        <w:tc>
          <w:tcPr>
            <w:tcW w:type="dxa" w:w="1560"/>
          </w:tcPr>
          <w:p>
            <w:pPr>
              <w:jc w:val="center"/>
            </w:pPr>
            <w:r/>
            <w:r>
              <w:rPr>
                <w:rFonts w:ascii="Times New Roman" w:hAnsi="Times New Roman"/>
                <w:b/>
                <w:sz w:val="18"/>
              </w:rPr>
              <w:t>Improv.</w:t>
            </w:r>
          </w:p>
        </w:tc>
      </w:tr>
      <w:tr>
        <w:tc>
          <w:tcPr>
            <w:tcW w:type="dxa" w:w="1560"/>
          </w:tcPr>
          <w:p>
            <w:pPr>
              <w:jc w:val="center"/>
            </w:pPr>
            <w:r/>
            <w:r>
              <w:rPr>
                <w:rFonts w:ascii="Times New Roman" w:hAnsi="Times New Roman"/>
                <w:sz w:val="18"/>
              </w:rPr>
              <w:t>Form. E</w:t>
            </w:r>
          </w:p>
        </w:tc>
        <w:tc>
          <w:tcPr>
            <w:tcW w:type="dxa" w:w="1560"/>
          </w:tcPr>
          <w:p>
            <w:pPr>
              <w:jc w:val="center"/>
            </w:pPr>
            <w:r/>
            <w:r>
              <w:rPr>
                <w:rFonts w:ascii="Times New Roman" w:hAnsi="Times New Roman"/>
                <w:sz w:val="18"/>
              </w:rPr>
              <w:t>Standard</w:t>
            </w:r>
          </w:p>
        </w:tc>
        <w:tc>
          <w:tcPr>
            <w:tcW w:type="dxa" w:w="1560"/>
          </w:tcPr>
          <w:p>
            <w:pPr>
              <w:jc w:val="center"/>
            </w:pPr>
            <w:r/>
            <w:r>
              <w:rPr>
                <w:rFonts w:ascii="Times New Roman" w:hAnsi="Times New Roman"/>
                <w:sz w:val="18"/>
              </w:rPr>
              <w:t>0.810</w:t>
            </w:r>
          </w:p>
        </w:tc>
        <w:tc>
          <w:tcPr>
            <w:tcW w:type="dxa" w:w="1560"/>
          </w:tcPr>
          <w:p>
            <w:pPr>
              <w:jc w:val="center"/>
            </w:pPr>
            <w:r/>
            <w:r>
              <w:rPr>
                <w:rFonts w:ascii="Times New Roman" w:hAnsi="Times New Roman"/>
                <w:sz w:val="18"/>
              </w:rPr>
              <w:t>0.611</w:t>
            </w:r>
          </w:p>
        </w:tc>
        <w:tc>
          <w:tcPr>
            <w:tcW w:type="dxa" w:w="1560"/>
          </w:tcPr>
          <w:p>
            <w:pPr>
              <w:jc w:val="center"/>
            </w:pPr>
            <w:r/>
            <w:r>
              <w:rPr>
                <w:rFonts w:ascii="Times New Roman" w:hAnsi="Times New Roman"/>
                <w:sz w:val="18"/>
              </w:rPr>
              <w:t>0.085</w:t>
            </w:r>
          </w:p>
        </w:tc>
        <w:tc>
          <w:tcPr>
            <w:tcW w:type="dxa" w:w="1560"/>
          </w:tcPr>
          <w:p>
            <w:pPr>
              <w:jc w:val="center"/>
            </w:pPr>
            <w:r/>
            <w:r>
              <w:rPr>
                <w:rFonts w:ascii="Times New Roman" w:hAnsi="Times New Roman"/>
                <w:sz w:val="18"/>
              </w:rPr>
              <w:t>-</w:t>
            </w:r>
          </w:p>
        </w:tc>
      </w:tr>
      <w:tr>
        <w:tc>
          <w:tcPr>
            <w:tcW w:type="dxa" w:w="1560"/>
          </w:tcPr>
          <w:p>
            <w:pPr>
              <w:jc w:val="center"/>
            </w:pPr>
            <w:r/>
            <w:r>
              <w:rPr>
                <w:rFonts w:ascii="Times New Roman" w:hAnsi="Times New Roman"/>
                <w:sz w:val="18"/>
              </w:rPr>
              <w:t>Form. E</w:t>
            </w:r>
          </w:p>
        </w:tc>
        <w:tc>
          <w:tcPr>
            <w:tcW w:type="dxa" w:w="1560"/>
          </w:tcPr>
          <w:p>
            <w:pPr>
              <w:jc w:val="center"/>
            </w:pPr>
            <w:r/>
            <w:r>
              <w:rPr>
                <w:rFonts w:ascii="Times New Roman" w:hAnsi="Times New Roman"/>
                <w:sz w:val="18"/>
              </w:rPr>
              <w:t>CQR</w:t>
            </w:r>
          </w:p>
        </w:tc>
        <w:tc>
          <w:tcPr>
            <w:tcW w:type="dxa" w:w="1560"/>
          </w:tcPr>
          <w:p>
            <w:pPr>
              <w:jc w:val="center"/>
            </w:pPr>
            <w:r/>
            <w:r>
              <w:rPr>
                <w:rFonts w:ascii="Times New Roman" w:hAnsi="Times New Roman"/>
                <w:sz w:val="18"/>
              </w:rPr>
              <w:t>0.802</w:t>
            </w:r>
          </w:p>
        </w:tc>
        <w:tc>
          <w:tcPr>
            <w:tcW w:type="dxa" w:w="1560"/>
          </w:tcPr>
          <w:p>
            <w:pPr>
              <w:jc w:val="center"/>
            </w:pPr>
            <w:r/>
            <w:r>
              <w:rPr>
                <w:rFonts w:ascii="Times New Roman" w:hAnsi="Times New Roman"/>
                <w:sz w:val="18"/>
              </w:rPr>
              <w:t>0.823</w:t>
            </w:r>
          </w:p>
        </w:tc>
        <w:tc>
          <w:tcPr>
            <w:tcW w:type="dxa" w:w="1560"/>
          </w:tcPr>
          <w:p>
            <w:pPr>
              <w:jc w:val="center"/>
            </w:pPr>
            <w:r/>
            <w:r>
              <w:rPr>
                <w:rFonts w:ascii="Times New Roman" w:hAnsi="Times New Roman"/>
                <w:sz w:val="18"/>
              </w:rPr>
              <w:t>0.034</w:t>
            </w:r>
          </w:p>
        </w:tc>
        <w:tc>
          <w:tcPr>
            <w:tcW w:type="dxa" w:w="1560"/>
          </w:tcPr>
          <w:p>
            <w:pPr>
              <w:jc w:val="center"/>
            </w:pPr>
            <w:r/>
            <w:r>
              <w:rPr>
                <w:rFonts w:ascii="Times New Roman" w:hAnsi="Times New Roman"/>
                <w:sz w:val="18"/>
              </w:rPr>
              <w:t>60%</w:t>
            </w:r>
          </w:p>
        </w:tc>
      </w:tr>
      <w:tr>
        <w:tc>
          <w:tcPr>
            <w:tcW w:type="dxa" w:w="1560"/>
          </w:tcPr>
          <w:p>
            <w:pPr>
              <w:jc w:val="center"/>
            </w:pPr>
            <w:r/>
            <w:r>
              <w:rPr>
                <w:rFonts w:ascii="Times New Roman" w:hAnsi="Times New Roman"/>
                <w:sz w:val="18"/>
              </w:rPr>
              <w:t>Hull E</w:t>
            </w:r>
          </w:p>
        </w:tc>
        <w:tc>
          <w:tcPr>
            <w:tcW w:type="dxa" w:w="1560"/>
          </w:tcPr>
          <w:p>
            <w:pPr>
              <w:jc w:val="center"/>
            </w:pPr>
            <w:r/>
            <w:r>
              <w:rPr>
                <w:rFonts w:ascii="Times New Roman" w:hAnsi="Times New Roman"/>
                <w:sz w:val="18"/>
              </w:rPr>
              <w:t>Standard</w:t>
            </w:r>
          </w:p>
        </w:tc>
        <w:tc>
          <w:tcPr>
            <w:tcW w:type="dxa" w:w="1560"/>
          </w:tcPr>
          <w:p>
            <w:pPr>
              <w:jc w:val="center"/>
            </w:pPr>
            <w:r/>
            <w:r>
              <w:rPr>
                <w:rFonts w:ascii="Times New Roman" w:hAnsi="Times New Roman"/>
                <w:sz w:val="18"/>
              </w:rPr>
              <w:t>0.815</w:t>
            </w:r>
          </w:p>
        </w:tc>
        <w:tc>
          <w:tcPr>
            <w:tcW w:type="dxa" w:w="1560"/>
          </w:tcPr>
          <w:p>
            <w:pPr>
              <w:jc w:val="center"/>
            </w:pPr>
            <w:r/>
            <w:r>
              <w:rPr>
                <w:rFonts w:ascii="Times New Roman" w:hAnsi="Times New Roman"/>
                <w:sz w:val="18"/>
              </w:rPr>
              <w:t>0.566</w:t>
            </w:r>
          </w:p>
        </w:tc>
        <w:tc>
          <w:tcPr>
            <w:tcW w:type="dxa" w:w="1560"/>
          </w:tcPr>
          <w:p>
            <w:pPr>
              <w:jc w:val="center"/>
            </w:pPr>
            <w:r/>
            <w:r>
              <w:rPr>
                <w:rFonts w:ascii="Times New Roman" w:hAnsi="Times New Roman"/>
                <w:sz w:val="18"/>
              </w:rPr>
              <w:t>0.086</w:t>
            </w:r>
          </w:p>
        </w:tc>
        <w:tc>
          <w:tcPr>
            <w:tcW w:type="dxa" w:w="1560"/>
          </w:tcPr>
          <w:p>
            <w:pPr>
              <w:jc w:val="center"/>
            </w:pPr>
            <w:r/>
            <w:r>
              <w:rPr>
                <w:rFonts w:ascii="Times New Roman" w:hAnsi="Times New Roman"/>
                <w:sz w:val="18"/>
              </w:rPr>
              <w:t>-</w:t>
            </w:r>
          </w:p>
        </w:tc>
      </w:tr>
      <w:tr>
        <w:tc>
          <w:tcPr>
            <w:tcW w:type="dxa" w:w="1560"/>
          </w:tcPr>
          <w:p>
            <w:pPr>
              <w:jc w:val="center"/>
            </w:pPr>
            <w:r/>
            <w:r>
              <w:rPr>
                <w:rFonts w:ascii="Times New Roman" w:hAnsi="Times New Roman"/>
                <w:sz w:val="18"/>
              </w:rPr>
              <w:t>Hull E</w:t>
            </w:r>
          </w:p>
        </w:tc>
        <w:tc>
          <w:tcPr>
            <w:tcW w:type="dxa" w:w="1560"/>
          </w:tcPr>
          <w:p>
            <w:pPr>
              <w:jc w:val="center"/>
            </w:pPr>
            <w:r/>
            <w:r>
              <w:rPr>
                <w:rFonts w:ascii="Times New Roman" w:hAnsi="Times New Roman"/>
                <w:sz w:val="18"/>
              </w:rPr>
              <w:t>CQR</w:t>
            </w:r>
          </w:p>
        </w:tc>
        <w:tc>
          <w:tcPr>
            <w:tcW w:type="dxa" w:w="1560"/>
          </w:tcPr>
          <w:p>
            <w:pPr>
              <w:jc w:val="center"/>
            </w:pPr>
            <w:r/>
            <w:r>
              <w:rPr>
                <w:rFonts w:ascii="Times New Roman" w:hAnsi="Times New Roman"/>
                <w:sz w:val="18"/>
              </w:rPr>
              <w:t>0.807</w:t>
            </w:r>
          </w:p>
        </w:tc>
        <w:tc>
          <w:tcPr>
            <w:tcW w:type="dxa" w:w="1560"/>
          </w:tcPr>
          <w:p>
            <w:pPr>
              <w:jc w:val="center"/>
            </w:pPr>
            <w:r/>
            <w:r>
              <w:rPr>
                <w:rFonts w:ascii="Times New Roman" w:hAnsi="Times New Roman"/>
                <w:sz w:val="18"/>
              </w:rPr>
              <w:t>0.719</w:t>
            </w:r>
          </w:p>
        </w:tc>
        <w:tc>
          <w:tcPr>
            <w:tcW w:type="dxa" w:w="1560"/>
          </w:tcPr>
          <w:p>
            <w:pPr>
              <w:jc w:val="center"/>
            </w:pPr>
            <w:r/>
            <w:r>
              <w:rPr>
                <w:rFonts w:ascii="Times New Roman" w:hAnsi="Times New Roman"/>
                <w:sz w:val="18"/>
              </w:rPr>
              <w:t>0.049</w:t>
            </w:r>
          </w:p>
        </w:tc>
        <w:tc>
          <w:tcPr>
            <w:tcW w:type="dxa" w:w="1560"/>
          </w:tcPr>
          <w:p>
            <w:pPr>
              <w:jc w:val="center"/>
            </w:pPr>
            <w:r/>
            <w:r>
              <w:rPr>
                <w:rFonts w:ascii="Times New Roman" w:hAnsi="Times New Roman"/>
                <w:sz w:val="18"/>
              </w:rPr>
              <w:t>43%</w:t>
            </w:r>
          </w:p>
        </w:tc>
      </w:tr>
    </w:tbl>
    <w:p/>
    <w:p>
      <w:pPr>
        <w:spacing w:line="480" w:lineRule="auto"/>
        <w:jc w:val="both"/>
      </w:pPr>
      <w:r>
        <w:rPr>
          <w:rFonts w:ascii="Times New Roman" w:hAnsi="Times New Roman"/>
          <w:b w:val="0"/>
          <w:i w:val="0"/>
          <w:sz w:val="24"/>
        </w:rPr>
        <w:t>Figure 3**: Reliability diagrams - empirical coverage per σ-decile for standard conformal vs. CQR, with nominal 0.80 reference.</w:t>
      </w:r>
    </w:p>
    <w:p>
      <w:pPr>
        <w:spacing w:line="240" w:lineRule="auto"/>
        <w:jc w:val="center"/>
      </w:pPr>
      <w:r>
        <w:drawing>
          <wp:inline xmlns:a="http://schemas.openxmlformats.org/drawingml/2006/main" xmlns:pic="http://schemas.openxmlformats.org/drawingml/2006/picture">
            <wp:extent cx="5029200" cy="2276994"/>
            <wp:docPr id="3" name="Picture 3"/>
            <wp:cNvGraphicFramePr>
              <a:graphicFrameLocks noChangeAspect="1"/>
            </wp:cNvGraphicFramePr>
            <a:graphic>
              <a:graphicData uri="http://schemas.openxmlformats.org/drawingml/2006/picture">
                <pic:pic>
                  <pic:nvPicPr>
                    <pic:cNvPr id="0" name="Figure_3_reliability.png"/>
                    <pic:cNvPicPr/>
                  </pic:nvPicPr>
                  <pic:blipFill>
                    <a:blip r:embed="rId11"/>
                    <a:stretch>
                      <a:fillRect/>
                    </a:stretch>
                  </pic:blipFill>
                  <pic:spPr>
                    <a:xfrm>
                      <a:off x="0" y="0"/>
                      <a:ext cx="5029200" cy="2276994"/>
                    </a:xfrm>
                    <a:prstGeom prst="rect"/>
                  </pic:spPr>
                </pic:pic>
              </a:graphicData>
            </a:graphic>
          </wp:inline>
        </w:drawing>
      </w:r>
    </w:p>
    <w:p>
      <w:pPr>
        <w:spacing w:line="240" w:lineRule="auto"/>
        <w:jc w:val="center"/>
      </w:pPr>
      <w:r>
        <w:rPr>
          <w:rFonts w:ascii="Times New Roman" w:hAnsi="Times New Roman"/>
          <w:sz w:val="20"/>
        </w:rPr>
        <w:t>Fig. 3. Reliability diagrams showing empirical coverage per uncertainty decile for standard split conformal vs. CQR.</w:t>
      </w:r>
    </w:p>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240" w:lineRule="auto"/>
      </w:pPr>
      <w:r>
        <w:rPr>
          <w:rFonts w:ascii="Times New Roman" w:hAnsi="Times New Roman"/>
          <w:b/>
          <w:sz w:val="20"/>
        </w:rPr>
        <w:t>Table 2. CQR vs. standard split conformal (fair LightGBM-family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Target</w:t>
            </w:r>
          </w:p>
        </w:tc>
        <w:tc>
          <w:tcPr>
            <w:tcW w:type="dxa" w:w="1560"/>
          </w:tcPr>
          <w:p>
            <w:pPr>
              <w:jc w:val="center"/>
            </w:pPr>
            <w:r/>
            <w:r>
              <w:rPr>
                <w:rFonts w:ascii="Times New Roman" w:hAnsi="Times New Roman"/>
                <w:b/>
                <w:sz w:val="18"/>
              </w:rPr>
              <w:t>Method</w:t>
            </w:r>
          </w:p>
        </w:tc>
        <w:tc>
          <w:tcPr>
            <w:tcW w:type="dxa" w:w="1560"/>
          </w:tcPr>
          <w:p>
            <w:pPr>
              <w:jc w:val="center"/>
            </w:pPr>
            <w:r/>
            <w:r>
              <w:rPr>
                <w:rFonts w:ascii="Times New Roman" w:hAnsi="Times New Roman"/>
                <w:b/>
                <w:sz w:val="18"/>
              </w:rPr>
              <w:t>PICP</w:t>
            </w:r>
          </w:p>
        </w:tc>
        <w:tc>
          <w:tcPr>
            <w:tcW w:type="dxa" w:w="1560"/>
          </w:tcPr>
          <w:p>
            <w:pPr>
              <w:jc w:val="center"/>
            </w:pPr>
            <w:r/>
            <w:r>
              <w:rPr>
                <w:rFonts w:ascii="Times New Roman" w:hAnsi="Times New Roman"/>
                <w:b/>
                <w:sz w:val="18"/>
              </w:rPr>
              <w:t>MPIW</w:t>
            </w:r>
          </w:p>
        </w:tc>
        <w:tc>
          <w:tcPr>
            <w:tcW w:type="dxa" w:w="1560"/>
          </w:tcPr>
          <w:p>
            <w:pPr>
              <w:jc w:val="center"/>
            </w:pPr>
            <w:r/>
            <w:r>
              <w:rPr>
                <w:rFonts w:ascii="Times New Roman" w:hAnsi="Times New Roman"/>
                <w:b/>
                <w:sz w:val="18"/>
              </w:rPr>
              <w:t>ECE</w:t>
            </w:r>
          </w:p>
        </w:tc>
        <w:tc>
          <w:tcPr>
            <w:tcW w:type="dxa" w:w="1560"/>
          </w:tcPr>
          <w:p>
            <w:pPr>
              <w:jc w:val="center"/>
            </w:pPr>
            <w:r/>
            <w:r>
              <w:rPr>
                <w:rFonts w:ascii="Times New Roman" w:hAnsi="Times New Roman"/>
                <w:b/>
                <w:sz w:val="18"/>
              </w:rPr>
              <w:t>Improv.</w:t>
            </w:r>
          </w:p>
        </w:tc>
      </w:tr>
      <w:tr>
        <w:tc>
          <w:tcPr>
            <w:tcW w:type="dxa" w:w="1560"/>
          </w:tcPr>
          <w:p>
            <w:pPr>
              <w:jc w:val="center"/>
            </w:pPr>
            <w:r/>
            <w:r>
              <w:rPr>
                <w:rFonts w:ascii="Times New Roman" w:hAnsi="Times New Roman"/>
                <w:sz w:val="18"/>
              </w:rPr>
              <w:t>Form. E</w:t>
            </w:r>
          </w:p>
        </w:tc>
        <w:tc>
          <w:tcPr>
            <w:tcW w:type="dxa" w:w="1560"/>
          </w:tcPr>
          <w:p>
            <w:pPr>
              <w:jc w:val="center"/>
            </w:pPr>
            <w:r/>
            <w:r>
              <w:rPr>
                <w:rFonts w:ascii="Times New Roman" w:hAnsi="Times New Roman"/>
                <w:sz w:val="18"/>
              </w:rPr>
              <w:t>Standard</w:t>
            </w:r>
          </w:p>
        </w:tc>
        <w:tc>
          <w:tcPr>
            <w:tcW w:type="dxa" w:w="1560"/>
          </w:tcPr>
          <w:p>
            <w:pPr>
              <w:jc w:val="center"/>
            </w:pPr>
            <w:r/>
            <w:r>
              <w:rPr>
                <w:rFonts w:ascii="Times New Roman" w:hAnsi="Times New Roman"/>
                <w:sz w:val="18"/>
              </w:rPr>
              <w:t>0.810</w:t>
            </w:r>
          </w:p>
        </w:tc>
        <w:tc>
          <w:tcPr>
            <w:tcW w:type="dxa" w:w="1560"/>
          </w:tcPr>
          <w:p>
            <w:pPr>
              <w:jc w:val="center"/>
            </w:pPr>
            <w:r/>
            <w:r>
              <w:rPr>
                <w:rFonts w:ascii="Times New Roman" w:hAnsi="Times New Roman"/>
                <w:sz w:val="18"/>
              </w:rPr>
              <w:t>0.611</w:t>
            </w:r>
          </w:p>
        </w:tc>
        <w:tc>
          <w:tcPr>
            <w:tcW w:type="dxa" w:w="1560"/>
          </w:tcPr>
          <w:p>
            <w:pPr>
              <w:jc w:val="center"/>
            </w:pPr>
            <w:r/>
            <w:r>
              <w:rPr>
                <w:rFonts w:ascii="Times New Roman" w:hAnsi="Times New Roman"/>
                <w:sz w:val="18"/>
              </w:rPr>
              <w:t>0.085</w:t>
            </w:r>
          </w:p>
        </w:tc>
        <w:tc>
          <w:tcPr>
            <w:tcW w:type="dxa" w:w="1560"/>
          </w:tcPr>
          <w:p>
            <w:pPr>
              <w:jc w:val="center"/>
            </w:pPr>
            <w:r/>
            <w:r>
              <w:rPr>
                <w:rFonts w:ascii="Times New Roman" w:hAnsi="Times New Roman"/>
                <w:sz w:val="18"/>
              </w:rPr>
              <w:t>-</w:t>
            </w:r>
          </w:p>
        </w:tc>
      </w:tr>
      <w:tr>
        <w:tc>
          <w:tcPr>
            <w:tcW w:type="dxa" w:w="1560"/>
          </w:tcPr>
          <w:p>
            <w:pPr>
              <w:jc w:val="center"/>
            </w:pPr>
            <w:r/>
            <w:r>
              <w:rPr>
                <w:rFonts w:ascii="Times New Roman" w:hAnsi="Times New Roman"/>
                <w:sz w:val="18"/>
              </w:rPr>
              <w:t>Form. E</w:t>
            </w:r>
          </w:p>
        </w:tc>
        <w:tc>
          <w:tcPr>
            <w:tcW w:type="dxa" w:w="1560"/>
          </w:tcPr>
          <w:p>
            <w:pPr>
              <w:jc w:val="center"/>
            </w:pPr>
            <w:r/>
            <w:r>
              <w:rPr>
                <w:rFonts w:ascii="Times New Roman" w:hAnsi="Times New Roman"/>
                <w:sz w:val="18"/>
              </w:rPr>
              <w:t>CQR</w:t>
            </w:r>
          </w:p>
        </w:tc>
        <w:tc>
          <w:tcPr>
            <w:tcW w:type="dxa" w:w="1560"/>
          </w:tcPr>
          <w:p>
            <w:pPr>
              <w:jc w:val="center"/>
            </w:pPr>
            <w:r/>
            <w:r>
              <w:rPr>
                <w:rFonts w:ascii="Times New Roman" w:hAnsi="Times New Roman"/>
                <w:sz w:val="18"/>
              </w:rPr>
              <w:t>0.802</w:t>
            </w:r>
          </w:p>
        </w:tc>
        <w:tc>
          <w:tcPr>
            <w:tcW w:type="dxa" w:w="1560"/>
          </w:tcPr>
          <w:p>
            <w:pPr>
              <w:jc w:val="center"/>
            </w:pPr>
            <w:r/>
            <w:r>
              <w:rPr>
                <w:rFonts w:ascii="Times New Roman" w:hAnsi="Times New Roman"/>
                <w:sz w:val="18"/>
              </w:rPr>
              <w:t>0.823</w:t>
            </w:r>
          </w:p>
        </w:tc>
        <w:tc>
          <w:tcPr>
            <w:tcW w:type="dxa" w:w="1560"/>
          </w:tcPr>
          <w:p>
            <w:pPr>
              <w:jc w:val="center"/>
            </w:pPr>
            <w:r/>
            <w:r>
              <w:rPr>
                <w:rFonts w:ascii="Times New Roman" w:hAnsi="Times New Roman"/>
                <w:sz w:val="18"/>
              </w:rPr>
              <w:t>0.034</w:t>
            </w:r>
          </w:p>
        </w:tc>
        <w:tc>
          <w:tcPr>
            <w:tcW w:type="dxa" w:w="1560"/>
          </w:tcPr>
          <w:p>
            <w:pPr>
              <w:jc w:val="center"/>
            </w:pPr>
            <w:r/>
            <w:r>
              <w:rPr>
                <w:rFonts w:ascii="Times New Roman" w:hAnsi="Times New Roman"/>
                <w:sz w:val="18"/>
              </w:rPr>
              <w:t>60%</w:t>
            </w:r>
          </w:p>
        </w:tc>
      </w:tr>
      <w:tr>
        <w:tc>
          <w:tcPr>
            <w:tcW w:type="dxa" w:w="1560"/>
          </w:tcPr>
          <w:p>
            <w:pPr>
              <w:jc w:val="center"/>
            </w:pPr>
            <w:r/>
            <w:r>
              <w:rPr>
                <w:rFonts w:ascii="Times New Roman" w:hAnsi="Times New Roman"/>
                <w:sz w:val="18"/>
              </w:rPr>
              <w:t>Hull E</w:t>
            </w:r>
          </w:p>
        </w:tc>
        <w:tc>
          <w:tcPr>
            <w:tcW w:type="dxa" w:w="1560"/>
          </w:tcPr>
          <w:p>
            <w:pPr>
              <w:jc w:val="center"/>
            </w:pPr>
            <w:r/>
            <w:r>
              <w:rPr>
                <w:rFonts w:ascii="Times New Roman" w:hAnsi="Times New Roman"/>
                <w:sz w:val="18"/>
              </w:rPr>
              <w:t>Standard</w:t>
            </w:r>
          </w:p>
        </w:tc>
        <w:tc>
          <w:tcPr>
            <w:tcW w:type="dxa" w:w="1560"/>
          </w:tcPr>
          <w:p>
            <w:pPr>
              <w:jc w:val="center"/>
            </w:pPr>
            <w:r/>
            <w:r>
              <w:rPr>
                <w:rFonts w:ascii="Times New Roman" w:hAnsi="Times New Roman"/>
                <w:sz w:val="18"/>
              </w:rPr>
              <w:t>0.815</w:t>
            </w:r>
          </w:p>
        </w:tc>
        <w:tc>
          <w:tcPr>
            <w:tcW w:type="dxa" w:w="1560"/>
          </w:tcPr>
          <w:p>
            <w:pPr>
              <w:jc w:val="center"/>
            </w:pPr>
            <w:r/>
            <w:r>
              <w:rPr>
                <w:rFonts w:ascii="Times New Roman" w:hAnsi="Times New Roman"/>
                <w:sz w:val="18"/>
              </w:rPr>
              <w:t>0.566</w:t>
            </w:r>
          </w:p>
        </w:tc>
        <w:tc>
          <w:tcPr>
            <w:tcW w:type="dxa" w:w="1560"/>
          </w:tcPr>
          <w:p>
            <w:pPr>
              <w:jc w:val="center"/>
            </w:pPr>
            <w:r/>
            <w:r>
              <w:rPr>
                <w:rFonts w:ascii="Times New Roman" w:hAnsi="Times New Roman"/>
                <w:sz w:val="18"/>
              </w:rPr>
              <w:t>0.086</w:t>
            </w:r>
          </w:p>
        </w:tc>
        <w:tc>
          <w:tcPr>
            <w:tcW w:type="dxa" w:w="1560"/>
          </w:tcPr>
          <w:p>
            <w:pPr>
              <w:jc w:val="center"/>
            </w:pPr>
            <w:r/>
            <w:r>
              <w:rPr>
                <w:rFonts w:ascii="Times New Roman" w:hAnsi="Times New Roman"/>
                <w:sz w:val="18"/>
              </w:rPr>
              <w:t>-</w:t>
            </w:r>
          </w:p>
        </w:tc>
      </w:tr>
      <w:tr>
        <w:tc>
          <w:tcPr>
            <w:tcW w:type="dxa" w:w="1560"/>
          </w:tcPr>
          <w:p>
            <w:pPr>
              <w:jc w:val="center"/>
            </w:pPr>
            <w:r/>
            <w:r>
              <w:rPr>
                <w:rFonts w:ascii="Times New Roman" w:hAnsi="Times New Roman"/>
                <w:sz w:val="18"/>
              </w:rPr>
              <w:t>Hull E</w:t>
            </w:r>
          </w:p>
        </w:tc>
        <w:tc>
          <w:tcPr>
            <w:tcW w:type="dxa" w:w="1560"/>
          </w:tcPr>
          <w:p>
            <w:pPr>
              <w:jc w:val="center"/>
            </w:pPr>
            <w:r/>
            <w:r>
              <w:rPr>
                <w:rFonts w:ascii="Times New Roman" w:hAnsi="Times New Roman"/>
                <w:sz w:val="18"/>
              </w:rPr>
              <w:t>CQR</w:t>
            </w:r>
          </w:p>
        </w:tc>
        <w:tc>
          <w:tcPr>
            <w:tcW w:type="dxa" w:w="1560"/>
          </w:tcPr>
          <w:p>
            <w:pPr>
              <w:jc w:val="center"/>
            </w:pPr>
            <w:r/>
            <w:r>
              <w:rPr>
                <w:rFonts w:ascii="Times New Roman" w:hAnsi="Times New Roman"/>
                <w:sz w:val="18"/>
              </w:rPr>
              <w:t>0.807</w:t>
            </w:r>
          </w:p>
        </w:tc>
        <w:tc>
          <w:tcPr>
            <w:tcW w:type="dxa" w:w="1560"/>
          </w:tcPr>
          <w:p>
            <w:pPr>
              <w:jc w:val="center"/>
            </w:pPr>
            <w:r/>
            <w:r>
              <w:rPr>
                <w:rFonts w:ascii="Times New Roman" w:hAnsi="Times New Roman"/>
                <w:sz w:val="18"/>
              </w:rPr>
              <w:t>0.719</w:t>
            </w:r>
          </w:p>
        </w:tc>
        <w:tc>
          <w:tcPr>
            <w:tcW w:type="dxa" w:w="1560"/>
          </w:tcPr>
          <w:p>
            <w:pPr>
              <w:jc w:val="center"/>
            </w:pPr>
            <w:r/>
            <w:r>
              <w:rPr>
                <w:rFonts w:ascii="Times New Roman" w:hAnsi="Times New Roman"/>
                <w:sz w:val="18"/>
              </w:rPr>
              <w:t>0.049</w:t>
            </w:r>
          </w:p>
        </w:tc>
        <w:tc>
          <w:tcPr>
            <w:tcW w:type="dxa" w:w="1560"/>
          </w:tcPr>
          <w:p>
            <w:pPr>
              <w:jc w:val="center"/>
            </w:pPr>
            <w:r/>
            <w:r>
              <w:rPr>
                <w:rFonts w:ascii="Times New Roman" w:hAnsi="Times New Roman"/>
                <w:sz w:val="18"/>
              </w:rPr>
              <w:t>43%</w:t>
            </w:r>
          </w:p>
        </w:tc>
      </w:tr>
    </w:tbl>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Figure 4**: Applicability-domain visualization - predicted vs. error scatter, colored by trusted (σ &lt; median) / untrusted, illustrating the tighter error distribution in the trusted region.</w:t>
      </w:r>
    </w:p>
    <w:p>
      <w:pPr>
        <w:spacing w:line="240" w:lineRule="auto"/>
        <w:jc w:val="center"/>
      </w:pPr>
      <w:r>
        <w:drawing>
          <wp:inline xmlns:a="http://schemas.openxmlformats.org/drawingml/2006/main" xmlns:pic="http://schemas.openxmlformats.org/drawingml/2006/picture">
            <wp:extent cx="5029200" cy="2286522"/>
            <wp:docPr id="4" name="Picture 4"/>
            <wp:cNvGraphicFramePr>
              <a:graphicFrameLocks noChangeAspect="1"/>
            </wp:cNvGraphicFramePr>
            <a:graphic>
              <a:graphicData uri="http://schemas.openxmlformats.org/drawingml/2006/picture">
                <pic:pic>
                  <pic:nvPicPr>
                    <pic:cNvPr id="0" name="Figure_4_AD.png"/>
                    <pic:cNvPicPr/>
                  </pic:nvPicPr>
                  <pic:blipFill>
                    <a:blip r:embed="rId12"/>
                    <a:stretch>
                      <a:fillRect/>
                    </a:stretch>
                  </pic:blipFill>
                  <pic:spPr>
                    <a:xfrm>
                      <a:off x="0" y="0"/>
                      <a:ext cx="5029200" cy="2286522"/>
                    </a:xfrm>
                    <a:prstGeom prst="rect"/>
                  </pic:spPr>
                </pic:pic>
              </a:graphicData>
            </a:graphic>
          </wp:inline>
        </w:drawing>
      </w:r>
    </w:p>
    <w:p>
      <w:pPr>
        <w:spacing w:line="240" w:lineRule="auto"/>
        <w:jc w:val="center"/>
      </w:pPr>
      <w:r>
        <w:rPr>
          <w:rFonts w:ascii="Times New Roman" w:hAnsi="Times New Roman"/>
          <w:sz w:val="20"/>
        </w:rPr>
        <w:t>Fig. 4. Applicability domain visualization. Predicted value vs. absolute error, colored by trusted vs. untrusted regions.</w:t>
      </w:r>
    </w:p>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Figure 5** / Table: LOEO per-element R² for representative elements, annotated with chemical interpretation.</w:t>
      </w:r>
    </w:p>
    <w:p>
      <w:pPr>
        <w:spacing w:line="240" w:lineRule="auto"/>
        <w:jc w:val="center"/>
      </w:pPr>
      <w:r>
        <w:drawing>
          <wp:inline xmlns:a="http://schemas.openxmlformats.org/drawingml/2006/main" xmlns:pic="http://schemas.openxmlformats.org/drawingml/2006/picture">
            <wp:extent cx="5029200" cy="2148382"/>
            <wp:docPr id="5" name="Picture 5"/>
            <wp:cNvGraphicFramePr>
              <a:graphicFrameLocks noChangeAspect="1"/>
            </wp:cNvGraphicFramePr>
            <a:graphic>
              <a:graphicData uri="http://schemas.openxmlformats.org/drawingml/2006/picture">
                <pic:pic>
                  <pic:nvPicPr>
                    <pic:cNvPr id="0" name="Figure_5_LOEO.png"/>
                    <pic:cNvPicPr/>
                  </pic:nvPicPr>
                  <pic:blipFill>
                    <a:blip r:embed="rId13"/>
                    <a:stretch>
                      <a:fillRect/>
                    </a:stretch>
                  </pic:blipFill>
                  <pic:spPr>
                    <a:xfrm>
                      <a:off x="0" y="0"/>
                      <a:ext cx="5029200" cy="2148382"/>
                    </a:xfrm>
                    <a:prstGeom prst="rect"/>
                  </pic:spPr>
                </pic:pic>
              </a:graphicData>
            </a:graphic>
          </wp:inline>
        </w:drawing>
      </w:r>
    </w:p>
    <w:p>
      <w:pPr>
        <w:spacing w:line="240" w:lineRule="auto"/>
        <w:jc w:val="center"/>
      </w:pPr>
      <w:r>
        <w:rPr>
          <w:rFonts w:ascii="Times New Roman" w:hAnsi="Times New Roman"/>
          <w:sz w:val="20"/>
        </w:rPr>
        <w:t>Fig. 5. Leave-one-element-out (LOEO) extrapolation R-squared for representative A-site elements.</w:t>
      </w:r>
    </w:p>
    <w:p/>
    <w:p>
      <w:pPr>
        <w:spacing w:line="480" w:lineRule="auto"/>
        <w:jc w:val="both"/>
      </w:pPr>
      <w:r>
        <w:rPr>
          <w:rFonts w:ascii="Times New Roman" w:hAnsi="Times New Roman"/>
          <w:b w:val="0"/>
          <w:i w:val="0"/>
          <w:sz w:val="24"/>
        </w:rPr>
        <w:t>Material interpretation. The extrapolation pattern is chemically coherent. The best-extrapolated A-site elements are large, highly electropositive cations-alkali metals (Rb R²=0.96, K 0.93, Na 0.94, Cs 0.92), alkaline earths (Ba 0.94), and lanthanides (Pr 0.95, La 0.91, Gd 0.92, Ho 0.93, Dy 0.94). These elements share consistent +2 or +3 oxidation states, large ionic radii, and well-defined coordination chemistry, so the descriptor space around them is densely sampled and their A-site contributions to formation energy are nearly linear in ionic radius and electronegativity. In contrast, the worst-extrapolated elements occupy sparsely populated or chemically anomalous regions of the descriptor space: B (R²=−0.88) and Os (−0.89) have very few isochemical neighbors in the training set; Ac (0.33) and Pa (0.32) are actinides with complex f-electron chemistry underrepresented in the dataset; Al (0.33), Be (0.48), and Te (0.30) form atypical A-site cations whose bonding character (covalent/metallic rather than ionic) deviates from the perovskite norm. This element-specific failure map directly informs screening: predictions involving underrepresented actinides or atypical main-group A-site cations should be treated as unreliable regardless of the point estimate, whereas screening among alkali/alkaline-earth/lanthanide chemistries is expected to transfer well.</w:t>
      </w:r>
    </w:p>
    <w:p>
      <w:pPr>
        <w:spacing w:line="480" w:lineRule="auto" w:before="240"/>
      </w:pPr>
      <w:r>
        <w:rPr>
          <w:rFonts w:ascii="Times New Roman" w:hAnsi="Times New Roman"/>
          <w:b/>
          <w:sz w:val="24"/>
        </w:rPr>
        <w:t>3.5 Symbolic regression consensus, feature physical directions, and SR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(60%) and B-site group number (64%)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Physical direction of key features. To verify that both the black-box ML and the symbolic regression have captured chemically correct structure–property relationships, we examine the sign and magnitude of each top descriptor's correlation with formation energy (Table S3). The strongest single correlate is A-site electronegativity (Pearson r = +0.537): more electronegative A-site cations (e.g., transition metals at the A site) yield less negative (less stable) formation energies, consistent with the fact that highly electropositive cations (alkali, alkaline-earth, lanthanide) form stronger ionic bonds with oxygen and stabilize the perovskite lattice. Conversely, Magpie X_std (the compositional standard deviation of electronegativity) is the strongest negative correlate (r = −0.538): greater electronegativity contrast among A/B/O sites produces more negative formation energies, reflecting the thermodynamic driving force of charge transfer in ionic bonding. The tolerance factor t shows a moderate negative correlation (r = −0.278): as t increases toward and beyond unity (A-site too large for the cage), the structure becomes geometrically strained and formation energy rises-consistent with Goldschmidt's criterion. B-site group number (r = +0.297) and B-site electronegativity (r = +0.291) are positively correlated: higher B-site electronegativity (late transition metals) reduces the ionic character of the B–O bond, destabilizing the perovskite relative to competing phases. Crucially, the SHAP-derived ranking and the SR consensus agree on the identity of the top descriptors even though they operate in different spaces (statistical vs. symbolic), and the Pearson signs are consistent with established perovskite chemistry [Bartel et al. [20]; Goldschmidt [18]], confirming the model is not exploiting spurious correlations.</w:t>
      </w:r>
    </w:p>
    <w:p>
      <w:pPr>
        <w:spacing w:line="480" w:lineRule="auto"/>
        <w:jc w:val="both"/>
      </w:pPr>
      <w:r>
        <w:rPr>
          <w:rFonts w:ascii="Times New Roman" w:hAnsi="Times New Roman"/>
          <w:b w:val="0"/>
          <w:i w:val="0"/>
          <w:sz w:val="24"/>
        </w:rPr>
        <w:t>Figure 6**: SHAP feature importance vs. SR consensus frequency - illustrating the complementary perspectives of the black-box ML (Magpie-statistical-dominated) and symbolic regression (physics-descriptor-dominated).</w:t>
      </w:r>
    </w:p>
    <w:p>
      <w:pPr>
        <w:spacing w:line="240" w:lineRule="auto"/>
        <w:jc w:val="center"/>
      </w:pPr>
      <w:r>
        <w:drawing>
          <wp:inline xmlns:a="http://schemas.openxmlformats.org/drawingml/2006/main" xmlns:pic="http://schemas.openxmlformats.org/drawingml/2006/picture">
            <wp:extent cx="5029200" cy="2524007"/>
            <wp:docPr id="6" name="Picture 6"/>
            <wp:cNvGraphicFramePr>
              <a:graphicFrameLocks noChangeAspect="1"/>
            </wp:cNvGraphicFramePr>
            <a:graphic>
              <a:graphicData uri="http://schemas.openxmlformats.org/drawingml/2006/picture">
                <pic:pic>
                  <pic:nvPicPr>
                    <pic:cNvPr id="0" name="Figure_6_SHAP_SR.png"/>
                    <pic:cNvPicPr/>
                  </pic:nvPicPr>
                  <pic:blipFill>
                    <a:blip r:embed="rId14"/>
                    <a:stretch>
                      <a:fillRect/>
                    </a:stretch>
                  </pic:blipFill>
                  <pic:spPr>
                    <a:xfrm>
                      <a:off x="0" y="0"/>
                      <a:ext cx="5029200" cy="2524007"/>
                    </a:xfrm>
                    <a:prstGeom prst="rect"/>
                  </pic:spPr>
                </pic:pic>
              </a:graphicData>
            </a:graphic>
          </wp:inline>
        </w:drawing>
      </w:r>
    </w:p>
    <w:p>
      <w:pPr>
        <w:spacing w:line="240" w:lineRule="auto"/>
        <w:jc w:val="center"/>
      </w:pPr>
      <w:r>
        <w:rPr>
          <w:rFonts w:ascii="Times New Roman" w:hAnsi="Times New Roman"/>
          <w:sz w:val="20"/>
        </w:rPr>
        <w:t>Fig. 6. (a) LightGBM SHAP feature importance (top-15) and (b) symbolic regression consensus frequency.</w:t>
      </w:r>
    </w:p>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jc w:val="both"/>
      </w:pPr>
      <w:r>
        <w:rPr>
          <w:rFonts w:ascii="Times New Roman" w:hAnsi="Times New Roman"/>
          <w:b w:val="0"/>
          <w:i w:val="0"/>
          <w:sz w:val="24"/>
        </w:rPr>
        <w:t>Table 3**: Candidate perovskites with predicted E_hull, ensemble σ, validation tier, and Goldschmidt factors.</w:t>
      </w:r>
    </w:p>
    <w:p>
      <w:pPr>
        <w:spacing w:line="240" w:lineRule="auto"/>
      </w:pPr>
      <w:r>
        <w:rPr>
          <w:rFonts w:ascii="Times New Roman" w:hAnsi="Times New Roman"/>
          <w:b/>
          <w:sz w:val="20"/>
        </w:rPr>
        <w:t>Table 3. Candidate stable perovskites with validation tier.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Formula</w:t>
            </w:r>
          </w:p>
        </w:tc>
        <w:tc>
          <w:tcPr>
            <w:tcW w:type="dxa" w:w="1560"/>
          </w:tcPr>
          <w:p>
            <w:pPr>
              <w:jc w:val="center"/>
            </w:pPr>
            <w:r/>
            <w:r>
              <w:rPr>
                <w:rFonts w:ascii="Times New Roman" w:hAnsi="Times New Roman"/>
                <w:b/>
                <w:sz w:val="18"/>
              </w:rPr>
              <w:t>Pred. E_hull</w:t>
            </w:r>
          </w:p>
        </w:tc>
        <w:tc>
          <w:tcPr>
            <w:tcW w:type="dxa" w:w="1560"/>
          </w:tcPr>
          <w:p>
            <w:pPr>
              <w:jc w:val="center"/>
            </w:pPr>
            <w:r/>
            <w:r>
              <w:rPr>
                <w:rFonts w:ascii="Times New Roman" w:hAnsi="Times New Roman"/>
                <w:b/>
                <w:sz w:val="18"/>
              </w:rPr>
              <w:t>sigma</w:t>
            </w:r>
          </w:p>
        </w:tc>
        <w:tc>
          <w:tcPr>
            <w:tcW w:type="dxa" w:w="1560"/>
          </w:tcPr>
          <w:p>
            <w:pPr>
              <w:jc w:val="center"/>
            </w:pPr>
            <w:r/>
            <w:r>
              <w:rPr>
                <w:rFonts w:ascii="Times New Roman" w:hAnsi="Times New Roman"/>
                <w:b/>
                <w:sz w:val="18"/>
              </w:rPr>
              <w:t>In matbench</w:t>
            </w:r>
          </w:p>
        </w:tc>
        <w:tc>
          <w:tcPr>
            <w:tcW w:type="dxa" w:w="1560"/>
          </w:tcPr>
          <w:p>
            <w:pPr>
              <w:jc w:val="center"/>
            </w:pPr>
            <w:r/>
            <w:r>
              <w:rPr>
                <w:rFonts w:ascii="Times New Roman" w:hAnsi="Times New Roman"/>
                <w:b/>
                <w:sz w:val="18"/>
              </w:rPr>
              <w:t>Goldsm.</w:t>
            </w:r>
          </w:p>
        </w:tc>
        <w:tc>
          <w:tcPr>
            <w:tcW w:type="dxa" w:w="1560"/>
          </w:tcPr>
          <w:p>
            <w:pPr>
              <w:jc w:val="center"/>
            </w:pPr>
            <w:r/>
            <w:r>
              <w:rPr>
                <w:rFonts w:ascii="Times New Roman" w:hAnsi="Times New Roman"/>
                <w:b/>
                <w:sz w:val="18"/>
              </w:rPr>
              <w:t>Grade</w:t>
            </w:r>
          </w:p>
        </w:tc>
      </w:tr>
      <w:tr>
        <w:tc>
          <w:tcPr>
            <w:tcW w:type="dxa" w:w="1560"/>
          </w:tcPr>
          <w:p>
            <w:pPr>
              <w:jc w:val="center"/>
            </w:pPr>
            <w:r/>
            <w:r>
              <w:rPr>
                <w:rFonts w:ascii="Times New Roman" w:hAnsi="Times New Roman"/>
                <w:sz w:val="18"/>
              </w:rPr>
              <w:t>LaTiO3</w:t>
            </w:r>
          </w:p>
        </w:tc>
        <w:tc>
          <w:tcPr>
            <w:tcW w:type="dxa" w:w="1560"/>
          </w:tcPr>
          <w:p>
            <w:pPr>
              <w:jc w:val="center"/>
            </w:pPr>
            <w:r/>
            <w:r>
              <w:rPr>
                <w:rFonts w:ascii="Times New Roman" w:hAnsi="Times New Roman"/>
                <w:sz w:val="18"/>
              </w:rPr>
              <w:t>0.005</w:t>
            </w:r>
          </w:p>
        </w:tc>
        <w:tc>
          <w:tcPr>
            <w:tcW w:type="dxa" w:w="1560"/>
          </w:tcPr>
          <w:p>
            <w:pPr>
              <w:jc w:val="center"/>
            </w:pPr>
            <w:r/>
            <w:r>
              <w:rPr>
                <w:rFonts w:ascii="Times New Roman" w:hAnsi="Times New Roman"/>
                <w:sz w:val="18"/>
              </w:rPr>
              <w:t>0.022</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Mod.</w:t>
            </w:r>
          </w:p>
        </w:tc>
      </w:tr>
      <w:tr>
        <w:tc>
          <w:tcPr>
            <w:tcW w:type="dxa" w:w="1560"/>
          </w:tcPr>
          <w:p>
            <w:pPr>
              <w:jc w:val="center"/>
            </w:pPr>
            <w:r/>
            <w:r>
              <w:rPr>
                <w:rFonts w:ascii="Times New Roman" w:hAnsi="Times New Roman"/>
                <w:sz w:val="18"/>
              </w:rPr>
              <w:t>PrCoO3</w:t>
            </w:r>
          </w:p>
        </w:tc>
        <w:tc>
          <w:tcPr>
            <w:tcW w:type="dxa" w:w="1560"/>
          </w:tcPr>
          <w:p>
            <w:pPr>
              <w:jc w:val="center"/>
            </w:pPr>
            <w:r/>
            <w:r>
              <w:rPr>
                <w:rFonts w:ascii="Times New Roman" w:hAnsi="Times New Roman"/>
                <w:sz w:val="18"/>
              </w:rPr>
              <w:t>0.006</w:t>
            </w:r>
          </w:p>
        </w:tc>
        <w:tc>
          <w:tcPr>
            <w:tcW w:type="dxa" w:w="1560"/>
          </w:tcPr>
          <w:p>
            <w:pPr>
              <w:jc w:val="center"/>
            </w:pPr>
            <w:r/>
            <w:r>
              <w:rPr>
                <w:rFonts w:ascii="Times New Roman" w:hAnsi="Times New Roman"/>
                <w:sz w:val="18"/>
              </w:rPr>
              <w:t>0.024</w:t>
            </w:r>
          </w:p>
        </w:tc>
        <w:tc>
          <w:tcPr>
            <w:tcW w:type="dxa" w:w="1560"/>
          </w:tcPr>
          <w:p>
            <w:pPr>
              <w:jc w:val="center"/>
            </w:pPr>
            <w:r/>
            <w:r>
              <w:rPr>
                <w:rFonts w:ascii="Times New Roman" w:hAnsi="Times New Roman"/>
                <w:sz w:val="18"/>
              </w:rPr>
              <w:t>No</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Weak</w:t>
            </w:r>
          </w:p>
        </w:tc>
      </w:tr>
      <w:tr>
        <w:tc>
          <w:tcPr>
            <w:tcW w:type="dxa" w:w="1560"/>
          </w:tcPr>
          <w:p>
            <w:pPr>
              <w:jc w:val="center"/>
            </w:pPr>
            <w:r/>
            <w:r>
              <w:rPr>
                <w:rFonts w:ascii="Times New Roman" w:hAnsi="Times New Roman"/>
                <w:sz w:val="18"/>
              </w:rPr>
              <w:t>GdCoO3</w:t>
            </w:r>
          </w:p>
        </w:tc>
        <w:tc>
          <w:tcPr>
            <w:tcW w:type="dxa" w:w="1560"/>
          </w:tcPr>
          <w:p>
            <w:pPr>
              <w:jc w:val="center"/>
            </w:pPr>
            <w:r/>
            <w:r>
              <w:rPr>
                <w:rFonts w:ascii="Times New Roman" w:hAnsi="Times New Roman"/>
                <w:sz w:val="18"/>
              </w:rPr>
              <w:t>0.016</w:t>
            </w:r>
          </w:p>
        </w:tc>
        <w:tc>
          <w:tcPr>
            <w:tcW w:type="dxa" w:w="1560"/>
          </w:tcPr>
          <w:p>
            <w:pPr>
              <w:jc w:val="center"/>
            </w:pPr>
            <w:r/>
            <w:r>
              <w:rPr>
                <w:rFonts w:ascii="Times New Roman" w:hAnsi="Times New Roman"/>
                <w:sz w:val="18"/>
              </w:rPr>
              <w:t>0.027</w:t>
            </w:r>
          </w:p>
        </w:tc>
        <w:tc>
          <w:tcPr>
            <w:tcW w:type="dxa" w:w="1560"/>
          </w:tcPr>
          <w:p>
            <w:pPr>
              <w:jc w:val="center"/>
            </w:pPr>
            <w:r/>
            <w:r>
              <w:rPr>
                <w:rFonts w:ascii="Times New Roman" w:hAnsi="Times New Roman"/>
                <w:sz w:val="18"/>
              </w:rPr>
              <w:t>No</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Weak</w:t>
            </w:r>
          </w:p>
        </w:tc>
      </w:tr>
      <w:tr>
        <w:tc>
          <w:tcPr>
            <w:tcW w:type="dxa" w:w="1560"/>
          </w:tcPr>
          <w:p>
            <w:pPr>
              <w:jc w:val="center"/>
            </w:pPr>
            <w:r/>
            <w:r>
              <w:rPr>
                <w:rFonts w:ascii="Times New Roman" w:hAnsi="Times New Roman"/>
                <w:sz w:val="18"/>
              </w:rPr>
              <w:t>YbCoO3</w:t>
            </w:r>
          </w:p>
        </w:tc>
        <w:tc>
          <w:tcPr>
            <w:tcW w:type="dxa" w:w="1560"/>
          </w:tcPr>
          <w:p>
            <w:pPr>
              <w:jc w:val="center"/>
            </w:pPr>
            <w:r/>
            <w:r>
              <w:rPr>
                <w:rFonts w:ascii="Times New Roman" w:hAnsi="Times New Roman"/>
                <w:sz w:val="18"/>
              </w:rPr>
              <w:t>0.017</w:t>
            </w:r>
          </w:p>
        </w:tc>
        <w:tc>
          <w:tcPr>
            <w:tcW w:type="dxa" w:w="1560"/>
          </w:tcPr>
          <w:p>
            <w:pPr>
              <w:jc w:val="center"/>
            </w:pPr>
            <w:r/>
            <w:r>
              <w:rPr>
                <w:rFonts w:ascii="Times New Roman" w:hAnsi="Times New Roman"/>
                <w:sz w:val="18"/>
              </w:rPr>
              <w:t>0.028</w:t>
            </w:r>
          </w:p>
        </w:tc>
        <w:tc>
          <w:tcPr>
            <w:tcW w:type="dxa" w:w="1560"/>
          </w:tcPr>
          <w:p>
            <w:pPr>
              <w:jc w:val="center"/>
            </w:pPr>
            <w:r/>
            <w:r>
              <w:rPr>
                <w:rFonts w:ascii="Times New Roman" w:hAnsi="Times New Roman"/>
                <w:sz w:val="18"/>
              </w:rPr>
              <w:t>No</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Weak</w:t>
            </w:r>
          </w:p>
        </w:tc>
      </w:tr>
      <w:tr>
        <w:tc>
          <w:tcPr>
            <w:tcW w:type="dxa" w:w="1560"/>
          </w:tcPr>
          <w:p>
            <w:pPr>
              <w:jc w:val="center"/>
            </w:pPr>
            <w:r/>
            <w:r>
              <w:rPr>
                <w:rFonts w:ascii="Times New Roman" w:hAnsi="Times New Roman"/>
                <w:sz w:val="18"/>
              </w:rPr>
              <w:t>ErFeO3</w:t>
            </w:r>
          </w:p>
        </w:tc>
        <w:tc>
          <w:tcPr>
            <w:tcW w:type="dxa" w:w="1560"/>
          </w:tcPr>
          <w:p>
            <w:pPr>
              <w:jc w:val="center"/>
            </w:pPr>
            <w:r/>
            <w:r>
              <w:rPr>
                <w:rFonts w:ascii="Times New Roman" w:hAnsi="Times New Roman"/>
                <w:sz w:val="18"/>
              </w:rPr>
              <w:t>0.019</w:t>
            </w:r>
          </w:p>
        </w:tc>
        <w:tc>
          <w:tcPr>
            <w:tcW w:type="dxa" w:w="1560"/>
          </w:tcPr>
          <w:p>
            <w:pPr>
              <w:jc w:val="center"/>
            </w:pPr>
            <w:r/>
            <w:r>
              <w:rPr>
                <w:rFonts w:ascii="Times New Roman" w:hAnsi="Times New Roman"/>
                <w:sz w:val="18"/>
              </w:rPr>
              <w:t>0.030</w:t>
            </w:r>
          </w:p>
        </w:tc>
        <w:tc>
          <w:tcPr>
            <w:tcW w:type="dxa" w:w="1560"/>
          </w:tcPr>
          <w:p>
            <w:pPr>
              <w:jc w:val="center"/>
            </w:pPr>
            <w:r/>
            <w:r>
              <w:rPr>
                <w:rFonts w:ascii="Times New Roman" w:hAnsi="Times New Roman"/>
                <w:sz w:val="18"/>
              </w:rPr>
              <w:t>No</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Weak</w:t>
            </w:r>
          </w:p>
        </w:tc>
      </w:tr>
      <w:tr>
        <w:tc>
          <w:tcPr>
            <w:tcW w:type="dxa" w:w="1560"/>
          </w:tcPr>
          <w:p>
            <w:pPr>
              <w:jc w:val="center"/>
            </w:pPr>
            <w:r/>
            <w:r>
              <w:rPr>
                <w:rFonts w:ascii="Times New Roman" w:hAnsi="Times New Roman"/>
                <w:sz w:val="18"/>
              </w:rPr>
              <w:t>YCoO3</w:t>
            </w:r>
          </w:p>
        </w:tc>
        <w:tc>
          <w:tcPr>
            <w:tcW w:type="dxa" w:w="1560"/>
          </w:tcPr>
          <w:p>
            <w:pPr>
              <w:jc w:val="center"/>
            </w:pPr>
            <w:r/>
            <w:r>
              <w:rPr>
                <w:rFonts w:ascii="Times New Roman" w:hAnsi="Times New Roman"/>
                <w:sz w:val="18"/>
              </w:rPr>
              <w:t>0.025</w:t>
            </w:r>
          </w:p>
        </w:tc>
        <w:tc>
          <w:tcPr>
            <w:tcW w:type="dxa" w:w="1560"/>
          </w:tcPr>
          <w:p>
            <w:pPr>
              <w:jc w:val="center"/>
            </w:pPr>
            <w:r/>
            <w:r>
              <w:rPr>
                <w:rFonts w:ascii="Times New Roman" w:hAnsi="Times New Roman"/>
                <w:sz w:val="18"/>
              </w:rPr>
              <w:t>0.031</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Mod.</w:t>
            </w:r>
          </w:p>
        </w:tc>
      </w:tr>
      <w:tr>
        <w:tc>
          <w:tcPr>
            <w:tcW w:type="dxa" w:w="1560"/>
          </w:tcPr>
          <w:p>
            <w:pPr>
              <w:jc w:val="center"/>
            </w:pPr>
            <w:r/>
            <w:r>
              <w:rPr>
                <w:rFonts w:ascii="Times New Roman" w:hAnsi="Times New Roman"/>
                <w:sz w:val="18"/>
              </w:rPr>
              <w:t>LaAlO3</w:t>
            </w:r>
          </w:p>
        </w:tc>
        <w:tc>
          <w:tcPr>
            <w:tcW w:type="dxa" w:w="1560"/>
          </w:tcPr>
          <w:p>
            <w:pPr>
              <w:jc w:val="center"/>
            </w:pPr>
            <w:r/>
            <w:r>
              <w:rPr>
                <w:rFonts w:ascii="Times New Roman" w:hAnsi="Times New Roman"/>
                <w:sz w:val="18"/>
              </w:rPr>
              <w:t>0.033</w:t>
            </w:r>
          </w:p>
        </w:tc>
        <w:tc>
          <w:tcPr>
            <w:tcW w:type="dxa" w:w="1560"/>
          </w:tcPr>
          <w:p>
            <w:pPr>
              <w:jc w:val="center"/>
            </w:pPr>
            <w:r/>
            <w:r>
              <w:rPr>
                <w:rFonts w:ascii="Times New Roman" w:hAnsi="Times New Roman"/>
                <w:sz w:val="18"/>
              </w:rPr>
              <w:t>0.037</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Yes</w:t>
            </w:r>
          </w:p>
        </w:tc>
        <w:tc>
          <w:tcPr>
            <w:tcW w:type="dxa" w:w="1560"/>
          </w:tcPr>
          <w:p>
            <w:pPr>
              <w:jc w:val="center"/>
            </w:pPr>
            <w:r/>
            <w:r>
              <w:rPr>
                <w:rFonts w:ascii="Times New Roman" w:hAnsi="Times New Roman"/>
                <w:sz w:val="18"/>
              </w:rPr>
              <w:t>Weak</w:t>
            </w:r>
          </w:p>
        </w:tc>
      </w:tr>
    </w:tbl>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project repository at https://github.com/fxmy23/perovskite-stability-pact. A permanent archived snapshot will be deposited on Zenodo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https://github.com/fxmy23/perovskite-stability-pact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 - Original Draft, Writing - Review and Editing, Visualization.</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and AI-assisted technologies in the manuscript preparation process</w:t>
      </w:r>
    </w:p>
    <w:p>
      <w:pPr>
        <w:spacing w:line="480" w:lineRule="auto"/>
        <w:jc w:val="both"/>
      </w:pPr>
      <w:r>
        <w:rPr>
          <w:rFonts w:ascii="Times New Roman" w:hAnsi="Times New Roman"/>
          <w:b w:val="0"/>
          <w:i w:val="0"/>
          <w:sz w:val="24"/>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[10] Prediction of ABX₃ perovskite formation energy using machine learning.</w:t>
      </w:r>
    </w:p>
    <w:p>
      <w:pPr>
        <w:spacing w:line="480" w:lineRule="auto"/>
        <w:jc w:val="both"/>
      </w:pPr>
      <w:r>
        <w:rPr>
          <w:rFonts w:ascii="Times New Roman" w:hAnsi="Times New Roman"/>
          <w:b w:val="0"/>
          <w:i w:val="0"/>
          <w:sz w:val="24"/>
        </w:rPr>
        <w:t>7. [11]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