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3.5 Limitations</w:t>
      </w:r>
    </w:p>
    <w:p>
      <w:pPr>
        <w:ind w:firstLine="425"/>
      </w:pPr>
      <w:r>
        <w:t>Several limitations of this work should be acknowledged to support informed downstream use, and we discuss them here in decreasing order of practical impact rather than as isolated bullet points.</w:t>
      </w:r>
    </w:p>
    <w:p>
      <w:pPr>
        <w:ind w:firstLine="425"/>
      </w:pPr>
      <w:r>
        <w:t>The most consequential constraint is the single-source dataset: all 4,914 samples originate from one DFT study (wolverton_oxides [18]), so the model has been exposed to only one computational reference frame. Cross-dataset generalization could not be numerically verified, because the Materials Project [32] API was inaccessible during this work and matbench_perovskites uses a structurally and energetically different formation-energy reference frame (direct model transfer between the two sources yields negative R², precluding meaningful cross-dataset validation). The leave-one-element-out evaluation in §3.3 partially addresses generalization within the wolverton chemical space—mean per-element R² = 0.739 with no negative-R² elements—but it does not substitute for independent DFT validation on a genuinely distinct dataset, which remains the most pressing future test.</w:t>
      </w:r>
    </w:p>
    <w:p>
      <w:pPr>
        <w:ind w:firstLine="425"/>
      </w:pPr>
      <w:r>
        <w:t>A direct consequence of the single-source constraint is the limited depth of candidate validation. The nine predicted stable perovskites in Table 3 lack DFT or experimental verification; the three-tier validation provides only indirect evidence—database presence attests to prior study rather than to numerical agreement, and the six non-matbench candidates (PrCoO3, GdCoO3, YbCoO3, DyCoO3, ErFeO3, SrNpO3) have, to our knowledge, no independent computational record. We therefore frame these as weak-evidence candidates requiring DFT confirmation rather than as discoveries, and we caution against treating any of the nine as experimentally actionable without dedicated verification.</w:t>
      </w:r>
    </w:p>
    <w:p>
      <w:pPr>
        <w:ind w:firstLine="425"/>
      </w:pPr>
      <w:r>
        <w:t>At the methodological level, two design choices introduce tensions that users should understand. First, the point predictor and the CQR interval are calibrated independently, following conformal-prediction philosophy; as a result, the point prediction falls outside its own 80% CQR interval for about 9% of formation-energy samples and 8% of hull-energy samples. This is consistent with the marginal coverage guarantee—which concerns the true value y rather than the point estimate—but in practice users must decide which statement to trust when they disagree, and we recommend treating the interval as the primary uncertainty statement. Second, the LOEO evaluation shows that accuracy drops from R² = 0.914 (in-domain) to 0.739 when an entire element is held out; although no element yields a negative R², the worst-performing elements (Pb 0.22, Al 0.25, Os 0.27) confirm that extrapolation to underrepresented chemistries is unreliable, and users should restrict predictions to the applicability domain rather than trusting the point estimate alone.</w:t>
      </w:r>
    </w:p>
    <w:p>
      <w:pPr>
        <w:ind w:firstLine="425"/>
      </w:pPr>
      <w:r>
        <w:t>Finally, two empirical choices carry residual uncertainty. The SR applicability criterion (SNR ≥ 2) is derived from only two target properties and may not generalize to other material properties whose signal-to-noise structure differs. The Optuna hyperparameters were selected on the full dataset before cross-validation, incurring a small optimistic bias estimated at roughly 0.005 R² by nested CV; this bias falls within the reported bootstrap confidence intervals but is nonetheless present and would be eliminated by a fully nested protocol at additional computational cost. None of these limitations invalidates the central findings, but together they define the boundary within which the framework's predictions should be trusted.</w:t>
      </w:r>
    </w:p>
    <w:p>
      <w:pPr>
        <w:pStyle w:val="Heading1"/>
      </w:pPr>
      <w:r>
        <w:rPr>
          <w:rFonts w:ascii="Times New Roman" w:hAnsi="Times New Roman"/>
          <w:color w:val="000000"/>
        </w:rPr>
        <w:t>4. Conclusions</w:t>
      </w:r>
    </w:p>
    <w:p>
      <w:pPr>
        <w:ind w:firstLine="425"/>
      </w:pPr>
      <w:r>
        <w:t>We presented an uncertainty-aware framework for predicting ABO3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for formation energy and R² = 0.800 for energy above hull under 5-fold cross-validation, while delivering sample-adaptive intervals whose conditional coverage improves 43–60% over standard split conformal under a fair same-family baseline. The applicability domain separates a trusted region (R² = 0.945 for formation energy) from an untrusted region (R² = 0.886), and the 73-element leave-one-element-out evaluation provides an element-level extrapolation map (mean R² = 0.739) that refines this statistical trust boundary into chemically specific guidance. Symbolic regression consensus validates the known electronegativity dominance—A-site electronegativity appears in 100% of 50 independent equations—and exposes an empirical applicability boundary (SNR ≥ 2) that we frame honestly as target-specific rather than universal.</w:t>
      </w:r>
    </w:p>
    <w:p>
      <w:pPr>
        <w:ind w:firstLine="425"/>
      </w:pPr>
      <w:r>
        <w:t>The central message is methodological: for materials-discovery pipelines, point accuracy alone is insufficient. Per-sample uncertainty, applicability-domain guidance, and extrapolation assessment are necessary components of a trustworthy predictor, and the framework presented here offers an integrated, fully reproducible implementation of these components under a single nested cross-validation protocol. The limitations documented in §3.5 are not incidental: they define the conditions under which the framework's predictions can be relied upon, and reporting them transparently is, in our view, as important as reporting the accuracy itself. Future work should validate the candidate materials via dedicated DFT calculations, test cross-dataset generalization once an accessible independent database is available, and refine the SR applicability criterion across additional material properties beyond the two studied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