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EFC89">
      <w:r>
        <w:rPr>
          <w:rFonts w:ascii="Times New Roman" w:hAnsi="Times New Roman"/>
          <w:b/>
          <w:sz w:val="28"/>
        </w:rPr>
        <w:t>Highlights</w:t>
      </w:r>
    </w:p>
    <w:p w14:paraId="75FA323F">
      <w:bookmarkStart w:id="0" w:name="_GoBack"/>
      <w:bookmarkEnd w:id="0"/>
    </w:p>
    <w:p w14:paraId="3A4EF7C1">
      <w:pPr>
        <w:pStyle w:val="16"/>
      </w:pPr>
      <w:r>
        <w:rPr>
          <w:rFonts w:ascii="Times New Roman" w:hAnsi="Times New Roman"/>
          <w:sz w:val="24"/>
        </w:rPr>
        <w:t>Uncertainty-aware perovskite stability prediction with conformal intervals.</w:t>
      </w:r>
    </w:p>
    <w:p w14:paraId="20EFC645">
      <w:pPr>
        <w:pStyle w:val="16"/>
      </w:pPr>
      <w:r>
        <w:rPr>
          <w:rFonts w:ascii="Times New Roman" w:hAnsi="Times New Roman"/>
          <w:sz w:val="24"/>
        </w:rPr>
        <w:t>CQR reduces expected calibration error by 43-60% over standard split conformal.</w:t>
      </w:r>
    </w:p>
    <w:p w14:paraId="31094C7B">
      <w:pPr>
        <w:pStyle w:val="16"/>
      </w:pPr>
      <w:r>
        <w:rPr>
          <w:rFonts w:ascii="Times New Roman" w:hAnsi="Times New Roman"/>
          <w:sz w:val="24"/>
        </w:rPr>
        <w:t>Three-method applicability domain separates trusted (R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z w:val="24"/>
        </w:rPr>
        <w:t>=0.945) from untrusted.</w:t>
      </w:r>
    </w:p>
    <w:p w14:paraId="256427E1">
      <w:pPr>
        <w:pStyle w:val="16"/>
      </w:pPr>
      <w:r>
        <w:rPr>
          <w:rFonts w:ascii="Times New Roman" w:hAnsi="Times New Roman"/>
          <w:sz w:val="24"/>
        </w:rPr>
        <w:t>Leave-one-element-out over 68 elements maps extrapolation reliability per element.</w:t>
      </w:r>
    </w:p>
    <w:p w14:paraId="34F91113">
      <w:pPr>
        <w:pStyle w:val="16"/>
      </w:pPr>
      <w:r>
        <w:rPr>
          <w:rFonts w:ascii="Times New Roman" w:hAnsi="Times New Roman"/>
          <w:sz w:val="24"/>
        </w:rPr>
        <w:t>SR consensus validates electronegativity dominance (100% across 50 equations).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8D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8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363</Characters>
  <Lines>0</Lines>
  <Paragraphs>0</Paragraphs>
  <TotalTime>0</TotalTime>
  <ScaleCrop>false</ScaleCrop>
  <LinksUpToDate>false</LinksUpToDate>
  <CharactersWithSpaces>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冯徐名永(2023012894)</cp:lastModifiedBy>
  <dcterms:modified xsi:type="dcterms:W3CDTF">2026-06-18T09:24:07Z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eyJoZGlkIjoiYzBjZjcwODQzYmJhNTExZDdiZjI4NGJmMzU2M2Q5NjgiLCJ1c2VySWQiOiIxNzc4MzMyNjU2In0=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E4DCAAFAB50045AE896CABED297134CB_12</vt:lpwstr>
  </property>
</Properties>
</file>