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6BD93">
      <w:pPr>
        <w:spacing w:after="40"/>
        <w:jc w:val="center"/>
        <w:rPr>
          <w:sz w:val="28"/>
          <w:szCs w:val="28"/>
        </w:rPr>
      </w:pPr>
      <w:r>
        <w:rPr>
          <w:b/>
          <w:sz w:val="28"/>
          <w:szCs w:val="28"/>
        </w:rPr>
        <w:t>Cover Letter — Computational Materials Science submission</w:t>
      </w:r>
    </w:p>
    <w:p w14:paraId="6604818B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To: The Editor-in-Chief, Computational Materials Science</w:t>
      </w:r>
    </w:p>
    <w:p w14:paraId="552DFC58">
      <w:pPr>
        <w:spacing w:after="120"/>
        <w:rPr>
          <w:rFonts w:hint="default" w:eastAsia="宋体"/>
          <w:sz w:val="24"/>
          <w:szCs w:val="24"/>
          <w:lang w:val="en-US" w:eastAsia="zh-CN"/>
        </w:rPr>
      </w:pPr>
      <w:r>
        <w:rPr>
          <w:b w:val="0"/>
          <w:i w:val="0"/>
          <w:sz w:val="24"/>
          <w:szCs w:val="24"/>
        </w:rPr>
        <w:t xml:space="preserve">Date: </w:t>
      </w:r>
      <w:r>
        <w:rPr>
          <w:rFonts w:hint="eastAsia" w:eastAsia="宋体"/>
          <w:b w:val="0"/>
          <w:i w:val="0"/>
          <w:sz w:val="24"/>
          <w:szCs w:val="24"/>
          <w:lang w:val="en-US" w:eastAsia="zh-CN"/>
        </w:rPr>
        <w:t>2026.6.20</w:t>
      </w:r>
    </w:p>
    <w:p w14:paraId="38AC95AC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Subject: Submission of manuscript “Uncertainty-Aware Prediction of Perovskite Oxide Stability with Conditional Conformal Intervals and Applicability-Domain Guidance”</w:t>
      </w:r>
    </w:p>
    <w:p w14:paraId="15CBD2A1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Article type: Full research article (single author)</w:t>
      </w:r>
    </w:p>
    <w:p w14:paraId="6DFF5DED">
      <w:pPr>
        <w:spacing w:after="120"/>
        <w:rPr>
          <w:sz w:val="24"/>
          <w:szCs w:val="24"/>
        </w:rPr>
      </w:pPr>
    </w:p>
    <w:p w14:paraId="44E66DEE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Dear Editor,</w:t>
      </w:r>
    </w:p>
    <w:p w14:paraId="762C9DBE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 xml:space="preserve">I am pleased to submit my manuscript entitled “Uncertainty-Aware Prediction of Perovskite Oxide Stability with Conditional Conformal Intervals and Applicability-Domain Guidance” for consideration as a full research article in Computational Materials Science. </w:t>
      </w:r>
      <w:r>
        <w:rPr>
          <w:rFonts w:hint="eastAsia" w:eastAsia="宋体"/>
          <w:b w:val="0"/>
          <w:i w:val="0"/>
          <w:sz w:val="24"/>
          <w:szCs w:val="24"/>
          <w:lang w:val="en-US" w:eastAsia="zh-CN"/>
        </w:rPr>
        <w:t>T</w:t>
      </w:r>
      <w:r>
        <w:rPr>
          <w:b w:val="0"/>
          <w:i w:val="0"/>
          <w:sz w:val="24"/>
          <w:szCs w:val="24"/>
        </w:rPr>
        <w:t>his work was conducted as an independent research project using open data and a personal workstation.</w:t>
      </w:r>
    </w:p>
    <w:p w14:paraId="4CB6C9E8">
      <w:pPr>
        <w:spacing w:after="120"/>
        <w:rPr>
          <w:sz w:val="24"/>
          <w:szCs w:val="24"/>
        </w:rPr>
      </w:pPr>
      <w:r>
        <w:rPr>
          <w:b/>
          <w:i w:val="0"/>
          <w:sz w:val="24"/>
          <w:szCs w:val="24"/>
        </w:rPr>
        <w:t xml:space="preserve">The gap this work addresses. </w:t>
      </w:r>
      <w:r>
        <w:rPr>
          <w:sz w:val="24"/>
          <w:szCs w:val="24"/>
        </w:rPr>
        <w:t>Machine learning has become an indispensable tool for accelerating the discovery of ABO₃ perovskite oxides, with recent descriptor-based models reaching R² &gt; 0.91 for formation-energy prediction. However, the vast majority of published models report only point predictions and aggregate accuracy metrics, without quantifying when their predictions can be trusted — a critical gap for high-throughput screening pipelines where false-positive stability predictions waste expensive DFT verification budget. This manuscript addresses that gap directly by integrating point prediction, calibrated uncertainty, applicability-domain guidance, and extrapolation assessment into a single reproducible framework.</w:t>
      </w:r>
    </w:p>
    <w:p w14:paraId="714D208F">
      <w:pPr>
        <w:spacing w:after="120"/>
        <w:rPr>
          <w:sz w:val="24"/>
          <w:szCs w:val="24"/>
        </w:rPr>
      </w:pPr>
      <w:r>
        <w:rPr>
          <w:b/>
          <w:i w:val="0"/>
          <w:sz w:val="24"/>
          <w:szCs w:val="24"/>
        </w:rPr>
        <w:t>What this work contributes to computational materials science:</w:t>
      </w:r>
    </w:p>
    <w:p w14:paraId="0C3E0C39">
      <w:pPr>
        <w:spacing w:after="120"/>
        <w:ind w:left="283"/>
        <w:rPr>
          <w:sz w:val="24"/>
          <w:szCs w:val="24"/>
        </w:rPr>
      </w:pPr>
      <w:r>
        <w:rPr>
          <w:b/>
          <w:sz w:val="24"/>
          <w:szCs w:val="24"/>
        </w:rPr>
        <w:t xml:space="preserve">1. A reliability-aware prediction framework, not just an accuracy benchmark. </w:t>
      </w:r>
      <w:r>
        <w:rPr>
          <w:sz w:val="24"/>
          <w:szCs w:val="24"/>
        </w:rPr>
        <w:t>I integrate a physics-informed point predictor (KernelRidge baseline + GBDT stacking residual) with Conformalized Quantile Regression (CQR), which provides sample-adaptive prediction intervals satisfying a finite-sample, distribution-free coverage guarantee. Under a fair same-family baseline, CQR reduces the Expected Calibration Error by 43–60%, yielding intervals that widen appropriately for extrapolation samples and tighten for interpolation samples.</w:t>
      </w:r>
    </w:p>
    <w:p w14:paraId="31D423F9">
      <w:pPr>
        <w:spacing w:after="120"/>
        <w:ind w:left="283"/>
        <w:rPr>
          <w:sz w:val="24"/>
          <w:szCs w:val="24"/>
        </w:rPr>
      </w:pPr>
      <w:r>
        <w:rPr>
          <w:b/>
          <w:sz w:val="24"/>
          <w:szCs w:val="24"/>
        </w:rPr>
        <w:t xml:space="preserve">2. An applicability domain for perovskite stability models. </w:t>
      </w:r>
      <w:r>
        <w:rPr>
          <w:sz w:val="24"/>
          <w:szCs w:val="24"/>
        </w:rPr>
        <w:t>Three complementary applicability-domain criteria — ensemble σ, k-NN distance, and PCA leverage — are compared, and the trusted region (R² = 0.945 for formation energy) is clearly separated from the untrusted region (R² = 0.886), giving experimentalists a concrete boundary for reliable use.</w:t>
      </w:r>
    </w:p>
    <w:p w14:paraId="1AA259A5">
      <w:pPr>
        <w:spacing w:after="120"/>
        <w:ind w:left="283"/>
        <w:rPr>
          <w:sz w:val="24"/>
          <w:szCs w:val="24"/>
        </w:rPr>
      </w:pPr>
      <w:r>
        <w:rPr>
          <w:b/>
          <w:sz w:val="24"/>
          <w:szCs w:val="24"/>
        </w:rPr>
        <w:t xml:space="preserve">3. Element-level extrapolation mapping. </w:t>
      </w:r>
      <w:r>
        <w:rPr>
          <w:sz w:val="24"/>
          <w:szCs w:val="24"/>
        </w:rPr>
        <w:t>A leave-one-element-out evaluation over all 73 A/B-site elements quantifies where the model generalizes and where it fails (mean per-element R² = 0.739, no negative-R² elements), directly informing screening of unseen chemistries.</w:t>
      </w:r>
    </w:p>
    <w:p w14:paraId="1F6A9D12">
      <w:pPr>
        <w:spacing w:after="120"/>
        <w:ind w:left="283"/>
        <w:rPr>
          <w:sz w:val="24"/>
          <w:szCs w:val="24"/>
        </w:rPr>
      </w:pPr>
      <w:r>
        <w:rPr>
          <w:b/>
          <w:sz w:val="24"/>
          <w:szCs w:val="24"/>
        </w:rPr>
        <w:t xml:space="preserve">4. Interpretability grounded in materials chemistry. </w:t>
      </w:r>
      <w:r>
        <w:rPr>
          <w:sz w:val="24"/>
          <w:szCs w:val="24"/>
        </w:rPr>
        <w:t>A symbolic-regression ensemble (50 independent equations) recovers the known dominance of A-site electronegativity in formation energy, and an empirical applicability boundary for symbolic regression is derived by contrasting formation energy (SNR = 3.40, SR succeeds) with hull energy (SNR = 1.39, SR fails).</w:t>
      </w:r>
    </w:p>
    <w:p w14:paraId="4323BDF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Fit with the journal’s scope. </w:t>
      </w:r>
      <w:r>
        <w:rPr>
          <w:sz w:val="24"/>
          <w:szCs w:val="24"/>
        </w:rPr>
        <w:t>I believe this work fits the scope of Computational Materials Science — advancing computational methods applied to materials prediction — and would be of interest to readers working on ML-accelerated materials discovery, uncertainty quantification, and perovskite design. I emphasize that the value of this work lies in the uncertainty, applicability-domain, and extrapolation components, which make high-throughput screening more trustworthy, rather than in chasing the highest R².</w:t>
      </w:r>
    </w:p>
    <w:p w14:paraId="76C4212E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Reproducibility and transparency. </w:t>
      </w:r>
      <w:r>
        <w:rPr>
          <w:sz w:val="24"/>
          <w:szCs w:val="24"/>
        </w:rPr>
        <w:t>All source code and processed data are provided under the MIT license at https://github.com/fxmy23/perovskite-stability-pact, with the main results reproducible via a single command (python src/pact_final.py). The limitations of the framework — single data source, decoupling tension between point and interval predictions, absence of DFT-validated candidates — are stated explicitly in the manuscript, which I believe strengthens rather than weakens the contribution.</w:t>
      </w:r>
    </w:p>
    <w:p w14:paraId="100AB0A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Declarations. </w:t>
      </w:r>
      <w:r>
        <w:rPr>
          <w:sz w:val="24"/>
          <w:szCs w:val="24"/>
        </w:rPr>
        <w:t>This manuscript has not been published previously, is not under consideration for publication elsewhere, and all its data and results are original to this work. I declare no conflicts of interest. The use of AI-assisted tools during manuscript preparation is declared in the manuscript, and I take full responsibility for its content.</w:t>
      </w:r>
    </w:p>
    <w:p w14:paraId="208026A2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Thank you for your consideration. I look forward to your response.</w:t>
      </w:r>
      <w:bookmarkStart w:id="0" w:name="_GoBack"/>
      <w:bookmarkEnd w:id="0"/>
    </w:p>
    <w:p w14:paraId="5E1C8AB5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Sincerely,</w:t>
      </w:r>
    </w:p>
    <w:p w14:paraId="4165090A">
      <w:pPr>
        <w:rPr>
          <w:sz w:val="24"/>
          <w:szCs w:val="24"/>
        </w:rPr>
      </w:pPr>
      <w:r>
        <w:rPr>
          <w:b/>
          <w:sz w:val="24"/>
          <w:szCs w:val="24"/>
        </w:rPr>
        <w:t>Xumingyong Feng</w:t>
      </w:r>
    </w:p>
    <w:p w14:paraId="2B919EDB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Weiyang College, Tsinghua University, Beijing 100084, China</w:t>
      </w:r>
    </w:p>
    <w:p w14:paraId="37919A5E">
      <w:pPr>
        <w:spacing w:after="120"/>
        <w:rPr>
          <w:sz w:val="24"/>
          <w:szCs w:val="24"/>
        </w:rPr>
      </w:pPr>
      <w:r>
        <w:rPr>
          <w:b w:val="0"/>
          <w:i w:val="0"/>
          <w:sz w:val="24"/>
          <w:szCs w:val="24"/>
        </w:rPr>
        <w:t>Email: fxmy23@mails.tsinghua.edu.cn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42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613</Words>
  <Characters>4070</Characters>
  <Lines>0</Lines>
  <Paragraphs>0</Paragraphs>
  <TotalTime>1</TotalTime>
  <ScaleCrop>false</ScaleCrop>
  <LinksUpToDate>false</LinksUpToDate>
  <CharactersWithSpaces>4662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冯徐名永(2023012894)</cp:lastModifiedBy>
  <dcterms:modified xsi:type="dcterms:W3CDTF">2026-06-20T06:46:02Z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eyJoZGlkIjoiYzBjZjcwODQzYmJhNTExZDdiZjI4NGJmMzU2M2Q5NjgiLCJ1c2VySWQiOiIxNzc4MzMyNjU2In0=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F169610D86E34B4898176F8283BCB1D1_12</vt:lpwstr>
  </property>
</Properties>
</file>