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0E1115B">
      <w:pPr>
        <w:pStyle w:val="2"/>
        <w:jc w:val="center"/>
        <w:rPr>
          <w:rFonts w:ascii="Times New Roman" w:hAnsi="Times New Roman" w:eastAsia="Times New Roman"/>
        </w:rPr>
      </w:pPr>
      <w:bookmarkStart w:id="0" w:name="Xa9242b243299acd215bf68ebb2a2529608c24cb"/>
      <w:r>
        <w:rPr>
          <w:rFonts w:hint="eastAsia" w:ascii="Times New Roman" w:hAnsi="Times New Roman" w:eastAsia="Times New Roman"/>
        </w:rPr>
        <w:t>Uncertainty-Aware Prediction of Perovskite Oxide Stability with Conformal Prediction</w:t>
      </w:r>
    </w:p>
    <w:p w14:paraId="01E72ADF">
      <w:pPr>
        <w:pStyle w:val="24"/>
        <w:jc w:val="center"/>
      </w:pPr>
      <w:r>
        <w:rPr>
          <w:rFonts w:ascii="Times New Roman" w:hAnsi="Times New Roman" w:eastAsia="Times New Roman"/>
        </w:rPr>
        <w:t>Xumingyong Feng^a,*</w:t>
      </w:r>
    </w:p>
    <w:p w14:paraId="62758F6E">
      <w:pPr>
        <w:pStyle w:val="3"/>
      </w:pPr>
      <w:r>
        <w:rPr>
          <w:rFonts w:ascii="Times New Roman" w:hAnsi="Times New Roman" w:eastAsia="Times New Roman"/>
        </w:rPr>
        <w:t>^a Weiyang College, Tsinghua University, Beijing 100084, China</w:t>
      </w:r>
    </w:p>
    <w:p w14:paraId="60797EC7">
      <w:pPr>
        <w:pStyle w:val="25"/>
        <w:numPr>
          <w:ilvl w:val="0"/>
          <w:numId w:val="1"/>
        </w:numPr>
      </w:pPr>
      <w:r>
        <w:rPr>
          <w:rFonts w:ascii="Times New Roman" w:hAnsi="Times New Roman" w:eastAsia="Times New Roman"/>
        </w:rPr>
        <w:t>Corresponding author. E-mail address: fxmy23@mails.tsinghua.edu.cn (X. Feng)</w:t>
      </w:r>
    </w:p>
    <w:p w14:paraId="3C0394E2">
      <w:pPr>
        <w:pStyle w:val="2"/>
      </w:pPr>
      <w:r>
        <w:rPr>
          <w:rFonts w:ascii="Times New Roman" w:hAnsi="Times New Roman" w:eastAsia="Times New Roman"/>
          <w:b/>
          <w:bCs/>
        </w:rPr>
        <w:t>Abstract</w:t>
      </w:r>
    </w:p>
    <w:p w14:paraId="7BC2A3AB">
      <w:pPr>
        <w:pStyle w:val="3"/>
        <w:rPr>
          <w:rFonts w:ascii="Times New Roman" w:hAnsi="Times New Roman" w:eastAsia="Times New Roman"/>
        </w:rPr>
      </w:pPr>
      <w:r>
        <w:rPr>
          <w:rFonts w:ascii="Times New Roman" w:hAnsi="Times New Roman" w:eastAsia="Times New Roman"/>
        </w:rPr>
        <w:t>Machine learning  accelerates the discovery of ABO</w:t>
      </w:r>
      <w:r>
        <w:rPr>
          <w:rFonts w:hint="eastAsia" w:ascii="Times New Roman" w:hAnsi="Times New Roman" w:eastAsia="Times New Roman"/>
          <w:vertAlign w:val="subscript"/>
          <w:lang w:val="en-US" w:eastAsia="zh-CN"/>
        </w:rPr>
        <w:t>3</w:t>
      </w:r>
      <w:r>
        <w:rPr>
          <w:rFonts w:ascii="Times New Roman" w:hAnsi="Times New Roman" w:eastAsia="Times New Roman"/>
        </w:rPr>
        <w:t xml:space="preserve"> perovskite oxides, yet most existing models provide only point predictions without  </w:t>
      </w:r>
      <w:r>
        <w:rPr>
          <w:rFonts w:hint="default" w:ascii="Times New Roman" w:hAnsi="Times New Roman" w:eastAsia="Times New Roman"/>
        </w:rPr>
        <w:t>reliability metrics</w:t>
      </w:r>
      <w:r>
        <w:rPr>
          <w:rFonts w:ascii="Times New Roman" w:hAnsi="Times New Roman" w:eastAsia="Times New Roman"/>
        </w:rPr>
        <w:t xml:space="preserve">—an important gap for high-throughput [38] screening where false positives waste costly first-principles verification. We present an uncertainty-aware prediction framework for perovskite formation energy and thermodynamic stability (energy above the convex hull). The framework couples a physics-informed [1] point predictor (KernelRidge baseline + gradient-boosted decision tree stacking residual) with Conformalized Quantile Regression (CQR), which provides sample-adaptive prediction intervals with finite-sample coverage guarantees. A multi-method applicability domain (ensemble </w:t>
      </w:r>
      <w:r>
        <w:rPr>
          <w:rFonts w:hint="default" w:ascii="Times New Roman" w:hAnsi="Times New Roman" w:eastAsia="Times New Roman"/>
        </w:rPr>
        <w:t>σ</w:t>
      </w:r>
      <w:r>
        <w:rPr>
          <w:rFonts w:ascii="Times New Roman" w:hAnsi="Times New Roman" w:eastAsia="Times New Roman"/>
        </w:rPr>
        <w:t>, k-NN distance, leverage) delimits the trusted prediction region, and symbolic regression consensus validates known chemistry, with A-site electronegativity appearing in all 50 independent symbolic-regression runs.</w:t>
      </w:r>
      <w:r>
        <w:rPr>
          <w:rFonts w:ascii="Times New Roman" w:hAnsi="Times New Roman" w:eastAsia="Times New Roman"/>
        </w:rPr>
        <w:t xml:space="preserve"> On 4,914 perovskites, the framework achieves R</w:t>
      </w:r>
      <w:r>
        <w:rPr>
          <w:rFonts w:hint="eastAsia" w:ascii="Times New Roman" w:hAnsi="Times New Roman" w:eastAsia="Times New Roman"/>
          <w:vertAlign w:val="superscript"/>
          <w:lang w:val="en-US" w:eastAsia="zh-CN"/>
        </w:rPr>
        <w:t>2</w:t>
      </w:r>
      <w:r>
        <w:rPr>
          <w:rFonts w:ascii="Times New Roman" w:hAnsi="Times New Roman" w:eastAsia="Times New Roman"/>
        </w:rPr>
        <w:t xml:space="preserve"> = 0.914 (formation energy) and 0.800 (energy above hull), with CQR reducing the expected calibration error by 43–60% relative to standard split conformal using an equivalent LightGBM baseline. Leave-one-element-out extrapolation over 68 elements and a three-tier candidate validation (database cross-reference, Goldschmidt synthesizability, robustness) quantify the model's reliability boundary. We discuss the decoupling tension between point and interval predictions, the empirical applicability boundary of symbolic regression (formation energy succeeds at signal-to-noise ratio, SNR = 2.61; hull energy fails at SNR = 0.94), and the role of the physics baseline as an interpretability anchor rather than an accuracy contributor.</w:t>
      </w:r>
    </w:p>
    <w:p w14:paraId="5F0342D4">
      <w:pPr>
        <w:pStyle w:val="3"/>
      </w:pPr>
      <w:r>
        <w:rPr>
          <w:rFonts w:ascii="Times New Roman" w:hAnsi="Times New Roman" w:eastAsia="Times New Roman"/>
        </w:rPr>
        <w:t>Keywords: perovskite oxides, formation energy, conformal prediction, applicability domain, symbolic regression, materials informatics [34] [2]</w:t>
      </w:r>
    </w:p>
    <w:p w14:paraId="18C3201B">
      <w:pPr>
        <w:pStyle w:val="2"/>
      </w:pPr>
      <w:r>
        <w:rPr>
          <w:rFonts w:ascii="Times New Roman" w:hAnsi="Times New Roman" w:eastAsia="Times New Roman"/>
          <w:b/>
          <w:bCs/>
        </w:rPr>
        <w:t>1. Introduction</w:t>
      </w:r>
    </w:p>
    <w:p w14:paraId="424D562D">
      <w:pPr>
        <w:pStyle w:val="3"/>
        <w:rPr>
          <w:rFonts w:ascii="Times New Roman" w:hAnsi="Times New Roman" w:eastAsia="Times New Roman"/>
        </w:rPr>
      </w:pPr>
      <w:r>
        <w:rPr>
          <w:rFonts w:hint="default" w:ascii="Times New Roman" w:hAnsi="Times New Roman" w:eastAsia="Times New Roman"/>
        </w:rPr>
        <w:t>ABO</w:t>
      </w:r>
      <w:r>
        <w:rPr>
          <w:rFonts w:hint="eastAsia" w:eastAsia="宋体"/>
          <w:vertAlign w:val="subscript"/>
          <w:lang w:val="en-US" w:eastAsia="zh-CN"/>
        </w:rPr>
        <w:t>3</w:t>
      </w:r>
      <w:r>
        <w:rPr>
          <w:rFonts w:hint="default" w:ascii="Times New Roman" w:hAnsi="Times New Roman" w:eastAsia="Times New Roman"/>
        </w:rPr>
        <w:t xml:space="preserve"> perovskite oxides constitute one of the most versatile families of functional materials, exhibiting a wide range of properties including catalytic activity, ferroelectricity, superconductivity, and ionic conductivity [3,4] that s</w:t>
      </w:r>
      <w:bookmarkStart w:id="1" w:name="_GoBack"/>
      <w:bookmarkEnd w:id="1"/>
      <w:r>
        <w:rPr>
          <w:rFonts w:hint="default" w:ascii="Times New Roman" w:hAnsi="Times New Roman" w:eastAsia="Times New Roman"/>
        </w:rPr>
        <w:t>pan energy conversion [5], information storage, and chemical synthesis applications. The chemical space of possible A-site and B-site elemental combinations is vast (dozens of candidate elements at each site), yet experimentally realizing and verifying each candidate via density functional theory (DFT) or synthesis is prohibitively expensive: a single DFT relaxation can take hours to days. Machine learning (ML) [33] has emerged as a powerful accelerator: descriptor-based regressors trained on existing DFT databases can predict formation energy and thermodynamic stability (energy above the convex hull, E_hull) in milliseconds, enabling high-throughput pre-screening before DFT verification [6,3].</w:t>
      </w:r>
    </w:p>
    <w:p w14:paraId="5B9923B5">
      <w:pPr>
        <w:pStyle w:val="3"/>
        <w:rPr>
          <w:rFonts w:hint="default" w:ascii="Times New Roman" w:hAnsi="Times New Roman" w:eastAsia="Times New Roman"/>
        </w:rPr>
      </w:pPr>
      <w:r>
        <w:rPr>
          <w:rFonts w:hint="default" w:ascii="Times New Roman" w:hAnsi="Times New Roman" w:eastAsia="Times New Roman"/>
        </w:rPr>
        <w:t>Recent advances have pushed prediction accuracy substantially. Deng et al. [7] achieved R² = 0.928 for ABX₃ formation energy using SHAP-guided feature selection and meta-heuristic hyperparameter tuning; interpretable ML screening of perovskite oxides with stability classification and regression has also been demonstrated [8]; and descriptor ML has been compared against crystal-graph neural networks [9]. These works, however, share a common limitation: they report point predictions and aggregate metrics (R², MAE) but do not quantify the uncertainty of individual predictions or delineate the region where the model can be trusted. For materials discovery, this is not a minor omission. A model that predicts E_hull = 0.02 eV/atom for an unseen elemental combination may be highly reliable (if the combination resembles the training distribution) or grossly erroneous (if it is an extrapolation to a chemistry the model has never seen). Consider a screening campaign over 1,000 virtual A-B combinations: if the model has no uncertainty estimate, all candidates predicted stable (E_hull &lt; 0.05 eV/atom) must be forwarded to DFT verification at uniform cost. With a calibrated per-sample interval, however, the ~30% of candidates whose 80% interval straddles the stability threshold can be flagged as ambiguous and deprioritized, reserving DFT resources for high-confidence predictions. Without an applicability domain, the model offers no warning that a candidate involving, e.g., an actinide A-site - poorly represented in the training data - is far less reliable than one involving a well-sampled alkaline-earth cation, even if both receive the same point estimate. Applicability-domain (AD) methods, standard in cheminformatics QSAR [10,11,12], address this by delimiting the chemical space where predictions are trustworthy, yet they remain rarely applied to inorganic perovskite stability models.</w:t>
      </w:r>
    </w:p>
    <w:p w14:paraId="0602C4E5">
      <w:pPr>
        <w:pStyle w:val="3"/>
        <w:rPr>
          <w:rFonts w:hint="default" w:ascii="Times New Roman" w:hAnsi="Times New Roman" w:eastAsia="Times New Roman"/>
        </w:rPr>
      </w:pPr>
      <w:r>
        <w:rPr>
          <w:rFonts w:hint="default" w:ascii="Times New Roman" w:hAnsi="Times New Roman" w:eastAsia="Times New Roman"/>
        </w:rPr>
        <w:t>Conformal prediction [13] offers a principled remedy: it wraps any point predictor with prediction intervals that satisfy a finite-sample, distribution-free marginal coverage guarantee (P(y in C(X)) &gt;= 1 - alpha). Conformalized Quantile Regression (CQR) [14] further yields heteroscedastic intervals whose width adapts to sample-level uncertainty - wide for extrapolation samples, narrow for interpolation - while preserving the coverage guarantee. Despite their maturity in statistics, conditional conformal methods have seen limited application in materials informatics [34] [2], where ensemble variance and heuristic confidence scores remain the norm.</w:t>
      </w:r>
    </w:p>
    <w:p w14:paraId="491DB07C">
      <w:pPr>
        <w:pStyle w:val="3"/>
        <w:rPr>
          <w:rFonts w:hint="default" w:ascii="Times New Roman" w:hAnsi="Times New Roman" w:eastAsia="Times New Roman"/>
        </w:rPr>
      </w:pPr>
      <w:r>
        <w:rPr>
          <w:rFonts w:hint="default" w:ascii="Times New Roman" w:hAnsi="Times New Roman" w:eastAsia="Times New Roman"/>
        </w:rPr>
        <w:t>The inadequacy of current uncertainty practices in perovskite ML is not merely theoretical. Ensemble standard deviation - the most common uncertainty estimate - suffers from model correlation: when the ensemble members share training data and architecture, their predictions are highly correlated and the resulting sigma systematically underestimates true error. In our own preliminary experiments (Section 3.2), naive 80% intervals constructed from ensemble sigma achieved coverage far below the nominal 0.80, because the five gradient-boosted trees in the ensemble produce nearly identical predictions. Standard split conformal corrects the marginal coverage but assigns uniform-width intervals to all samples regardless of their individual reliability, yielding poor conditional coverage. CQR addresses both problems: it provides intervals whose marginal coverage is theoretically guaranteed and whose width varies per-sample, motivating its adoption as the uncertainty layer in this work.</w:t>
      </w:r>
    </w:p>
    <w:p w14:paraId="27F726F4">
      <w:pPr>
        <w:pStyle w:val="3"/>
        <w:rPr>
          <w:rFonts w:hint="default" w:ascii="Times New Roman" w:hAnsi="Times New Roman" w:eastAsia="Times New Roman"/>
        </w:rPr>
      </w:pPr>
      <w:r>
        <w:rPr>
          <w:rFonts w:hint="default" w:ascii="Times New Roman" w:hAnsi="Times New Roman" w:eastAsia="Times New Roman"/>
        </w:rPr>
        <w:t>While black-box [40] ML [15] models such as gradient-boosted trees offer high prediction accuracy, their internal decision logic is opaque to domain scientists who need chemical insight to guide experiments. Symbolic regression (SR) addresses this gap by searching the space of mathematical expressions to discover closed-form equations relating descriptors to targets [8,16]. Although SR equations are non-unique and require consensus analysis across runs, they provide a human-readable counterpoint to black-box feature attributions and can validate whether the model has captured physically meaningful structure-property relationships.</w:t>
      </w:r>
    </w:p>
    <w:p w14:paraId="40690610">
      <w:pPr>
        <w:pStyle w:val="3"/>
        <w:rPr>
          <w:rFonts w:hint="default" w:ascii="Times New Roman" w:hAnsi="Times New Roman" w:eastAsia="Times New Roman"/>
        </w:rPr>
      </w:pPr>
      <w:r>
        <w:rPr>
          <w:rFonts w:hint="default" w:ascii="Times New Roman" w:hAnsi="Times New Roman" w:eastAsia="Times New Roman"/>
        </w:rPr>
        <w:t>In this work, we integrate these four components into a unified framework - uncertainty-aware perovskite stability prediction with conditional conformal intervals and applicability-domain guidance - and evaluate it on 4,914 ABO₃ perovskites from the wolverton_oxides dataset [6]. Our contributions are:</w:t>
      </w:r>
    </w:p>
    <w:p w14:paraId="7C79F817">
      <w:pPr>
        <w:pStyle w:val="3"/>
        <w:rPr>
          <w:rFonts w:ascii="Times New Roman" w:hAnsi="Times New Roman" w:eastAsia="Times New Roman"/>
        </w:rPr>
      </w:pPr>
    </w:p>
    <w:p w14:paraId="15D9502F">
      <w:pPr>
        <w:pStyle w:val="3"/>
        <w:rPr>
          <w:rFonts w:ascii="Times New Roman" w:hAnsi="Times New Roman" w:eastAsia="Times New Roman"/>
        </w:rPr>
      </w:pPr>
      <w:r>
        <w:rPr>
          <w:rFonts w:hint="default" w:ascii="Times New Roman" w:hAnsi="Times New Roman" w:eastAsia="Times New Roman"/>
        </w:rPr>
        <w:t>Conditional coverage via CQR. We apply CQR [14] to perovskite stability prediction and demonstrate, under a fair same-family baseline, a 43-60% reduction in expected calibration error (ECE) relative to standard split conformal - yielding sample-adaptive intervals whose conditional coverage more closely matches the nominal level.</w:t>
      </w:r>
    </w:p>
    <w:p w14:paraId="02B5C41C">
      <w:pPr>
        <w:pStyle w:val="3"/>
        <w:rPr>
          <w:rFonts w:ascii="Times New Roman" w:hAnsi="Times New Roman" w:eastAsia="Times New Roman"/>
        </w:rPr>
      </w:pPr>
    </w:p>
    <w:p w14:paraId="110C268B">
      <w:pPr>
        <w:pStyle w:val="3"/>
        <w:rPr>
          <w:rFonts w:ascii="Times New Roman" w:hAnsi="Times New Roman" w:eastAsia="Times New Roman"/>
        </w:rPr>
      </w:pPr>
    </w:p>
    <w:p w14:paraId="259E3EC9">
      <w:pPr>
        <w:pStyle w:val="3"/>
        <w:rPr>
          <w:rFonts w:ascii="Times New Roman" w:hAnsi="Times New Roman" w:eastAsia="Times New Roman"/>
        </w:rPr>
      </w:pPr>
      <w:r>
        <w:rPr>
          <w:rFonts w:hint="default" w:ascii="Times New Roman" w:hAnsi="Times New Roman" w:eastAsia="Times New Roman"/>
        </w:rPr>
        <w:t>Multi-method applicability domain. We compare three AD criteria (ensemble sigma, k-NN distance, PCA leverage) and show the trusted region achieves R² = 0.945 vs. 0.886 in the untrusted region, providing a concrete reliability boundary for downstream screening.</w:t>
      </w:r>
    </w:p>
    <w:p w14:paraId="180279D4">
      <w:pPr>
        <w:pStyle w:val="3"/>
        <w:rPr>
          <w:rFonts w:ascii="Times New Roman" w:hAnsi="Times New Roman" w:eastAsia="Times New Roman"/>
        </w:rPr>
      </w:pPr>
    </w:p>
    <w:p w14:paraId="79A9D4EC">
      <w:pPr>
        <w:pStyle w:val="3"/>
        <w:rPr>
          <w:rFonts w:ascii="Times New Roman" w:hAnsi="Times New Roman" w:eastAsia="Times New Roman"/>
        </w:rPr>
      </w:pPr>
    </w:p>
    <w:p w14:paraId="24223367">
      <w:pPr>
        <w:pStyle w:val="3"/>
        <w:rPr>
          <w:rFonts w:ascii="Times New Roman" w:hAnsi="Times New Roman" w:eastAsia="Times New Roman"/>
        </w:rPr>
      </w:pPr>
      <w:r>
        <w:rPr>
          <w:rFonts w:hint="default" w:ascii="Times New Roman" w:hAnsi="Times New Roman" w:eastAsia="Times New Roman"/>
        </w:rPr>
        <w:t>Extrapolation assessment via LOEO. We perform leave-one-element-out (68 elements) and quantify per-element extrapolation R², exposing where the model generalizes and where it fails - information absent from aggregate CV metrics.</w:t>
      </w:r>
    </w:p>
    <w:p w14:paraId="3C02007F">
      <w:pPr>
        <w:pStyle w:val="3"/>
        <w:rPr>
          <w:rFonts w:ascii="Times New Roman" w:hAnsi="Times New Roman" w:eastAsia="Times New Roman"/>
        </w:rPr>
      </w:pPr>
    </w:p>
    <w:p w14:paraId="6D3F5F4D">
      <w:pPr>
        <w:pStyle w:val="3"/>
        <w:rPr>
          <w:rFonts w:ascii="Times New Roman" w:hAnsi="Times New Roman" w:eastAsia="Times New Roman"/>
        </w:rPr>
      </w:pPr>
    </w:p>
    <w:p w14:paraId="34F912F9">
      <w:pPr>
        <w:pStyle w:val="3"/>
        <w:rPr>
          <w:rFonts w:ascii="Times New Roman" w:hAnsi="Times New Roman" w:eastAsia="Times New Roman"/>
        </w:rPr>
      </w:pPr>
      <w:r>
        <w:rPr>
          <w:rFonts w:hint="default" w:ascii="Times New Roman" w:hAnsi="Times New Roman" w:eastAsia="Times New Roman"/>
        </w:rPr>
        <w:t>Symbolic regression consensus as a chemistry cross-check. Across 50 independent SR equations, A-site electronegativity appears with 100% consensus, validating the known dominance of electronegativity in formation energy. We further derive an empirical SR applicability criterion (SNR &gt;= 2) by comparing formation energy (success) and hull energy (failure), and discuss its boundary frankly.</w:t>
      </w:r>
    </w:p>
    <w:p w14:paraId="657353D3">
      <w:pPr>
        <w:pStyle w:val="3"/>
        <w:rPr>
          <w:rFonts w:ascii="Times New Roman" w:hAnsi="Times New Roman" w:eastAsia="Times New Roman"/>
        </w:rPr>
      </w:pPr>
    </w:p>
    <w:p w14:paraId="2A76B6B0">
      <w:pPr>
        <w:pStyle w:val="3"/>
        <w:rPr>
          <w:rFonts w:hint="default" w:ascii="Times New Roman" w:hAnsi="Times New Roman" w:eastAsia="Times New Roman"/>
        </w:rPr>
      </w:pPr>
      <w:r>
        <w:rPr>
          <w:rFonts w:hint="default" w:ascii="Times New Roman" w:hAnsi="Times New Roman" w:eastAsia="Times New Roman"/>
        </w:rPr>
        <w:t>Existing perovskite ML models report aggregate accuracy but do not provide calibrated per-sample uncertainty, a trust boundary, or element-level extrapolation maps. By integrating CQR, multi-criteria AD, and LOEO into a single reproducible pipeline, this work moves beyond point-prediction benchmarks toward reliability-aware screening - a shift that is necessary for high-throughput [38] computational materials discovery but remains uncommon in the perovskite literature.</w:t>
      </w:r>
    </w:p>
    <w:p w14:paraId="67A1575C">
      <w:pPr>
        <w:pStyle w:val="3"/>
        <w:rPr>
          <w:rFonts w:hint="default" w:ascii="Times New Roman" w:hAnsi="Times New Roman" w:eastAsia="Times New Roman"/>
        </w:rPr>
      </w:pPr>
      <w:r>
        <w:rPr>
          <w:rFonts w:hint="default" w:ascii="Times New Roman" w:hAnsi="Times New Roman" w:eastAsia="Times New Roman"/>
        </w:rPr>
        <w:t>We are explicit about the framework's limitations: single data source, the decoupling tension between the stacking point predictor and the CQR interval, the absence of DFT-validated candidates, and the empirical (non-universal) nature of the SR criterion. By foregrounding these, we aim to provide a reproducible, honestly-bounded tool for uncertainty-aware perovskite screening rather than an over-claimed accuracy benchmark.</w:t>
      </w:r>
    </w:p>
    <w:p w14:paraId="74D609CF">
      <w:pPr>
        <w:pStyle w:val="3"/>
        <w:keepNext w:val="0"/>
        <w:keepLines w:val="0"/>
        <w:pageBreakBefore w:val="0"/>
        <w:widowControl/>
        <w:kinsoku/>
        <w:wordWrap/>
        <w:overflowPunct/>
        <w:topLinePunct w:val="0"/>
        <w:autoSpaceDE/>
        <w:autoSpaceDN/>
        <w:bidi w:val="0"/>
        <w:adjustRightInd/>
        <w:snapToGrid/>
        <w:spacing w:line="360" w:lineRule="auto"/>
        <w:ind w:firstLine="0" w:firstLineChars="0"/>
        <w:textAlignment w:val="auto"/>
      </w:pPr>
    </w:p>
    <w:p w14:paraId="6A78EF77">
      <w:pPr>
        <w:pStyle w:val="2"/>
      </w:pPr>
      <w:r>
        <w:rPr>
          <w:rFonts w:ascii="Times New Roman" w:hAnsi="Times New Roman" w:eastAsia="Times New Roman"/>
          <w:b/>
          <w:bCs/>
        </w:rPr>
        <w:t>2. Methods</w:t>
      </w:r>
    </w:p>
    <w:p w14:paraId="139002A8">
      <w:pPr>
        <w:pStyle w:val="3"/>
      </w:pPr>
    </w:p>
    <w:p w14:paraId="66B73BBB">
      <w:pPr>
        <w:pStyle w:val="3"/>
      </w:pPr>
      <w:r>
        <w:rPr>
          <w:rFonts w:ascii="Times New Roman" w:hAnsi="Times New Roman" w:eastAsia="Times New Roman"/>
        </w:rPr>
        <w:t>Fig. 1. Overview of the uncertainty-aware prediction framework (PACT-Final).</w:t>
      </w:r>
    </w:p>
    <w:p w14:paraId="5A612B69">
      <w:pPr>
        <w:pStyle w:val="4"/>
      </w:pPr>
      <w:r>
        <w:rPr>
          <w:rFonts w:ascii="Times New Roman" w:hAnsi="Times New Roman" w:eastAsia="Times New Roman"/>
          <w:b/>
          <w:bCs/>
        </w:rPr>
        <w:t>2.1 Dataset</w:t>
      </w:r>
    </w:p>
    <w:p w14:paraId="676E13E6">
      <w:pPr>
        <w:pStyle w:val="3"/>
      </w:pPr>
      <w:r>
        <w:rPr>
          <w:rFonts w:ascii="Times New Roman" w:hAnsi="Times New Roman" w:eastAsia="Times New Roman"/>
        </w:rPr>
        <w:t>We use the wolverton_oxides dataset (4,914 cubic/tilted ABO₃ perovskites), distributed via the matminer library [17]. Each sample contains the composition, the DFT-computed formation energy per atom (E_f, range −3.8 to +1.9 eV/atom) and the energy above the convex hull (E_hull, range 0 to +3.9 eV/atom, non-negative by definition). All 4,914 formulas are unique. The dataset originates from a single high-throughput [38] DFT study [18]; this single-source limitation and its implications for cross-dataset generalization are discussed in Section 5.</w:t>
      </w:r>
    </w:p>
    <w:p w14:paraId="5F241207">
      <w:pPr>
        <w:pStyle w:val="4"/>
      </w:pPr>
      <w:r>
        <w:rPr>
          <w:rFonts w:ascii="Times New Roman" w:hAnsi="Times New Roman" w:eastAsia="Times New Roman"/>
          <w:b/>
          <w:bCs/>
        </w:rPr>
        <w:t>2.2 Feature engineering</w:t>
      </w:r>
    </w:p>
    <w:p w14:paraId="076CC7DD">
      <w:pPr>
        <w:pStyle w:val="3"/>
      </w:pPr>
      <w:r>
        <w:rPr>
          <w:rFonts w:ascii="Times New Roman" w:hAnsi="Times New Roman" w:eastAsia="Times New Roman"/>
        </w:rPr>
        <w:t>Each composition is described by 113 features combining:</w:t>
      </w:r>
    </w:p>
    <w:p w14:paraId="6E407F3B">
      <w:pPr>
        <w:pStyle w:val="25"/>
        <w:numPr>
          <w:ilvl w:val="0"/>
          <w:numId w:val="1"/>
        </w:numPr>
      </w:pPr>
      <w:r>
        <w:rPr>
          <w:rFonts w:ascii="Times New Roman" w:hAnsi="Times New Roman" w:eastAsia="Times New Roman"/>
        </w:rPr>
        <w:t>96 Magpie statistical descriptors [19] computed via a pure-pymatgen [35] [20] reimplementation (elemental properties—atomic number, electronegativity, atomic radius, row, group, valence, etc.—aggregated by composition-weighted mean, avg-dev, mode, minimum, maximum).</w:t>
      </w:r>
    </w:p>
    <w:p w14:paraId="014FCBA9">
      <w:pPr>
        <w:pStyle w:val="25"/>
        <w:numPr>
          <w:ilvl w:val="0"/>
          <w:numId w:val="1"/>
        </w:numPr>
      </w:pPr>
      <w:r>
        <w:rPr>
          <w:rFonts w:ascii="Times New Roman" w:hAnsi="Times New Roman" w:eastAsia="Times New Roman"/>
        </w:rPr>
        <w:t>14 physics-informed [39] descriptors with explicit perovskite meaning: Goldschmidt tolerance factor [21] t = (r_A + r_O)/(√2(r_B + r_O)), octahedral factor μ = r_B/r_O, A/B electronegativity difference, A/B ionic radius ratio, B-site valence, A/B ionic radii, A/B electronegativities, B-site row/group, and A/B-site d-/f-electron counts. Ionic radii use Shannon 12-/6-coordination tables with pymatgen [35] fallback.</w:t>
      </w:r>
    </w:p>
    <w:p w14:paraId="34746D5C">
      <w:pPr>
        <w:pStyle w:val="24"/>
      </w:pPr>
      <w:r>
        <w:rPr>
          <w:rFonts w:ascii="Times New Roman" w:hAnsi="Times New Roman" w:eastAsia="Times New Roman"/>
        </w:rPr>
        <w:t>Three features were excluded from the ML input after audit: two derived heuristics (phys_in_stable_zone, phys_stability_score, composites of the same physical inputs that would create feature redundancy) and one dead feature (phys_b_site_unpaired, 100% NaN due to missing elemental data). The final ML input dimensionality is 110. The d/f-electron counts were corrected to count only the valence-shell (maximum principal quantum number) orbitals, as full-electronic-structure summation erroneously included inner-shell d electrons (e.g., Ac reported d = 31 instead of 1).</w:t>
      </w:r>
    </w:p>
    <w:p w14:paraId="11EA1BEC">
      <w:pPr>
        <w:pStyle w:val="4"/>
      </w:pPr>
      <w:r>
        <w:rPr>
          <w:rFonts w:ascii="Times New Roman" w:hAnsi="Times New Roman" w:eastAsia="Times New Roman"/>
          <w:b/>
          <w:bCs/>
        </w:rPr>
        <w:t>2.3 Physics-informed point predictor</w:t>
      </w:r>
    </w:p>
    <w:p w14:paraId="1BFE16BD">
      <w:pPr>
        <w:pStyle w:val="3"/>
      </w:pPr>
      <w:r>
        <w:rPr>
          <w:rFonts w:ascii="Times New Roman" w:hAnsi="Times New Roman" w:eastAsia="Times New Roman"/>
        </w:rPr>
        <w:t>The point prediction adopts a two-stage residual architecture:</w:t>
      </w:r>
    </w:p>
    <w:p w14:paraId="5AC65135">
      <w:pPr>
        <w:pStyle w:val="25"/>
        <w:numPr>
          <w:ilvl w:val="0"/>
          <w:numId w:val="2"/>
        </w:numPr>
      </w:pPr>
      <w:r>
        <w:rPr>
          <w:rFonts w:ascii="Times New Roman" w:hAnsi="Times New Roman" w:eastAsia="Times New Roman"/>
        </w:rPr>
        <w:t>Physics baseline μ_p: KernelRidge (RBF kernel, α = 1.0, γ = 0.1) on the 14 physics features, providing an interpretable baseline (standalone R² ≈ 0.77 for formation energy, 0.58 for hull energy).</w:t>
      </w:r>
    </w:p>
    <w:p w14:paraId="56D57FBE">
      <w:pPr>
        <w:pStyle w:val="25"/>
        <w:numPr>
          <w:ilvl w:val="0"/>
          <w:numId w:val="2"/>
        </w:numPr>
      </w:pPr>
      <w:r>
        <w:rPr>
          <w:rFonts w:ascii="Times New Roman" w:hAnsi="Times New Roman" w:eastAsia="Times New Roman"/>
        </w:rPr>
        <w:t>ML residual μ_r: a stacking ensemble of three gradient-boosted-decision-tree (GBDT) base learners—LightGBM (leaf-wise), XGBoost (level-wise), and scikit-learn [22] HistGradientBoosting (histogram-based)—combined by a Ridge meta-learner, trained on the residual (y − μ_p) using the full 110 features.</w:t>
      </w:r>
    </w:p>
    <w:p w14:paraId="23E10736">
      <w:pPr>
        <w:pStyle w:val="24"/>
      </w:pPr>
      <w:r>
        <w:rPr>
          <w:rFonts w:ascii="Times New Roman" w:hAnsi="Times New Roman" w:eastAsia="Times New Roman"/>
        </w:rPr>
        <w:t>The point prediction is μ = μ_p + μ_r. The physics baseline serves as an interpretability anchor (its standalone R² quantifies the variance captured by physically meaningful descriptors); it does not, by itself, improve total accuracy over pure ML, because the Magpie descriptors already redundantly encode much of the physical information (electronegativity difference is reconstructible from Magpie features with R² = 0.998). We report this honestly rather than claiming the physics layer boosts performance.</w:t>
      </w:r>
    </w:p>
    <w:p w14:paraId="73936CF0">
      <w:pPr>
        <w:pStyle w:val="3"/>
      </w:pPr>
      <w:r>
        <w:rPr>
          <w:rFonts w:ascii="Times New Roman" w:hAnsi="Times New Roman" w:eastAsia="Times New Roman"/>
        </w:rPr>
        <w:t>Hyperparameters for the GBDT base learners were selected by Optuna [23] (TPE sampler, 25 trials, 3-fold inner CV). We note that hyperparameter selection on the full dataset incurs a small optimistic bias: nested CV estimates ~0.005 R² inflation, within the bootstrap confidence interval reported in Section 3.</w:t>
      </w:r>
    </w:p>
    <w:p w14:paraId="06A9C1B3">
      <w:pPr>
        <w:pStyle w:val="4"/>
      </w:pPr>
      <w:r>
        <w:rPr>
          <w:rFonts w:ascii="Times New Roman" w:hAnsi="Times New Roman" w:eastAsia="Times New Roman"/>
          <w:b/>
          <w:bCs/>
        </w:rPr>
        <w:t>2.4 Conditional conformal prediction (CQR)</w:t>
      </w:r>
    </w:p>
    <w:p w14:paraId="53707622">
      <w:pPr>
        <w:pStyle w:val="3"/>
      </w:pPr>
      <w:r>
        <w:rPr>
          <w:rFonts w:ascii="Times New Roman" w:hAnsi="Times New Roman" w:eastAsia="Times New Roman"/>
        </w:rPr>
        <w:t>Uncertainty quantification uses Conformalized Quantile Regression (CQR; Romano et al. [14]), which combines the adaptivity of quantile regression with the finite-sample coverage guarantee of split conformal. The procedure, applied within each outer CV fold:</w:t>
      </w:r>
    </w:p>
    <w:p w14:paraId="12979E37">
      <w:pPr>
        <w:pStyle w:val="25"/>
        <w:numPr>
          <w:ilvl w:val="0"/>
          <w:numId w:val="3"/>
        </w:numPr>
      </w:pPr>
      <w:r>
        <w:rPr>
          <w:rFonts w:ascii="Times New Roman" w:hAnsi="Times New Roman" w:eastAsia="Times New Roman"/>
        </w:rPr>
        <w:t>Split the training fold into a proper-training set (80%) and a calibration set (20%).</w:t>
      </w:r>
    </w:p>
    <w:p w14:paraId="62C5C85D">
      <w:pPr>
        <w:pStyle w:val="25"/>
        <w:numPr>
          <w:ilvl w:val="0"/>
          <w:numId w:val="3"/>
        </w:numPr>
      </w:pPr>
      <w:r>
        <w:rPr>
          <w:rFonts w:ascii="Times New Roman" w:hAnsi="Times New Roman" w:eastAsia="Times New Roman"/>
        </w:rPr>
        <w:t>Fit two LightGBM quantile regressors on the proper-training set: q̂_0.10(X) and q̂_0.90(X).</w:t>
      </w:r>
    </w:p>
    <w:p w14:paraId="15345453">
      <w:pPr>
        <w:pStyle w:val="25"/>
        <w:numPr>
          <w:ilvl w:val="0"/>
          <w:numId w:val="3"/>
        </w:numPr>
      </w:pPr>
      <w:r>
        <w:rPr>
          <w:rFonts w:ascii="Times New Roman" w:hAnsi="Times New Roman" w:eastAsia="Times New Roman"/>
        </w:rPr>
        <w:t>Compute non-conformity scores on the calibration set: s_i = max(q̂_0.10(x_i) − y_i, y_i − q̂_0.90(x_i)).</w:t>
      </w:r>
    </w:p>
    <w:p w14:paraId="4FD33316">
      <w:pPr>
        <w:pStyle w:val="25"/>
        <w:numPr>
          <w:ilvl w:val="0"/>
          <w:numId w:val="3"/>
        </w:numPr>
      </w:pPr>
      <w:r>
        <w:rPr>
          <w:rFonts w:ascii="Times New Roman" w:hAnsi="Times New Roman" w:eastAsia="Times New Roman"/>
        </w:rPr>
        <w:t>Take the ⌈(1−α)(n_cal+1)⌉-th quantile d of {s_i} (the rank-based finite-sample conformal quantile).</w:t>
      </w:r>
    </w:p>
    <w:p w14:paraId="7761DB9F">
      <w:pPr>
        <w:pStyle w:val="25"/>
        <w:numPr>
          <w:ilvl w:val="0"/>
          <w:numId w:val="3"/>
        </w:numPr>
      </w:pPr>
      <w:r>
        <w:rPr>
          <w:rFonts w:ascii="Times New Roman" w:hAnsi="Times New Roman" w:eastAsia="Times New Roman"/>
        </w:rPr>
        <w:t>Prediction interval for test samples: C(X) = [q̂_0.10(X) − d, q̂_0.90(X) + d].</w:t>
      </w:r>
    </w:p>
    <w:p w14:paraId="43D25992">
      <w:pPr>
        <w:pStyle w:val="24"/>
      </w:pPr>
      <w:r>
        <w:rPr>
          <w:rFonts w:ascii="Times New Roman" w:hAnsi="Times New Roman" w:eastAsia="Times New Roman"/>
        </w:rPr>
        <w:t>Theoretical guarantee. Under exchangeability of (calibration, test), the marginal coverage satisfies P(y ∈ C(X)) ≥ 1 − α for any α, with no distributional assumptions (Vovk et al. [13]). CQR additionally yields heteroscedastic intervals: the quantile regressors produce sample-specific widths, so high-uncertainty (extrapolation) samples receive wider intervals than low-uncertainty (interpolation) samples.</w:t>
      </w:r>
    </w:p>
    <w:p w14:paraId="3394EB97">
      <w:pPr>
        <w:pStyle w:val="3"/>
      </w:pPr>
      <w:r>
        <w:rPr>
          <w:rFonts w:ascii="Times New Roman" w:hAnsi="Times New Roman" w:eastAsia="Times New Roman"/>
        </w:rPr>
        <w:t>Decoupling design. The CQR interval is calibrated independently of the stacking point predictor (Section 2.3), following the conformal prediction philosophy that the interval need not derive from the same model as the point estimate (Romano et al. [14]; Romano, Patterson &amp; Candès, 2019). Consequently, the point prediction may occasionally fall outside its 80% CQR interval (~9% of samples); this is consistent with the marginal guarantee (which concerns y, not the point estimate) but introduces a practical tension discussed in Section 5.</w:t>
      </w:r>
    </w:p>
    <w:p w14:paraId="6D1F77A0">
      <w:pPr>
        <w:pStyle w:val="3"/>
      </w:pPr>
      <w:r>
        <w:rPr>
          <w:rFonts w:ascii="Times New Roman" w:hAnsi="Times New Roman" w:eastAsia="Times New Roman"/>
        </w:rPr>
        <w:t>Fair baseline. Standard split conformal (uniform ±d intervals around a single point predictor) is reported as a baseline. To ensure a fair comparison of conditional coverage, the baseline point predictor uses the same LightGBM family (not a weaker Ridge), so the ECE improvement attributable to CQR is not inflated by baseline weakness.</w:t>
      </w:r>
    </w:p>
    <w:p w14:paraId="5E9C9638">
      <w:pPr>
        <w:pStyle w:val="3"/>
      </w:pPr>
      <w:r>
        <w:rPr>
          <w:rFonts w:ascii="Times New Roman" w:hAnsi="Times New Roman" w:eastAsia="Times New Roman"/>
        </w:rPr>
        <w:t>Expected Calibration Error (ECE). We quantify conditional coverage via ECE: sort samples by ensemble σ, partition into 10 equal bins, and compute the weighted mean absolute deviation of each bin’s empirical coverage from the nominal 1 − α. Lower ECE indicates more uniform (better-calibrated) conditional coverage.</w:t>
      </w:r>
    </w:p>
    <w:p w14:paraId="6BFF46DF">
      <w:pPr>
        <w:pStyle w:val="4"/>
      </w:pPr>
      <w:r>
        <w:rPr>
          <w:rFonts w:ascii="Times New Roman" w:hAnsi="Times New Roman" w:eastAsia="Times New Roman"/>
          <w:b/>
          <w:bCs/>
        </w:rPr>
        <w:t>2.5 Applicability domain</w:t>
      </w:r>
    </w:p>
    <w:p w14:paraId="047C104B">
      <w:pPr>
        <w:pStyle w:val="3"/>
      </w:pPr>
      <w:r>
        <w:rPr>
          <w:rFonts w:ascii="Times New Roman" w:hAnsi="Times New Roman" w:eastAsia="Times New Roman"/>
        </w:rPr>
        <w:t>Three AD criteria delimit the trusted region, computed within each CV fold (no leakage):</w:t>
      </w:r>
    </w:p>
    <w:p w14:paraId="1A9DCAC2">
      <w:pPr>
        <w:pStyle w:val="25"/>
        <w:numPr>
          <w:ilvl w:val="0"/>
          <w:numId w:val="1"/>
        </w:numPr>
      </w:pPr>
      <w:r>
        <w:rPr>
          <w:rFonts w:ascii="Times New Roman" w:hAnsi="Times New Roman" w:eastAsia="Times New Roman"/>
        </w:rPr>
        <w:t>Ensemble σ (model uncertainty): the standard deviation of the three GBDT base learners’ residual predictions. Trusted if σ &lt; median.</w:t>
      </w:r>
    </w:p>
    <w:p w14:paraId="2715BC53">
      <w:pPr>
        <w:pStyle w:val="25"/>
        <w:numPr>
          <w:ilvl w:val="0"/>
          <w:numId w:val="1"/>
        </w:numPr>
      </w:pPr>
      <w:r>
        <w:rPr>
          <w:rFonts w:ascii="Times New Roman" w:hAnsi="Times New Roman" w:eastAsia="Times New Roman"/>
        </w:rPr>
        <w:t>k-NN distance (input-space extrapolation): the mean Euclidean distance to the 5 nearest training neighbors in PCA(20)-reduced space. Trusted if below the 95th percentile of training-set distances.</w:t>
      </w:r>
    </w:p>
    <w:p w14:paraId="71AB5447">
      <w:pPr>
        <w:pStyle w:val="25"/>
        <w:numPr>
          <w:ilvl w:val="0"/>
          <w:numId w:val="1"/>
        </w:numPr>
      </w:pPr>
      <w:r>
        <w:rPr>
          <w:rFonts w:ascii="Times New Roman" w:hAnsi="Times New Roman" w:eastAsia="Times New Roman"/>
        </w:rPr>
        <w:t>PCA leverage (Williams plot): h_i = x_iᵀ(XᵀX)⁻¹x_i in PCA(20) space. Trusted if h_i ≤ 3p/n.</w:t>
      </w:r>
    </w:p>
    <w:p w14:paraId="5A009C74">
      <w:pPr>
        <w:pStyle w:val="24"/>
      </w:pPr>
      <w:r>
        <w:rPr>
          <w:rFonts w:ascii="Times New Roman" w:hAnsi="Times New Roman" w:eastAsia="Times New Roman"/>
        </w:rPr>
        <w:t>We report the trusted/untrusted R² partition for each method and their agreement.</w:t>
      </w:r>
    </w:p>
    <w:p w14:paraId="0DE6EB82">
      <w:pPr>
        <w:pStyle w:val="4"/>
      </w:pPr>
      <w:r>
        <w:rPr>
          <w:rFonts w:ascii="Times New Roman" w:hAnsi="Times New Roman" w:eastAsia="Times New Roman"/>
          <w:b/>
          <w:bCs/>
        </w:rPr>
        <w:t>2.6 Evaluation protocol</w:t>
      </w:r>
    </w:p>
    <w:p w14:paraId="3E0A4ABA">
      <w:pPr>
        <w:pStyle w:val="25"/>
        <w:numPr>
          <w:ilvl w:val="0"/>
          <w:numId w:val="1"/>
        </w:numPr>
      </w:pPr>
      <w:r>
        <w:rPr>
          <w:rFonts w:ascii="Times New Roman" w:hAnsi="Times New Roman" w:eastAsia="Times New Roman"/>
        </w:rPr>
        <w:t>5-fold cross-validation [24] (shuffle, seed 42) for all reported OOF metrics.</w:t>
      </w:r>
    </w:p>
    <w:p w14:paraId="58307735">
      <w:pPr>
        <w:pStyle w:val="25"/>
        <w:numPr>
          <w:ilvl w:val="0"/>
          <w:numId w:val="1"/>
        </w:numPr>
      </w:pPr>
      <w:r>
        <w:rPr>
          <w:rFonts w:ascii="Times New Roman" w:hAnsi="Times New Roman" w:eastAsia="Times New Roman"/>
        </w:rPr>
        <w:t>Stacking meta-learner trained on inner 3-fold OOF to avoid leakage.</w:t>
      </w:r>
    </w:p>
    <w:p w14:paraId="7B933F90">
      <w:pPr>
        <w:pStyle w:val="25"/>
        <w:numPr>
          <w:ilvl w:val="0"/>
          <w:numId w:val="1"/>
        </w:numPr>
      </w:pPr>
      <w:r>
        <w:rPr>
          <w:rFonts w:ascii="Times New Roman" w:hAnsi="Times New Roman" w:eastAsia="Times New Roman"/>
        </w:rPr>
        <w:t>Bootstrap 95% CI [25] (1000 resamples) for R² and MAE.</w:t>
      </w:r>
    </w:p>
    <w:p w14:paraId="0C3B64CD">
      <w:pPr>
        <w:pStyle w:val="25"/>
        <w:numPr>
          <w:ilvl w:val="0"/>
          <w:numId w:val="1"/>
        </w:numPr>
      </w:pPr>
      <w:r>
        <w:rPr>
          <w:rFonts w:ascii="Times New Roman" w:hAnsi="Times New Roman" w:eastAsia="Times New Roman"/>
        </w:rPr>
        <w:t>Imputation and standardization fit within each training fold (Pipeline), never on the full dataset.</w:t>
      </w:r>
    </w:p>
    <w:p w14:paraId="1FF98504">
      <w:pPr>
        <w:pStyle w:val="25"/>
        <w:numPr>
          <w:ilvl w:val="0"/>
          <w:numId w:val="1"/>
        </w:numPr>
      </w:pPr>
      <w:r>
        <w:rPr>
          <w:rFonts w:ascii="Times New Roman" w:hAnsi="Times New Roman" w:eastAsia="Times New Roman"/>
        </w:rPr>
        <w:t>σ–error correlation (Pearson r, with p-value; significance tested via Wilcoxon signed-rank [26]) to validate that ensemble uncertainty ranks errors correctly.</w:t>
      </w:r>
    </w:p>
    <w:p w14:paraId="6E4A2800">
      <w:pPr>
        <w:pStyle w:val="4"/>
      </w:pPr>
      <w:r>
        <w:rPr>
          <w:rFonts w:ascii="Times New Roman" w:hAnsi="Times New Roman" w:eastAsia="Times New Roman"/>
          <w:b/>
          <w:bCs/>
        </w:rPr>
        <w:t>2.7 Symbolic regression (interpretability cross-check)</w:t>
      </w:r>
    </w:p>
    <w:p w14:paraId="45C4951D">
      <w:pPr>
        <w:pStyle w:val="3"/>
      </w:pPr>
      <w:r>
        <w:rPr>
          <w:rFonts w:ascii="Times New Roman" w:hAnsi="Times New Roman" w:eastAsia="Times New Roman"/>
        </w:rPr>
        <w:t>Symbolic regression is employed not to discover new physics but to provide a human-readable cross-check of the ML model. We run gplearn (genetic programming, basic operators + sqrt, parsimony 0.001, 40 generations, 2000 population) with 10 random seeds × 5 CV folds = 50 independent equations on the 14 physics features. Feature consensus frequency (fraction of equations in which each physics feature appears) is reported, rather than any single non-unique equation. We additionally derive an empirical SR applicability criterion by comparing SR success on formation energy (signal-to-noise ratio SNR = 2.61) vs. failure on hull energy (SNR = 0.94), where SNR = R²(KRR)/(1 − R²(KRR)).</w:t>
      </w:r>
    </w:p>
    <w:p w14:paraId="56EF85C8">
      <w:pPr>
        <w:pStyle w:val="2"/>
      </w:pPr>
      <w:r>
        <w:rPr>
          <w:rFonts w:ascii="Times New Roman" w:hAnsi="Times New Roman" w:eastAsia="Times New Roman"/>
          <w:b/>
          <w:bCs/>
        </w:rPr>
        <w:t>3. Results and Discussion</w:t>
      </w:r>
    </w:p>
    <w:p w14:paraId="1119ECD5">
      <w:pPr>
        <w:pStyle w:val="4"/>
      </w:pPr>
      <w:r>
        <w:rPr>
          <w:rFonts w:ascii="Times New Roman" w:hAnsi="Times New Roman" w:eastAsia="Times New Roman"/>
          <w:b/>
          <w:bCs/>
        </w:rPr>
        <w:t>3.1 Point prediction performance</w:t>
      </w:r>
    </w:p>
    <w:p w14:paraId="50FD6A06">
      <w:pPr>
        <w:pStyle w:val="3"/>
      </w:pPr>
      <w:r>
        <w:rPr>
          <w:rFonts w:ascii="Times New Roman" w:hAnsi="Times New Roman" w:eastAsia="Times New Roman"/>
          <w:b/>
          <w:bCs/>
        </w:rPr>
        <w:t>Table 1. Model comparison for formation energy and hull energy prediction (5-fold CV).</w:t>
      </w:r>
    </w:p>
    <w:tbl>
      <w:tblPr>
        <w:tblStyle w:val="29"/>
        <w:tblW w:w="5000" w:type="pct"/>
        <w:tblInd w:w="0" w:type="dxa"/>
        <w:tblLayout w:type="autofit"/>
        <w:tblCellMar>
          <w:top w:w="0" w:type="dxa"/>
          <w:left w:w="108" w:type="dxa"/>
          <w:bottom w:w="0" w:type="dxa"/>
          <w:right w:w="108" w:type="dxa"/>
        </w:tblCellMar>
      </w:tblPr>
      <w:tblGrid>
        <w:gridCol w:w="3038"/>
        <w:gridCol w:w="1468"/>
        <w:gridCol w:w="1854"/>
        <w:gridCol w:w="1248"/>
        <w:gridCol w:w="1634"/>
      </w:tblGrid>
      <w:tr w14:paraId="5405C9BF">
        <w:tblPrEx>
          <w:tblCellMar>
            <w:top w:w="0" w:type="dxa"/>
            <w:left w:w="108" w:type="dxa"/>
            <w:bottom w:w="0" w:type="dxa"/>
            <w:right w:w="108" w:type="dxa"/>
          </w:tblCellMar>
        </w:tblPrEx>
        <w:trPr>
          <w:tblHeader/>
        </w:trPr>
        <w:tc>
          <w:p w14:paraId="27E34DD0">
            <w:pPr>
              <w:pStyle w:val="25"/>
              <w:jc w:val="left"/>
            </w:pPr>
            <w:r>
              <w:rPr>
                <w:rFonts w:ascii="Times New Roman" w:hAnsi="Times New Roman" w:eastAsia="Times New Roman"/>
                <w:b/>
                <w:bCs/>
                <w:sz w:val="20"/>
              </w:rPr>
              <w:t>Model</w:t>
            </w:r>
          </w:p>
        </w:tc>
        <w:tc>
          <w:p w14:paraId="0E99FD08">
            <w:pPr>
              <w:pStyle w:val="25"/>
              <w:jc w:val="left"/>
            </w:pPr>
            <w:r>
              <w:rPr>
                <w:rFonts w:ascii="Times New Roman" w:hAnsi="Times New Roman" w:eastAsia="Times New Roman"/>
                <w:b/>
                <w:bCs/>
                <w:sz w:val="20"/>
              </w:rPr>
              <w:t>Form. R²</w:t>
            </w:r>
          </w:p>
        </w:tc>
        <w:tc>
          <w:p w14:paraId="6A612992">
            <w:pPr>
              <w:pStyle w:val="25"/>
              <w:jc w:val="left"/>
            </w:pPr>
            <w:r>
              <w:rPr>
                <w:rFonts w:ascii="Times New Roman" w:hAnsi="Times New Roman" w:eastAsia="Times New Roman"/>
                <w:b/>
                <w:bCs/>
                <w:sz w:val="20"/>
              </w:rPr>
              <w:t>Form. MAE</w:t>
            </w:r>
          </w:p>
        </w:tc>
        <w:tc>
          <w:p w14:paraId="2839499E">
            <w:pPr>
              <w:pStyle w:val="25"/>
              <w:jc w:val="left"/>
            </w:pPr>
            <w:r>
              <w:rPr>
                <w:rFonts w:ascii="Times New Roman" w:hAnsi="Times New Roman" w:eastAsia="Times New Roman"/>
                <w:b/>
                <w:bCs/>
                <w:sz w:val="20"/>
              </w:rPr>
              <w:t>Hull R²</w:t>
            </w:r>
          </w:p>
        </w:tc>
        <w:tc>
          <w:p w14:paraId="33617BC6">
            <w:pPr>
              <w:pStyle w:val="25"/>
              <w:jc w:val="left"/>
            </w:pPr>
            <w:r>
              <w:rPr>
                <w:rFonts w:ascii="Times New Roman" w:hAnsi="Times New Roman" w:eastAsia="Times New Roman"/>
                <w:b/>
                <w:bCs/>
                <w:sz w:val="20"/>
              </w:rPr>
              <w:t>Hull MAE</w:t>
            </w:r>
          </w:p>
        </w:tc>
      </w:tr>
      <w:tr w14:paraId="2FE7A4BE">
        <w:tblPrEx>
          <w:tblCellMar>
            <w:top w:w="0" w:type="dxa"/>
            <w:left w:w="108" w:type="dxa"/>
            <w:bottom w:w="0" w:type="dxa"/>
            <w:right w:w="108" w:type="dxa"/>
          </w:tblCellMar>
        </w:tblPrEx>
        <w:tc>
          <w:p w14:paraId="67604218">
            <w:pPr>
              <w:pStyle w:val="25"/>
              <w:jc w:val="left"/>
            </w:pPr>
            <w:r>
              <w:rPr>
                <w:rFonts w:ascii="Times New Roman" w:hAnsi="Times New Roman" w:eastAsia="Times New Roman"/>
                <w:sz w:val="20"/>
              </w:rPr>
              <w:t>Pure LightGBM</w:t>
            </w:r>
          </w:p>
        </w:tc>
        <w:tc>
          <w:p w14:paraId="2354BDF5">
            <w:pPr>
              <w:pStyle w:val="25"/>
              <w:jc w:val="left"/>
            </w:pPr>
            <w:r>
              <w:rPr>
                <w:rFonts w:ascii="Times New Roman" w:hAnsi="Times New Roman" w:eastAsia="Times New Roman"/>
                <w:sz w:val="20"/>
              </w:rPr>
              <w:t>0.912</w:t>
            </w:r>
          </w:p>
        </w:tc>
        <w:tc>
          <w:p w14:paraId="24421B90">
            <w:pPr>
              <w:pStyle w:val="25"/>
              <w:jc w:val="left"/>
            </w:pPr>
            <w:r>
              <w:rPr>
                <w:rFonts w:ascii="Times New Roman" w:hAnsi="Times New Roman" w:eastAsia="Times New Roman"/>
                <w:sz w:val="20"/>
              </w:rPr>
              <w:t>0.193</w:t>
            </w:r>
          </w:p>
        </w:tc>
        <w:tc>
          <w:p w14:paraId="692F3EC6">
            <w:pPr>
              <w:pStyle w:val="25"/>
              <w:jc w:val="left"/>
            </w:pPr>
            <w:r>
              <w:rPr>
                <w:rFonts w:ascii="Times New Roman" w:hAnsi="Times New Roman" w:eastAsia="Times New Roman"/>
                <w:sz w:val="20"/>
              </w:rPr>
              <w:t>0.793</w:t>
            </w:r>
          </w:p>
        </w:tc>
        <w:tc>
          <w:p w14:paraId="283B0C0E">
            <w:pPr>
              <w:pStyle w:val="25"/>
              <w:jc w:val="left"/>
            </w:pPr>
            <w:r>
              <w:rPr>
                <w:rFonts w:ascii="Times New Roman" w:hAnsi="Times New Roman" w:eastAsia="Times New Roman"/>
                <w:sz w:val="20"/>
              </w:rPr>
              <w:t>0.179</w:t>
            </w:r>
          </w:p>
        </w:tc>
      </w:tr>
      <w:tr w14:paraId="0D072A21">
        <w:tblPrEx>
          <w:tblCellMar>
            <w:top w:w="0" w:type="dxa"/>
            <w:left w:w="108" w:type="dxa"/>
            <w:bottom w:w="0" w:type="dxa"/>
            <w:right w:w="108" w:type="dxa"/>
          </w:tblCellMar>
        </w:tblPrEx>
        <w:tc>
          <w:p w14:paraId="55724CD1">
            <w:pPr>
              <w:pStyle w:val="25"/>
              <w:jc w:val="left"/>
            </w:pPr>
            <w:r>
              <w:rPr>
                <w:rFonts w:ascii="Times New Roman" w:hAnsi="Times New Roman" w:eastAsia="Times New Roman"/>
                <w:sz w:val="20"/>
              </w:rPr>
              <w:t>GBDT stacking</w:t>
            </w:r>
          </w:p>
        </w:tc>
        <w:tc>
          <w:p w14:paraId="1518E3CC">
            <w:pPr>
              <w:pStyle w:val="25"/>
              <w:jc w:val="left"/>
            </w:pPr>
            <w:r>
              <w:rPr>
                <w:rFonts w:ascii="Times New Roman" w:hAnsi="Times New Roman" w:eastAsia="Times New Roman"/>
                <w:sz w:val="20"/>
              </w:rPr>
              <w:t>0.918</w:t>
            </w:r>
          </w:p>
        </w:tc>
        <w:tc>
          <w:p w14:paraId="1F69F3A7">
            <w:pPr>
              <w:pStyle w:val="25"/>
              <w:jc w:val="left"/>
            </w:pPr>
            <w:r>
              <w:rPr>
                <w:rFonts w:ascii="Times New Roman" w:hAnsi="Times New Roman" w:eastAsia="Times New Roman"/>
                <w:sz w:val="20"/>
              </w:rPr>
              <w:t>0.181</w:t>
            </w:r>
          </w:p>
        </w:tc>
        <w:tc>
          <w:p w14:paraId="0010378E">
            <w:pPr>
              <w:pStyle w:val="25"/>
              <w:jc w:val="left"/>
            </w:pPr>
            <w:r>
              <w:rPr>
                <w:rFonts w:ascii="Times New Roman" w:hAnsi="Times New Roman" w:eastAsia="Times New Roman"/>
                <w:sz w:val="20"/>
              </w:rPr>
              <w:t>0.813</w:t>
            </w:r>
          </w:p>
        </w:tc>
        <w:tc>
          <w:p w14:paraId="235319E2">
            <w:pPr>
              <w:pStyle w:val="25"/>
              <w:jc w:val="left"/>
            </w:pPr>
            <w:r>
              <w:rPr>
                <w:rFonts w:ascii="Times New Roman" w:hAnsi="Times New Roman" w:eastAsia="Times New Roman"/>
                <w:sz w:val="20"/>
              </w:rPr>
              <w:t>0.169</w:t>
            </w:r>
          </w:p>
        </w:tc>
      </w:tr>
      <w:tr w14:paraId="625C4A05">
        <w:tblPrEx>
          <w:tblCellMar>
            <w:top w:w="0" w:type="dxa"/>
            <w:left w:w="108" w:type="dxa"/>
            <w:bottom w:w="0" w:type="dxa"/>
            <w:right w:w="108" w:type="dxa"/>
          </w:tblCellMar>
        </w:tblPrEx>
        <w:tc>
          <w:p w14:paraId="7B910A74">
            <w:pPr>
              <w:pStyle w:val="25"/>
              <w:jc w:val="left"/>
            </w:pPr>
            <w:r>
              <w:rPr>
                <w:rFonts w:ascii="Times New Roman" w:hAnsi="Times New Roman" w:eastAsia="Times New Roman"/>
                <w:sz w:val="20"/>
              </w:rPr>
              <w:t>PACT-Final</w:t>
            </w:r>
          </w:p>
        </w:tc>
        <w:tc>
          <w:p w14:paraId="1946BF8E">
            <w:pPr>
              <w:pStyle w:val="25"/>
              <w:jc w:val="left"/>
            </w:pPr>
            <w:r>
              <w:rPr>
                <w:rFonts w:ascii="Times New Roman" w:hAnsi="Times New Roman" w:eastAsia="Times New Roman"/>
                <w:sz w:val="20"/>
              </w:rPr>
              <w:t>0.914</w:t>
            </w:r>
          </w:p>
        </w:tc>
        <w:tc>
          <w:p w14:paraId="45C3518A">
            <w:pPr>
              <w:pStyle w:val="25"/>
              <w:jc w:val="left"/>
            </w:pPr>
            <w:r>
              <w:rPr>
                <w:rFonts w:ascii="Times New Roman" w:hAnsi="Times New Roman" w:eastAsia="Times New Roman"/>
                <w:sz w:val="20"/>
              </w:rPr>
              <w:t>0.186</w:t>
            </w:r>
          </w:p>
        </w:tc>
        <w:tc>
          <w:p w14:paraId="10AC0AEC">
            <w:pPr>
              <w:pStyle w:val="25"/>
              <w:jc w:val="left"/>
            </w:pPr>
            <w:r>
              <w:rPr>
                <w:rFonts w:ascii="Times New Roman" w:hAnsi="Times New Roman" w:eastAsia="Times New Roman"/>
                <w:sz w:val="20"/>
              </w:rPr>
              <w:t>0.800</w:t>
            </w:r>
          </w:p>
        </w:tc>
        <w:tc>
          <w:p w14:paraId="57D37097">
            <w:pPr>
              <w:pStyle w:val="25"/>
              <w:jc w:val="left"/>
            </w:pPr>
            <w:r>
              <w:rPr>
                <w:rFonts w:ascii="Times New Roman" w:hAnsi="Times New Roman" w:eastAsia="Times New Roman"/>
                <w:sz w:val="20"/>
              </w:rPr>
              <w:t>0.171</w:t>
            </w:r>
          </w:p>
        </w:tc>
      </w:tr>
      <w:tr w14:paraId="29046B65">
        <w:tblPrEx>
          <w:tblCellMar>
            <w:top w:w="0" w:type="dxa"/>
            <w:left w:w="108" w:type="dxa"/>
            <w:bottom w:w="0" w:type="dxa"/>
            <w:right w:w="108" w:type="dxa"/>
          </w:tblCellMar>
        </w:tblPrEx>
        <w:tc>
          <w:p w14:paraId="740BB377">
            <w:pPr>
              <w:pStyle w:val="25"/>
              <w:jc w:val="left"/>
            </w:pPr>
            <w:r>
              <w:rPr>
                <w:rFonts w:ascii="Times New Roman" w:hAnsi="Times New Roman" w:eastAsia="Times New Roman"/>
                <w:sz w:val="20"/>
              </w:rPr>
              <w:t>Ref. [7] (diff. dataset)</w:t>
            </w:r>
          </w:p>
        </w:tc>
        <w:tc>
          <w:p w14:paraId="7FA139F7">
            <w:pPr>
              <w:pStyle w:val="25"/>
              <w:jc w:val="left"/>
            </w:pPr>
            <w:r>
              <w:rPr>
                <w:rFonts w:ascii="Times New Roman" w:hAnsi="Times New Roman" w:eastAsia="Times New Roman"/>
                <w:sz w:val="20"/>
              </w:rPr>
              <w:t>0.928</w:t>
            </w:r>
          </w:p>
        </w:tc>
        <w:tc>
          <w:p w14:paraId="2E3EF68E">
            <w:pPr>
              <w:pStyle w:val="25"/>
              <w:jc w:val="left"/>
            </w:pPr>
            <w:r>
              <w:rPr>
                <w:rFonts w:ascii="Times New Roman" w:hAnsi="Times New Roman" w:eastAsia="Times New Roman"/>
                <w:sz w:val="20"/>
              </w:rPr>
              <w:t>—</w:t>
            </w:r>
          </w:p>
        </w:tc>
        <w:tc>
          <w:p w14:paraId="22C13C3D">
            <w:pPr>
              <w:pStyle w:val="25"/>
              <w:jc w:val="left"/>
            </w:pPr>
            <w:r>
              <w:rPr>
                <w:rFonts w:ascii="Times New Roman" w:hAnsi="Times New Roman" w:eastAsia="Times New Roman"/>
                <w:sz w:val="20"/>
              </w:rPr>
              <w:t>—</w:t>
            </w:r>
          </w:p>
        </w:tc>
        <w:tc>
          <w:p w14:paraId="759ABC6E">
            <w:pPr>
              <w:pStyle w:val="25"/>
              <w:jc w:val="left"/>
            </w:pPr>
            <w:r>
              <w:rPr>
                <w:rFonts w:ascii="Times New Roman" w:hAnsi="Times New Roman" w:eastAsia="Times New Roman"/>
                <w:sz w:val="20"/>
              </w:rPr>
              <w:t>—</w:t>
            </w:r>
          </w:p>
        </w:tc>
      </w:tr>
    </w:tbl>
    <w:p w14:paraId="14DED347">
      <w:pPr>
        <w:pStyle w:val="3"/>
      </w:pPr>
    </w:p>
    <w:p w14:paraId="41B9F07C">
      <w:pPr>
        <w:pStyle w:val="3"/>
      </w:pPr>
      <w:r>
        <w:rPr>
          <w:rFonts w:ascii="Times New Roman" w:hAnsi="Times New Roman" w:eastAsia="Times New Roman"/>
        </w:rPr>
        <w:t>Fig. 2. Parity plots of predicted vs. DFT values for (a) formation energy and (b) energy above hull. Points colored by ensemble sigma. Dashed line: y = x.</w:t>
      </w:r>
    </w:p>
    <w:p w14:paraId="70E00B78">
      <w:pPr>
        <w:pStyle w:val="3"/>
      </w:pPr>
      <w:r>
        <w:rPr>
          <w:rFonts w:ascii="Times New Roman" w:hAnsi="Times New Roman" w:eastAsia="Times New Roman"/>
        </w:rPr>
        <w:t>The framework achieves R² = 0.914 [0.907, 0.922] for formation energy and R² = 0.800 [0.781, 0.816] for hull energy (5-fold CV, bootstrap 95% CI), with MAE of 0.186 and 0.171 eV/atom respectively (Table 1). For context, this formation-energy R² is comparable to the gradient-boosting benchmark of Emery and Wolverton (R² ≈ 0.91 on the same wolverton_oxides dataset [6]) and to the 0.928 reported by Deng et al. [7] on a distinct Materials-Project-derived ABX₃ dataset using SHAP [27]-guided feature selection. Direct numerical comparison across datasets is complicated by differing DFT reference frames (we measured Pearson r = 0.358 between our dataset and matbench_perovskites, precluding cross-dataset validation), but the point-estimate accuracy places our model in the same tier as recent descriptor-ML benchmarks. Crucially, our differentiation is not in R² but in the uncertainty and applicability components that follow. Hull-energy prediction is inherently harder (R² = 0.800): E_hull depends on all competing phases, a global property not fully captured by single-compound descriptors. The stacking ensemble (LightGBM + XGBoost + HistGradientBoosting) marginally improves over single LightGBM (+0.003 R²), consistent with the high correlation (0.99) among GBDT family members limiting ensemble diversity gains.</w:t>
      </w:r>
    </w:p>
    <w:p w14:paraId="79B6FACD">
      <w:pPr>
        <w:pStyle w:val="3"/>
      </w:pPr>
      <w:r>
        <w:rPr>
          <w:rFonts w:ascii="Times New Roman" w:hAnsi="Times New Roman" w:eastAsia="Times New Roman"/>
        </w:rPr>
        <w:t>Material interpretation. The physics baseline alone (KernelRidge on 14 physics features) explains R² = 0.773 of formation-energy variance—confirming that physically meaningful descriptors (tolerance factor, electronegativity, ionic radii) capture the majority of the signal, consistent with the ionic-model understanding [28] of perovskite stability. The stacking residual adds the non-linear/secondary-descriptor structure.</w:t>
      </w:r>
    </w:p>
    <w:p w14:paraId="2C9140A9">
      <w:pPr>
        <w:pStyle w:val="3"/>
      </w:pPr>
      <w:r>
        <w:rPr>
          <w:rFonts w:ascii="Times New Roman" w:hAnsi="Times New Roman" w:eastAsia="Times New Roman"/>
        </w:rPr>
        <w:t>Error analysis. The 8.0% of samples with absolute error exceeding 0.5 eV/atom (394/4914) cluster at the extreme of the formation-energy distribution: their mean E_f = −1.384 eV/atom is less negative than the global mean (−1.663), indicating the model struggles most with compounds of intermediate stability—neither strongly stable nor clearly unstable—where small descriptor changes produce large energy shifts. Conversely, the most accurately predicted compounds are strongly stable perovskites (E_f &lt; −2.5 eV/atom, e.g., alkaline-earth-based oxides) whose formation energy is dominated by well-captured ionic contributions. Notably, 4 of the 5 worst predictions occur at σ &lt; 0.10 eV/atom, suggesting the ensemble underestimates uncertainty for certain extrapolative samples; this residual miscalibration motivates the conditional (CQR) intervals in Section 3.2, which do not rely on σ alone.</w:t>
      </w:r>
    </w:p>
    <w:p w14:paraId="562F8F35">
      <w:pPr>
        <w:pStyle w:val="4"/>
      </w:pPr>
      <w:r>
        <w:rPr>
          <w:rFonts w:ascii="Times New Roman" w:hAnsi="Times New Roman" w:eastAsia="Times New Roman"/>
          <w:b/>
          <w:bCs/>
        </w:rPr>
        <w:t>3.2 Uncertainty quantification: CQR conditional coverage</w:t>
      </w:r>
    </w:p>
    <w:p w14:paraId="77354E50">
      <w:pPr>
        <w:pStyle w:val="3"/>
      </w:pPr>
      <w:r>
        <w:rPr>
          <w:rFonts w:ascii="Times New Roman" w:hAnsi="Times New Roman" w:eastAsia="Times New Roman"/>
          <w:b/>
          <w:bCs/>
        </w:rPr>
        <w:t>Table 2. CQR vs. standard split conformal (fair LightGBM-family baseline).</w:t>
      </w:r>
    </w:p>
    <w:tbl>
      <w:tblPr>
        <w:tblStyle w:val="29"/>
        <w:tblW w:w="5000" w:type="pct"/>
        <w:tblInd w:w="0" w:type="dxa"/>
        <w:tblLayout w:type="autofit"/>
        <w:tblCellMar>
          <w:top w:w="0" w:type="dxa"/>
          <w:left w:w="108" w:type="dxa"/>
          <w:bottom w:w="0" w:type="dxa"/>
          <w:right w:w="108" w:type="dxa"/>
        </w:tblCellMar>
      </w:tblPr>
      <w:tblGrid>
        <w:gridCol w:w="1657"/>
        <w:gridCol w:w="1761"/>
        <w:gridCol w:w="1298"/>
        <w:gridCol w:w="1530"/>
        <w:gridCol w:w="1265"/>
        <w:gridCol w:w="1731"/>
      </w:tblGrid>
      <w:tr w14:paraId="1DF51F00">
        <w:tblPrEx>
          <w:tblCellMar>
            <w:top w:w="0" w:type="dxa"/>
            <w:left w:w="108" w:type="dxa"/>
            <w:bottom w:w="0" w:type="dxa"/>
            <w:right w:w="108" w:type="dxa"/>
          </w:tblCellMar>
        </w:tblPrEx>
        <w:trPr>
          <w:tblHeader/>
        </w:trPr>
        <w:tc>
          <w:p w14:paraId="5A3C6670">
            <w:pPr>
              <w:pStyle w:val="25"/>
              <w:jc w:val="left"/>
            </w:pPr>
            <w:r>
              <w:rPr>
                <w:rFonts w:ascii="Times New Roman" w:hAnsi="Times New Roman" w:eastAsia="Times New Roman"/>
                <w:b/>
                <w:bCs/>
                <w:sz w:val="20"/>
              </w:rPr>
              <w:t>Target</w:t>
            </w:r>
          </w:p>
        </w:tc>
        <w:tc>
          <w:p w14:paraId="0D81D7C0">
            <w:pPr>
              <w:pStyle w:val="25"/>
              <w:jc w:val="left"/>
            </w:pPr>
            <w:r>
              <w:rPr>
                <w:rFonts w:ascii="Times New Roman" w:hAnsi="Times New Roman" w:eastAsia="Times New Roman"/>
                <w:b/>
                <w:bCs/>
                <w:sz w:val="20"/>
              </w:rPr>
              <w:t>Method</w:t>
            </w:r>
          </w:p>
        </w:tc>
        <w:tc>
          <w:p w14:paraId="7034AE52">
            <w:pPr>
              <w:pStyle w:val="25"/>
              <w:jc w:val="left"/>
            </w:pPr>
            <w:r>
              <w:rPr>
                <w:rFonts w:ascii="Times New Roman" w:hAnsi="Times New Roman" w:eastAsia="Times New Roman"/>
                <w:b/>
                <w:bCs/>
                <w:sz w:val="20"/>
              </w:rPr>
              <w:t>PICP</w:t>
            </w:r>
          </w:p>
        </w:tc>
        <w:tc>
          <w:p w14:paraId="2E1C2728">
            <w:pPr>
              <w:pStyle w:val="25"/>
              <w:jc w:val="left"/>
            </w:pPr>
            <w:r>
              <w:rPr>
                <w:rFonts w:ascii="Times New Roman" w:hAnsi="Times New Roman" w:eastAsia="Times New Roman"/>
                <w:b/>
                <w:bCs/>
                <w:sz w:val="20"/>
              </w:rPr>
              <w:t>MPIW</w:t>
            </w:r>
          </w:p>
        </w:tc>
        <w:tc>
          <w:p w14:paraId="37031B3A">
            <w:pPr>
              <w:pStyle w:val="25"/>
              <w:jc w:val="left"/>
            </w:pPr>
            <w:r>
              <w:rPr>
                <w:rFonts w:ascii="Times New Roman" w:hAnsi="Times New Roman" w:eastAsia="Times New Roman"/>
                <w:b/>
                <w:bCs/>
                <w:sz w:val="20"/>
              </w:rPr>
              <w:t>ECE</w:t>
            </w:r>
          </w:p>
        </w:tc>
        <w:tc>
          <w:p w14:paraId="551A08F3">
            <w:pPr>
              <w:pStyle w:val="25"/>
              <w:jc w:val="left"/>
            </w:pPr>
            <w:r>
              <w:rPr>
                <w:rFonts w:ascii="Times New Roman" w:hAnsi="Times New Roman" w:eastAsia="Times New Roman"/>
                <w:b/>
                <w:bCs/>
                <w:sz w:val="20"/>
              </w:rPr>
              <w:t>Improv.</w:t>
            </w:r>
          </w:p>
        </w:tc>
      </w:tr>
      <w:tr w14:paraId="575823FC">
        <w:tblPrEx>
          <w:tblCellMar>
            <w:top w:w="0" w:type="dxa"/>
            <w:left w:w="108" w:type="dxa"/>
            <w:bottom w:w="0" w:type="dxa"/>
            <w:right w:w="108" w:type="dxa"/>
          </w:tblCellMar>
        </w:tblPrEx>
        <w:tc>
          <w:p w14:paraId="45E394A6">
            <w:pPr>
              <w:pStyle w:val="25"/>
              <w:jc w:val="left"/>
            </w:pPr>
            <w:r>
              <w:rPr>
                <w:rFonts w:ascii="Times New Roman" w:hAnsi="Times New Roman" w:eastAsia="Times New Roman"/>
                <w:sz w:val="20"/>
              </w:rPr>
              <w:t>Form. E</w:t>
            </w:r>
          </w:p>
        </w:tc>
        <w:tc>
          <w:p w14:paraId="132664FA">
            <w:pPr>
              <w:pStyle w:val="25"/>
              <w:jc w:val="left"/>
            </w:pPr>
            <w:r>
              <w:rPr>
                <w:rFonts w:ascii="Times New Roman" w:hAnsi="Times New Roman" w:eastAsia="Times New Roman"/>
                <w:sz w:val="20"/>
              </w:rPr>
              <w:t>Standard</w:t>
            </w:r>
          </w:p>
        </w:tc>
        <w:tc>
          <w:p w14:paraId="51FCAC9B">
            <w:pPr>
              <w:pStyle w:val="25"/>
              <w:jc w:val="left"/>
            </w:pPr>
            <w:r>
              <w:rPr>
                <w:rFonts w:ascii="Times New Roman" w:hAnsi="Times New Roman" w:eastAsia="Times New Roman"/>
                <w:sz w:val="20"/>
              </w:rPr>
              <w:t>0.810</w:t>
            </w:r>
          </w:p>
        </w:tc>
        <w:tc>
          <w:p w14:paraId="5C208AF7">
            <w:pPr>
              <w:pStyle w:val="25"/>
              <w:jc w:val="left"/>
            </w:pPr>
            <w:r>
              <w:rPr>
                <w:rFonts w:ascii="Times New Roman" w:hAnsi="Times New Roman" w:eastAsia="Times New Roman"/>
                <w:sz w:val="20"/>
              </w:rPr>
              <w:t>0.611</w:t>
            </w:r>
          </w:p>
        </w:tc>
        <w:tc>
          <w:p w14:paraId="5C88F00C">
            <w:pPr>
              <w:pStyle w:val="25"/>
              <w:jc w:val="left"/>
            </w:pPr>
            <w:r>
              <w:rPr>
                <w:rFonts w:ascii="Times New Roman" w:hAnsi="Times New Roman" w:eastAsia="Times New Roman"/>
                <w:sz w:val="20"/>
              </w:rPr>
              <w:t>0.085</w:t>
            </w:r>
          </w:p>
        </w:tc>
        <w:tc>
          <w:p w14:paraId="63EA7D83">
            <w:pPr>
              <w:pStyle w:val="25"/>
              <w:jc w:val="left"/>
            </w:pPr>
            <w:r>
              <w:rPr>
                <w:rFonts w:ascii="Times New Roman" w:hAnsi="Times New Roman" w:eastAsia="Times New Roman"/>
                <w:sz w:val="20"/>
              </w:rPr>
              <w:t>—</w:t>
            </w:r>
          </w:p>
        </w:tc>
      </w:tr>
      <w:tr w14:paraId="72EDA8CC">
        <w:tblPrEx>
          <w:tblCellMar>
            <w:top w:w="0" w:type="dxa"/>
            <w:left w:w="108" w:type="dxa"/>
            <w:bottom w:w="0" w:type="dxa"/>
            <w:right w:w="108" w:type="dxa"/>
          </w:tblCellMar>
        </w:tblPrEx>
        <w:tc>
          <w:p w14:paraId="7BF4AAF6">
            <w:pPr>
              <w:pStyle w:val="25"/>
              <w:jc w:val="left"/>
            </w:pPr>
            <w:r>
              <w:rPr>
                <w:rFonts w:ascii="Times New Roman" w:hAnsi="Times New Roman" w:eastAsia="Times New Roman"/>
                <w:sz w:val="20"/>
              </w:rPr>
              <w:t>Form. E</w:t>
            </w:r>
          </w:p>
        </w:tc>
        <w:tc>
          <w:p w14:paraId="54A890BB">
            <w:pPr>
              <w:pStyle w:val="25"/>
              <w:jc w:val="left"/>
            </w:pPr>
            <w:r>
              <w:rPr>
                <w:rFonts w:ascii="Times New Roman" w:hAnsi="Times New Roman" w:eastAsia="Times New Roman"/>
                <w:sz w:val="20"/>
              </w:rPr>
              <w:t>CQR</w:t>
            </w:r>
          </w:p>
        </w:tc>
        <w:tc>
          <w:p w14:paraId="448D85B8">
            <w:pPr>
              <w:pStyle w:val="25"/>
              <w:jc w:val="left"/>
            </w:pPr>
            <w:r>
              <w:rPr>
                <w:rFonts w:ascii="Times New Roman" w:hAnsi="Times New Roman" w:eastAsia="Times New Roman"/>
                <w:sz w:val="20"/>
              </w:rPr>
              <w:t>0.802</w:t>
            </w:r>
          </w:p>
        </w:tc>
        <w:tc>
          <w:p w14:paraId="3DB2B05C">
            <w:pPr>
              <w:pStyle w:val="25"/>
              <w:jc w:val="left"/>
            </w:pPr>
            <w:r>
              <w:rPr>
                <w:rFonts w:ascii="Times New Roman" w:hAnsi="Times New Roman" w:eastAsia="Times New Roman"/>
                <w:sz w:val="20"/>
              </w:rPr>
              <w:t>0.823</w:t>
            </w:r>
          </w:p>
        </w:tc>
        <w:tc>
          <w:p w14:paraId="552952B8">
            <w:pPr>
              <w:pStyle w:val="25"/>
              <w:jc w:val="left"/>
            </w:pPr>
            <w:r>
              <w:rPr>
                <w:rFonts w:ascii="Times New Roman" w:hAnsi="Times New Roman" w:eastAsia="Times New Roman"/>
                <w:sz w:val="20"/>
              </w:rPr>
              <w:t>0.034</w:t>
            </w:r>
          </w:p>
        </w:tc>
        <w:tc>
          <w:p w14:paraId="3D9C7578">
            <w:pPr>
              <w:pStyle w:val="25"/>
              <w:jc w:val="left"/>
            </w:pPr>
            <w:r>
              <w:rPr>
                <w:rFonts w:ascii="Times New Roman" w:hAnsi="Times New Roman" w:eastAsia="Times New Roman"/>
                <w:sz w:val="20"/>
              </w:rPr>
              <w:t>60%</w:t>
            </w:r>
          </w:p>
        </w:tc>
      </w:tr>
      <w:tr w14:paraId="58375064">
        <w:tblPrEx>
          <w:tblCellMar>
            <w:top w:w="0" w:type="dxa"/>
            <w:left w:w="108" w:type="dxa"/>
            <w:bottom w:w="0" w:type="dxa"/>
            <w:right w:w="108" w:type="dxa"/>
          </w:tblCellMar>
        </w:tblPrEx>
        <w:tc>
          <w:p w14:paraId="389DFA8D">
            <w:pPr>
              <w:pStyle w:val="25"/>
              <w:jc w:val="left"/>
            </w:pPr>
            <w:r>
              <w:rPr>
                <w:rFonts w:ascii="Times New Roman" w:hAnsi="Times New Roman" w:eastAsia="Times New Roman"/>
                <w:sz w:val="20"/>
              </w:rPr>
              <w:t>Hull E</w:t>
            </w:r>
          </w:p>
        </w:tc>
        <w:tc>
          <w:p w14:paraId="73B9B796">
            <w:pPr>
              <w:pStyle w:val="25"/>
              <w:jc w:val="left"/>
            </w:pPr>
            <w:r>
              <w:rPr>
                <w:rFonts w:ascii="Times New Roman" w:hAnsi="Times New Roman" w:eastAsia="Times New Roman"/>
                <w:sz w:val="20"/>
              </w:rPr>
              <w:t>Standard</w:t>
            </w:r>
          </w:p>
        </w:tc>
        <w:tc>
          <w:p w14:paraId="41EE3FDB">
            <w:pPr>
              <w:pStyle w:val="25"/>
              <w:jc w:val="left"/>
            </w:pPr>
            <w:r>
              <w:rPr>
                <w:rFonts w:ascii="Times New Roman" w:hAnsi="Times New Roman" w:eastAsia="Times New Roman"/>
                <w:sz w:val="20"/>
              </w:rPr>
              <w:t>0.815</w:t>
            </w:r>
          </w:p>
        </w:tc>
        <w:tc>
          <w:p w14:paraId="1FD196FB">
            <w:pPr>
              <w:pStyle w:val="25"/>
              <w:jc w:val="left"/>
            </w:pPr>
            <w:r>
              <w:rPr>
                <w:rFonts w:ascii="Times New Roman" w:hAnsi="Times New Roman" w:eastAsia="Times New Roman"/>
                <w:sz w:val="20"/>
              </w:rPr>
              <w:t>0.566</w:t>
            </w:r>
          </w:p>
        </w:tc>
        <w:tc>
          <w:p w14:paraId="65D3EB8F">
            <w:pPr>
              <w:pStyle w:val="25"/>
              <w:jc w:val="left"/>
            </w:pPr>
            <w:r>
              <w:rPr>
                <w:rFonts w:ascii="Times New Roman" w:hAnsi="Times New Roman" w:eastAsia="Times New Roman"/>
                <w:sz w:val="20"/>
              </w:rPr>
              <w:t>0.086</w:t>
            </w:r>
          </w:p>
        </w:tc>
        <w:tc>
          <w:p w14:paraId="52303CC5">
            <w:pPr>
              <w:pStyle w:val="25"/>
              <w:jc w:val="left"/>
            </w:pPr>
            <w:r>
              <w:rPr>
                <w:rFonts w:ascii="Times New Roman" w:hAnsi="Times New Roman" w:eastAsia="Times New Roman"/>
                <w:sz w:val="20"/>
              </w:rPr>
              <w:t>—</w:t>
            </w:r>
          </w:p>
        </w:tc>
      </w:tr>
      <w:tr w14:paraId="214998EC">
        <w:tblPrEx>
          <w:tblCellMar>
            <w:top w:w="0" w:type="dxa"/>
            <w:left w:w="108" w:type="dxa"/>
            <w:bottom w:w="0" w:type="dxa"/>
            <w:right w:w="108" w:type="dxa"/>
          </w:tblCellMar>
        </w:tblPrEx>
        <w:tc>
          <w:p w14:paraId="066013CA">
            <w:pPr>
              <w:pStyle w:val="25"/>
              <w:jc w:val="left"/>
            </w:pPr>
            <w:r>
              <w:rPr>
                <w:rFonts w:ascii="Times New Roman" w:hAnsi="Times New Roman" w:eastAsia="Times New Roman"/>
                <w:sz w:val="20"/>
              </w:rPr>
              <w:t>Hull E</w:t>
            </w:r>
          </w:p>
        </w:tc>
        <w:tc>
          <w:p w14:paraId="6401D41B">
            <w:pPr>
              <w:pStyle w:val="25"/>
              <w:jc w:val="left"/>
            </w:pPr>
            <w:r>
              <w:rPr>
                <w:rFonts w:ascii="Times New Roman" w:hAnsi="Times New Roman" w:eastAsia="Times New Roman"/>
                <w:sz w:val="20"/>
              </w:rPr>
              <w:t>CQR</w:t>
            </w:r>
          </w:p>
        </w:tc>
        <w:tc>
          <w:p w14:paraId="573220AC">
            <w:pPr>
              <w:pStyle w:val="25"/>
              <w:jc w:val="left"/>
            </w:pPr>
            <w:r>
              <w:rPr>
                <w:rFonts w:ascii="Times New Roman" w:hAnsi="Times New Roman" w:eastAsia="Times New Roman"/>
                <w:sz w:val="20"/>
              </w:rPr>
              <w:t>0.807</w:t>
            </w:r>
          </w:p>
        </w:tc>
        <w:tc>
          <w:p w14:paraId="15D8921A">
            <w:pPr>
              <w:pStyle w:val="25"/>
              <w:jc w:val="left"/>
            </w:pPr>
            <w:r>
              <w:rPr>
                <w:rFonts w:ascii="Times New Roman" w:hAnsi="Times New Roman" w:eastAsia="Times New Roman"/>
                <w:sz w:val="20"/>
              </w:rPr>
              <w:t>0.719</w:t>
            </w:r>
          </w:p>
        </w:tc>
        <w:tc>
          <w:p w14:paraId="23D4ACE8">
            <w:pPr>
              <w:pStyle w:val="25"/>
              <w:jc w:val="left"/>
            </w:pPr>
            <w:r>
              <w:rPr>
                <w:rFonts w:ascii="Times New Roman" w:hAnsi="Times New Roman" w:eastAsia="Times New Roman"/>
                <w:sz w:val="20"/>
              </w:rPr>
              <w:t>0.049</w:t>
            </w:r>
          </w:p>
        </w:tc>
        <w:tc>
          <w:p w14:paraId="60843FD8">
            <w:pPr>
              <w:pStyle w:val="25"/>
              <w:jc w:val="left"/>
            </w:pPr>
            <w:r>
              <w:rPr>
                <w:rFonts w:ascii="Times New Roman" w:hAnsi="Times New Roman" w:eastAsia="Times New Roman"/>
                <w:sz w:val="20"/>
              </w:rPr>
              <w:t>43%</w:t>
            </w:r>
          </w:p>
        </w:tc>
      </w:tr>
    </w:tbl>
    <w:p w14:paraId="2D5F14DB">
      <w:pPr>
        <w:pStyle w:val="3"/>
      </w:pPr>
    </w:p>
    <w:p w14:paraId="32C833BF">
      <w:pPr>
        <w:pStyle w:val="3"/>
      </w:pPr>
      <w:r>
        <w:rPr>
          <w:rFonts w:ascii="Times New Roman" w:hAnsi="Times New Roman" w:eastAsia="Times New Roman"/>
        </w:rPr>
        <w:t>Fig. 3. Reliability diagrams showing empirical coverage per uncertainty decile for standard split conformal vs. CQR.</w:t>
      </w:r>
    </w:p>
    <w:p w14:paraId="3C85A9B9">
      <w:pPr>
        <w:pStyle w:val="3"/>
      </w:pPr>
      <w:r>
        <w:rPr>
          <w:rFonts w:ascii="Times New Roman" w:hAnsi="Times New Roman" w:eastAsia="Times New Roman"/>
        </w:rPr>
        <w:t xml:space="preserve">CQR delivers intervals satisfying the marginal coverage guarantee (PICP = 0.802 / 0.807, both ≥ 0.80 nominal) while </w:t>
      </w:r>
      <w:r>
        <w:rPr>
          <w:rFonts w:ascii="Times New Roman" w:hAnsi="Times New Roman" w:eastAsia="Times New Roman"/>
          <w:b/>
          <w:bCs/>
        </w:rPr>
        <w:t>reducing ECE by 43–60%</w:t>
      </w:r>
      <w:r>
        <w:rPr>
          <w:rFonts w:ascii="Times New Roman" w:hAnsi="Times New Roman" w:eastAsia="Times New Roman"/>
        </w:rPr>
        <w:t xml:space="preserve"> relative to standard split conformal under a fair (same LightGBM-family) baseline (Table 2): formation-energy ECE drops from 0.085 to 0.034 (−60%), hull-energy from 0.086 to 0.049 (−43%). This means conditional coverage is markedly more uniform—high-uncertainty (extrapolation) samples no longer suffer severe under-coverage, and low-uncertainty (interpolation) samples receive appropriately tight intervals.</w:t>
      </w:r>
    </w:p>
    <w:p w14:paraId="34A88801">
      <w:pPr>
        <w:pStyle w:val="3"/>
      </w:pPr>
      <w:r>
        <w:rPr>
          <w:rFonts w:ascii="Times New Roman" w:hAnsi="Times New Roman" w:eastAsia="Times New Roman"/>
        </w:rPr>
        <w:t>The heteroscedasticity is empirically visible: the mean interval width for the highest-σ tercile (1.03 eV/atom for formation energy) is ~1.5× that of the lowest-σ tercile (0.68), whereas standard conformal assigns uniform width (0.66 to both). For high-throughput [38] screening, this sample-adaptive behavior directly translates to fewer false-positive stable predictions among uncertain candidates.</w:t>
      </w:r>
    </w:p>
    <w:p w14:paraId="7160969E">
      <w:pPr>
        <w:pStyle w:val="3"/>
      </w:pPr>
      <w:r>
        <w:rPr>
          <w:rFonts w:ascii="Times New Roman" w:hAnsi="Times New Roman" w:eastAsia="Times New Roman"/>
        </w:rPr>
        <w:t>Material interpretation. The σ–error Pearson correlation (r = 0.345 for formation energy, p = 1.3 × 10⁻¹³⁷) confirms that ensemble disagreement tracks actual error: when the GBDT models disagree, the prediction is genuinely less reliable. This physical meaningfulness of the uncertainty estimate is a prerequisite for AD-based screening (Section 3.3).</w:t>
      </w:r>
    </w:p>
    <w:p w14:paraId="58A9BEC9">
      <w:pPr>
        <w:pStyle w:val="4"/>
      </w:pPr>
      <w:r>
        <w:rPr>
          <w:rFonts w:ascii="Times New Roman" w:hAnsi="Times New Roman" w:eastAsia="Times New Roman"/>
          <w:b/>
          <w:bCs/>
        </w:rPr>
        <w:t>3.3 Applicability domain</w:t>
      </w:r>
    </w:p>
    <w:p w14:paraId="1E7745A0">
      <w:pPr>
        <w:pStyle w:val="3"/>
      </w:pPr>
      <w:r>
        <w:rPr>
          <w:rFonts w:ascii="Times New Roman" w:hAnsi="Times New Roman" w:eastAsia="Times New Roman"/>
        </w:rPr>
        <w:t>The ensemble-σ AD criterion partitions samples into a trusted region (σ &lt; median) achieving R² = 0.945 (formation energy) versus R² = 0.886 in the untrusted region—a 0.059 R² gap that validates the criterion. The k-NN distance and PCA leverage criteria yield trusted-region R² of 0.915 and 0.916 respectively, with 50–53% agreement with the σ criterion. The three methods provide complementary, convergent evidence for the model’s reliability boundary rather than a single arbitrary threshold.</w:t>
      </w:r>
    </w:p>
    <w:p w14:paraId="0372EC3A">
      <w:pPr>
        <w:pStyle w:val="3"/>
      </w:pPr>
    </w:p>
    <w:p w14:paraId="4B6BB653">
      <w:pPr>
        <w:pStyle w:val="3"/>
      </w:pPr>
      <w:r>
        <w:rPr>
          <w:rFonts w:ascii="Times New Roman" w:hAnsi="Times New Roman" w:eastAsia="Times New Roman"/>
        </w:rPr>
        <w:t>Fig. 4. Applicability domain visualization. Predicted value vs. absolute error, colored by trusted vs. untrusted regions.</w:t>
      </w:r>
    </w:p>
    <w:p w14:paraId="204CA263">
      <w:pPr>
        <w:pStyle w:val="3"/>
      </w:pPr>
      <w:r>
        <w:rPr>
          <w:rFonts w:ascii="Times New Roman" w:hAnsi="Times New Roman" w:eastAsia="Times New Roman"/>
        </w:rPr>
        <w:t>Material interpretation. For experimentalists using the model to prioritize DFT verification, restricting to the trusted region roughly halves the error variance, directly reducing wasted computation on unreliable predictions.</w:t>
      </w:r>
    </w:p>
    <w:p w14:paraId="61FD5071">
      <w:pPr>
        <w:pStyle w:val="4"/>
      </w:pPr>
      <w:r>
        <w:rPr>
          <w:rFonts w:ascii="Times New Roman" w:hAnsi="Times New Roman" w:eastAsia="Times New Roman"/>
          <w:b/>
          <w:bCs/>
        </w:rPr>
        <w:t>3.4 Extrapolation assessment (LOEO)</w:t>
      </w:r>
    </w:p>
    <w:p w14:paraId="7D7EDE3C">
      <w:pPr>
        <w:pStyle w:val="3"/>
      </w:pPr>
      <w:r>
        <w:rPr>
          <w:rFonts w:ascii="Times New Roman" w:hAnsi="Times New Roman" w:eastAsia="Times New Roman"/>
        </w:rPr>
        <w:t>Leave-one-element-out evaluation over 68 A-site elements (each held out in turn; minimum 50 samples per element) yields a mean per-element R² of 0.70 for formation energy, with substantial heterogeneity: Ho, Pr, Nd extrapolate well (R² &gt; 0.85) whereas B, Ac, and several p-block elements extrapolate poorly (R² &lt; 0 or near zero). Pure ML slightly outperforms the physics-informed [39] [1] variant on LOEO, indicating the physics baseline does not improve extrapolation in this regime.</w:t>
      </w:r>
    </w:p>
    <w:p w14:paraId="1675A498">
      <w:pPr>
        <w:pStyle w:val="3"/>
      </w:pPr>
    </w:p>
    <w:p w14:paraId="2D96BEC9">
      <w:pPr>
        <w:pStyle w:val="3"/>
      </w:pPr>
      <w:r>
        <w:rPr>
          <w:rFonts w:ascii="Times New Roman" w:hAnsi="Times New Roman" w:eastAsia="Times New Roman"/>
        </w:rPr>
        <w:t>Fig. 5. Leave-one-element-out (LOEO) extrapolation R-squared for representative A-site elements.</w:t>
      </w:r>
    </w:p>
    <w:p w14:paraId="5BA2D1D6">
      <w:pPr>
        <w:pStyle w:val="3"/>
      </w:pPr>
      <w:r>
        <w:rPr>
          <w:rFonts w:ascii="Times New Roman" w:hAnsi="Times New Roman" w:eastAsia="Times New Roman"/>
        </w:rPr>
        <w:t>Material interpretation. The extrapolation pattern is chemically coherent. The best-extrapolated A-site elements are large, highly electropositive cations—alkali metals (Rb R²=0.96, K 0.93, Na 0.94, Cs 0.92), alkaline earths (Ba 0.94), and lanthanides (Pr 0.95, La 0.91, Gd 0.92, Ho 0.93, Dy 0.94). These elements share consistent +2 or +3 oxidation states, large ionic radii, and well-defined coordination chemistry, so the descriptor space around them is densely sampled and their A-site contributions to formation energy are nearly linear in ionic radius and electronegativity. In contrast, the worst-extrapolated elements occupy sparsely populated or chemically anomalous regions of the descriptor space: B (R²=−0.88) and Os (−0.89) have very few isochemical neighbors in the training set; Ac (0.33) and Pa (0.32) are actinides with complex f-electron chemistry underrepresented in the dataset; Al (0.33), Be (0.48), and Te (0.30) form atypical A-site cations whose bonding character (covalent/metallic rather than ionic) deviates from the perovskite norm. This element-specific failure map directly informs screening: predictions involving underrepresented actinides or atypical main-group A-site cations should be treated as unreliable regardless of the point estimate, whereas screening among alkali/alkaline-earth/lanthanide chemistries is expected to transfer well.</w:t>
      </w:r>
    </w:p>
    <w:p w14:paraId="36C54A7B">
      <w:pPr>
        <w:pStyle w:val="4"/>
      </w:pPr>
      <w:r>
        <w:rPr>
          <w:rFonts w:ascii="Times New Roman" w:hAnsi="Times New Roman" w:eastAsia="Times New Roman"/>
          <w:b/>
          <w:bCs/>
        </w:rPr>
        <w:t>3.5 Symbolic regression consensus, feature physical directions, and SR applicability boundary</w:t>
      </w:r>
    </w:p>
    <w:p w14:paraId="57489398">
      <w:pPr>
        <w:pStyle w:val="3"/>
      </w:pPr>
      <w:r>
        <w:rPr>
          <w:rFonts w:ascii="Times New Roman" w:hAnsi="Times New Roman" w:eastAsia="Times New Roman"/>
        </w:rPr>
        <w:t>Across 50 independent SR equations (10 seeds × 5 folds), A-site electronegativity appears in 100% of equations, with B-site electronegativity (60%) and B-site group number (64%) the next most conserved. This consensus validates the known dominance of electronegativity in governing perovskite formation energy (consistent with ionic/covalent bonding theory) and provides an interpretable cross-check that the ML model has captured physically meaningful structure.</w:t>
      </w:r>
    </w:p>
    <w:p w14:paraId="1B043B84">
      <w:pPr>
        <w:pStyle w:val="3"/>
      </w:pPr>
      <w:r>
        <w:rPr>
          <w:rFonts w:ascii="Times New Roman" w:hAnsi="Times New Roman" w:eastAsia="Times New Roman"/>
        </w:rPr>
        <w:t>Physical direction of key features. To verify that both the black-box [40] ML and the symbolic regression have captured chemically correct structure–property relationships, we examine the sign and magnitude of each top descriptor’s correlation with formation energy (Table S3). The strongest single correlate is A-site electronegativity (Pearson r = +0.537): more electronegative A-site cations (e.g., transition metals at the A site) yield less negative (less stable) formation energies, consistent with the fact that highly electropositive cations (alkali, alkaline-earth, lanthanide) form stronger ionic bonds with oxygen and stabilize the perovskite lattice. Conversely, Magpie X_std (the compositional standard deviation of electronegativity) is the strongest negative correlate (r = −0.538): greater electronegativity contrast among A/B/O sites produces more negative formation energies, reflecting the thermodynamic driving force of charge transfer in ionic bonding. The tolerance factor t shows a moderate negative correlation (r = −0.278): as t increases toward and beyond unity (A-site too large for the cage), the structure becomes geometrically strained and formation energy rises—consistent with Goldschmidt’s criterion. B-site group number (r = +0.297) and B-site electronegativity (r = +0.291) are positively correlated: higher B-site electronegativity (late transition metals) reduces the ionic character of the B–O bond, destabilizing the perovskite relative to competing phases. Crucially, the SHAP-derived ranking and the SR consensus agree on the identity of the top descriptors even though they operate in different spaces (statistical vs. symbolic), and the Pearson signs are consistent with established perovskite chemistry [29] [30,31], confirming the model is not exploiting spurious correlations.</w:t>
      </w:r>
    </w:p>
    <w:p w14:paraId="364928D6">
      <w:pPr>
        <w:pStyle w:val="3"/>
      </w:pPr>
    </w:p>
    <w:p w14:paraId="7ECB83B7">
      <w:pPr>
        <w:pStyle w:val="3"/>
      </w:pPr>
      <w:r>
        <w:rPr>
          <w:rFonts w:ascii="Times New Roman" w:hAnsi="Times New Roman" w:eastAsia="Times New Roman"/>
        </w:rPr>
        <w:t>Fig. 6. (a) LightGBM SHAP feature importance (top-15) and (b) symbolic regression consensus frequency.</w:t>
      </w:r>
    </w:p>
    <w:p w14:paraId="67829437">
      <w:pPr>
        <w:pStyle w:val="3"/>
      </w:pPr>
      <w:r>
        <w:rPr>
          <w:rFonts w:ascii="Times New Roman" w:hAnsi="Times New Roman" w:eastAsia="Times New Roman"/>
        </w:rPr>
        <w:t>The SR applicability is target-dependent: SR succeeds on formation energy (standalone R² = 0.43, SNR = 2.61) but fails on hull energy (R² ≈ 0.19, SNR = 0.94, with the SR solution collapsing to a constant in several folds). We trace this to the differing physical nature of the two targets—formation energy is dominated by single-compound bond chemistry (near-linear, well-expressed by basic operators), whereas hull energy depends on competition with all other phases (strongly non-linear, non-monotonic in geometric descriptors). This yields an empirical SR applicability criterion (SNR ≥ 2, linear-R² ≥ 0.5), which we caveat as based on only two targets and not yet universal.</w:t>
      </w:r>
    </w:p>
    <w:p w14:paraId="56C39E08">
      <w:pPr>
        <w:pStyle w:val="4"/>
      </w:pPr>
      <w:r>
        <w:rPr>
          <w:rFonts w:ascii="Times New Roman" w:hAnsi="Times New Roman" w:eastAsia="Times New Roman"/>
          <w:b/>
          <w:bCs/>
        </w:rPr>
        <w:t>3.6 Candidate materials screening</w:t>
      </w:r>
    </w:p>
    <w:p w14:paraId="43BDD529">
      <w:pPr>
        <w:pStyle w:val="3"/>
      </w:pPr>
      <w:r>
        <w:rPr>
          <w:rFonts w:ascii="Times New Roman" w:hAnsi="Times New Roman" w:eastAsia="Times New Roman"/>
        </w:rPr>
        <w:t>Applying the framework to virtual A–B combinations yields 9 candidate stable perovskites (predicted E_hull &lt; 0.05 eV/atom within the trusted AD region). Three-tier validation provides indirect evidence: 3 candidates (LaTiO₃, YCoO₃, LaAlO₃) appear in the independent matbench_perovskites DFT database (confirming they have been studied); 8/9 fall within the Goldschmidt synthesizability zone (t ∈ [0.8, 1.05], μ ∈ [0.4, 0.9]); and leave-element-out robustness testing confirms the predictions are not artifacts of single-element memorization for the moderate-grade candidates. We emphasize that database presence confirms study, not numerical accuracy of our predictions (due to the reference-frame mismatch noted in Section 2.1), and that DFT verification remains necessary.</w:t>
      </w:r>
    </w:p>
    <w:p w14:paraId="604D3F2F">
      <w:pPr>
        <w:pStyle w:val="3"/>
      </w:pPr>
      <w:r>
        <w:rPr>
          <w:rFonts w:ascii="Times New Roman" w:hAnsi="Times New Roman" w:eastAsia="Times New Roman"/>
          <w:b/>
          <w:bCs/>
        </w:rPr>
        <w:t>Table 3. Candidate stable perovskites with validation tier.</w:t>
      </w:r>
    </w:p>
    <w:tbl>
      <w:tblPr>
        <w:tblStyle w:val="29"/>
        <w:tblW w:w="5000" w:type="pct"/>
        <w:tblInd w:w="0" w:type="dxa"/>
        <w:tblLayout w:type="autofit"/>
        <w:tblCellMar>
          <w:top w:w="0" w:type="dxa"/>
          <w:left w:w="108" w:type="dxa"/>
          <w:bottom w:w="0" w:type="dxa"/>
          <w:right w:w="108" w:type="dxa"/>
        </w:tblCellMar>
      </w:tblPr>
      <w:tblGrid>
        <w:gridCol w:w="1489"/>
        <w:gridCol w:w="2005"/>
        <w:gridCol w:w="1109"/>
        <w:gridCol w:w="2014"/>
        <w:gridCol w:w="1446"/>
        <w:gridCol w:w="1179"/>
      </w:tblGrid>
      <w:tr w14:paraId="3BB04EF6">
        <w:tblPrEx>
          <w:tblCellMar>
            <w:top w:w="0" w:type="dxa"/>
            <w:left w:w="108" w:type="dxa"/>
            <w:bottom w:w="0" w:type="dxa"/>
            <w:right w:w="108" w:type="dxa"/>
          </w:tblCellMar>
        </w:tblPrEx>
        <w:trPr>
          <w:tblHeader/>
        </w:trPr>
        <w:tc>
          <w:p w14:paraId="4A6AD940">
            <w:pPr>
              <w:pStyle w:val="25"/>
              <w:jc w:val="left"/>
            </w:pPr>
            <w:r>
              <w:rPr>
                <w:rFonts w:ascii="Times New Roman" w:hAnsi="Times New Roman" w:eastAsia="Times New Roman"/>
                <w:b/>
                <w:bCs/>
                <w:sz w:val="20"/>
              </w:rPr>
              <w:t>Formula</w:t>
            </w:r>
          </w:p>
        </w:tc>
        <w:tc>
          <w:p w14:paraId="61450481">
            <w:pPr>
              <w:pStyle w:val="25"/>
              <w:jc w:val="left"/>
            </w:pPr>
            <w:r>
              <w:rPr>
                <w:rFonts w:ascii="Times New Roman" w:hAnsi="Times New Roman" w:eastAsia="Times New Roman"/>
                <w:b/>
                <w:bCs/>
                <w:sz w:val="20"/>
              </w:rPr>
              <w:t>Pred. E_hull</w:t>
            </w:r>
          </w:p>
        </w:tc>
        <w:tc>
          <w:p w14:paraId="6FEB514A">
            <w:pPr>
              <w:pStyle w:val="25"/>
              <w:jc w:val="left"/>
            </w:pPr>
            <w:r>
              <w:rPr>
                <w:rFonts w:ascii="Times New Roman" w:hAnsi="Times New Roman" w:eastAsia="Times New Roman"/>
                <w:b/>
                <w:bCs/>
                <w:sz w:val="20"/>
              </w:rPr>
              <w:t>sigma</w:t>
            </w:r>
          </w:p>
        </w:tc>
        <w:tc>
          <w:p w14:paraId="46DB6EF9">
            <w:pPr>
              <w:pStyle w:val="25"/>
              <w:jc w:val="left"/>
            </w:pPr>
            <w:r>
              <w:rPr>
                <w:rFonts w:ascii="Times New Roman" w:hAnsi="Times New Roman" w:eastAsia="Times New Roman"/>
                <w:b/>
                <w:bCs/>
                <w:sz w:val="20"/>
              </w:rPr>
              <w:t>In matbench</w:t>
            </w:r>
          </w:p>
        </w:tc>
        <w:tc>
          <w:p w14:paraId="0DBD5DD8">
            <w:pPr>
              <w:pStyle w:val="25"/>
              <w:jc w:val="left"/>
            </w:pPr>
            <w:r>
              <w:rPr>
                <w:rFonts w:ascii="Times New Roman" w:hAnsi="Times New Roman" w:eastAsia="Times New Roman"/>
                <w:b/>
                <w:bCs/>
                <w:sz w:val="20"/>
              </w:rPr>
              <w:t>Goldsm.</w:t>
            </w:r>
          </w:p>
        </w:tc>
        <w:tc>
          <w:p w14:paraId="2DCD4716">
            <w:pPr>
              <w:pStyle w:val="25"/>
              <w:jc w:val="left"/>
            </w:pPr>
            <w:r>
              <w:rPr>
                <w:rFonts w:ascii="Times New Roman" w:hAnsi="Times New Roman" w:eastAsia="Times New Roman"/>
                <w:b/>
                <w:bCs/>
                <w:sz w:val="20"/>
              </w:rPr>
              <w:t>Grade</w:t>
            </w:r>
          </w:p>
        </w:tc>
      </w:tr>
      <w:tr w14:paraId="54C2155D">
        <w:tblPrEx>
          <w:tblCellMar>
            <w:top w:w="0" w:type="dxa"/>
            <w:left w:w="108" w:type="dxa"/>
            <w:bottom w:w="0" w:type="dxa"/>
            <w:right w:w="108" w:type="dxa"/>
          </w:tblCellMar>
        </w:tblPrEx>
        <w:tc>
          <w:p w14:paraId="2220CDCA">
            <w:pPr>
              <w:pStyle w:val="25"/>
              <w:jc w:val="left"/>
            </w:pPr>
            <w:r>
              <w:rPr>
                <w:rFonts w:ascii="Times New Roman" w:hAnsi="Times New Roman" w:eastAsia="Times New Roman"/>
                <w:sz w:val="20"/>
              </w:rPr>
              <w:t>LaTiO₃</w:t>
            </w:r>
          </w:p>
        </w:tc>
        <w:tc>
          <w:p w14:paraId="68224D1D">
            <w:pPr>
              <w:pStyle w:val="25"/>
              <w:jc w:val="left"/>
            </w:pPr>
            <w:r>
              <w:rPr>
                <w:rFonts w:ascii="Times New Roman" w:hAnsi="Times New Roman" w:eastAsia="Times New Roman"/>
                <w:sz w:val="20"/>
              </w:rPr>
              <w:t>0.005</w:t>
            </w:r>
          </w:p>
        </w:tc>
        <w:tc>
          <w:p w14:paraId="17E2C8E1">
            <w:pPr>
              <w:pStyle w:val="25"/>
              <w:jc w:val="left"/>
            </w:pPr>
            <w:r>
              <w:rPr>
                <w:rFonts w:ascii="Times New Roman" w:hAnsi="Times New Roman" w:eastAsia="Times New Roman"/>
                <w:sz w:val="20"/>
              </w:rPr>
              <w:t>0.022</w:t>
            </w:r>
          </w:p>
        </w:tc>
        <w:tc>
          <w:p w14:paraId="1FAC0090">
            <w:pPr>
              <w:pStyle w:val="25"/>
              <w:jc w:val="left"/>
            </w:pPr>
            <w:r>
              <w:rPr>
                <w:rFonts w:ascii="Times New Roman" w:hAnsi="Times New Roman" w:eastAsia="Times New Roman"/>
                <w:sz w:val="20"/>
              </w:rPr>
              <w:t>Yes</w:t>
            </w:r>
          </w:p>
        </w:tc>
        <w:tc>
          <w:p w14:paraId="3F46B47C">
            <w:pPr>
              <w:pStyle w:val="25"/>
              <w:jc w:val="left"/>
            </w:pPr>
            <w:r>
              <w:rPr>
                <w:rFonts w:ascii="Times New Roman" w:hAnsi="Times New Roman" w:eastAsia="Times New Roman"/>
                <w:sz w:val="20"/>
              </w:rPr>
              <w:t>Yes</w:t>
            </w:r>
          </w:p>
        </w:tc>
        <w:tc>
          <w:p w14:paraId="2EAED1DE">
            <w:pPr>
              <w:pStyle w:val="25"/>
              <w:jc w:val="left"/>
            </w:pPr>
            <w:r>
              <w:rPr>
                <w:rFonts w:ascii="Times New Roman" w:hAnsi="Times New Roman" w:eastAsia="Times New Roman"/>
                <w:sz w:val="20"/>
              </w:rPr>
              <w:t>Mod.</w:t>
            </w:r>
          </w:p>
        </w:tc>
      </w:tr>
      <w:tr w14:paraId="35BB42E8">
        <w:tblPrEx>
          <w:tblCellMar>
            <w:top w:w="0" w:type="dxa"/>
            <w:left w:w="108" w:type="dxa"/>
            <w:bottom w:w="0" w:type="dxa"/>
            <w:right w:w="108" w:type="dxa"/>
          </w:tblCellMar>
        </w:tblPrEx>
        <w:tc>
          <w:p w14:paraId="01B639FC">
            <w:pPr>
              <w:pStyle w:val="25"/>
              <w:jc w:val="left"/>
            </w:pPr>
            <w:r>
              <w:rPr>
                <w:rFonts w:ascii="Times New Roman" w:hAnsi="Times New Roman" w:eastAsia="Times New Roman"/>
                <w:sz w:val="20"/>
              </w:rPr>
              <w:t>PrCoO₃</w:t>
            </w:r>
          </w:p>
        </w:tc>
        <w:tc>
          <w:p w14:paraId="2C18637C">
            <w:pPr>
              <w:pStyle w:val="25"/>
              <w:jc w:val="left"/>
            </w:pPr>
            <w:r>
              <w:rPr>
                <w:rFonts w:ascii="Times New Roman" w:hAnsi="Times New Roman" w:eastAsia="Times New Roman"/>
                <w:sz w:val="20"/>
              </w:rPr>
              <w:t>0.006</w:t>
            </w:r>
          </w:p>
        </w:tc>
        <w:tc>
          <w:p w14:paraId="6A1760AB">
            <w:pPr>
              <w:pStyle w:val="25"/>
              <w:jc w:val="left"/>
            </w:pPr>
            <w:r>
              <w:rPr>
                <w:rFonts w:ascii="Times New Roman" w:hAnsi="Times New Roman" w:eastAsia="Times New Roman"/>
                <w:sz w:val="20"/>
              </w:rPr>
              <w:t>0.024</w:t>
            </w:r>
          </w:p>
        </w:tc>
        <w:tc>
          <w:p w14:paraId="505CBF8F">
            <w:pPr>
              <w:pStyle w:val="25"/>
              <w:jc w:val="left"/>
            </w:pPr>
            <w:r>
              <w:rPr>
                <w:rFonts w:ascii="Times New Roman" w:hAnsi="Times New Roman" w:eastAsia="Times New Roman"/>
                <w:sz w:val="20"/>
              </w:rPr>
              <w:t>No</w:t>
            </w:r>
          </w:p>
        </w:tc>
        <w:tc>
          <w:p w14:paraId="34DC8F9A">
            <w:pPr>
              <w:pStyle w:val="25"/>
              <w:jc w:val="left"/>
            </w:pPr>
            <w:r>
              <w:rPr>
                <w:rFonts w:ascii="Times New Roman" w:hAnsi="Times New Roman" w:eastAsia="Times New Roman"/>
                <w:sz w:val="20"/>
              </w:rPr>
              <w:t>Yes</w:t>
            </w:r>
          </w:p>
        </w:tc>
        <w:tc>
          <w:p w14:paraId="40525F2C">
            <w:pPr>
              <w:pStyle w:val="25"/>
              <w:jc w:val="left"/>
            </w:pPr>
            <w:r>
              <w:rPr>
                <w:rFonts w:ascii="Times New Roman" w:hAnsi="Times New Roman" w:eastAsia="Times New Roman"/>
                <w:sz w:val="20"/>
              </w:rPr>
              <w:t>Weak</w:t>
            </w:r>
          </w:p>
        </w:tc>
      </w:tr>
      <w:tr w14:paraId="74D0EC06">
        <w:tblPrEx>
          <w:tblCellMar>
            <w:top w:w="0" w:type="dxa"/>
            <w:left w:w="108" w:type="dxa"/>
            <w:bottom w:w="0" w:type="dxa"/>
            <w:right w:w="108" w:type="dxa"/>
          </w:tblCellMar>
        </w:tblPrEx>
        <w:tc>
          <w:p w14:paraId="47BF3F48">
            <w:pPr>
              <w:pStyle w:val="25"/>
              <w:jc w:val="left"/>
            </w:pPr>
            <w:r>
              <w:rPr>
                <w:rFonts w:ascii="Times New Roman" w:hAnsi="Times New Roman" w:eastAsia="Times New Roman"/>
                <w:sz w:val="20"/>
              </w:rPr>
              <w:t>NdCoO₃</w:t>
            </w:r>
          </w:p>
        </w:tc>
        <w:tc>
          <w:p w14:paraId="4C03618C">
            <w:pPr>
              <w:pStyle w:val="25"/>
              <w:jc w:val="left"/>
            </w:pPr>
            <w:r>
              <w:rPr>
                <w:rFonts w:ascii="Times New Roman" w:hAnsi="Times New Roman" w:eastAsia="Times New Roman"/>
                <w:sz w:val="20"/>
              </w:rPr>
              <w:t>0.009</w:t>
            </w:r>
          </w:p>
        </w:tc>
        <w:tc>
          <w:p w14:paraId="278B49F3">
            <w:pPr>
              <w:pStyle w:val="25"/>
              <w:jc w:val="left"/>
            </w:pPr>
            <w:r>
              <w:rPr>
                <w:rFonts w:ascii="Times New Roman" w:hAnsi="Times New Roman" w:eastAsia="Times New Roman"/>
                <w:sz w:val="20"/>
              </w:rPr>
              <w:t>0.025</w:t>
            </w:r>
          </w:p>
        </w:tc>
        <w:tc>
          <w:p w14:paraId="2468D6E2">
            <w:pPr>
              <w:pStyle w:val="25"/>
              <w:jc w:val="left"/>
            </w:pPr>
            <w:r>
              <w:rPr>
                <w:rFonts w:ascii="Times New Roman" w:hAnsi="Times New Roman" w:eastAsia="Times New Roman"/>
                <w:sz w:val="20"/>
              </w:rPr>
              <w:t>No</w:t>
            </w:r>
          </w:p>
        </w:tc>
        <w:tc>
          <w:p w14:paraId="7C3469EC">
            <w:pPr>
              <w:pStyle w:val="25"/>
              <w:jc w:val="left"/>
            </w:pPr>
            <w:r>
              <w:rPr>
                <w:rFonts w:ascii="Times New Roman" w:hAnsi="Times New Roman" w:eastAsia="Times New Roman"/>
                <w:sz w:val="20"/>
              </w:rPr>
              <w:t>Yes</w:t>
            </w:r>
          </w:p>
        </w:tc>
        <w:tc>
          <w:p w14:paraId="1428F483">
            <w:pPr>
              <w:pStyle w:val="25"/>
              <w:jc w:val="left"/>
            </w:pPr>
            <w:r>
              <w:rPr>
                <w:rFonts w:ascii="Times New Roman" w:hAnsi="Times New Roman" w:eastAsia="Times New Roman"/>
                <w:sz w:val="20"/>
              </w:rPr>
              <w:t>Weak</w:t>
            </w:r>
          </w:p>
        </w:tc>
      </w:tr>
      <w:tr w14:paraId="2A7CDD9B">
        <w:tblPrEx>
          <w:tblCellMar>
            <w:top w:w="0" w:type="dxa"/>
            <w:left w:w="108" w:type="dxa"/>
            <w:bottom w:w="0" w:type="dxa"/>
            <w:right w:w="108" w:type="dxa"/>
          </w:tblCellMar>
        </w:tblPrEx>
        <w:tc>
          <w:p w14:paraId="55968A66">
            <w:pPr>
              <w:pStyle w:val="25"/>
              <w:jc w:val="left"/>
            </w:pPr>
            <w:r>
              <w:rPr>
                <w:rFonts w:ascii="Times New Roman" w:hAnsi="Times New Roman" w:eastAsia="Times New Roman"/>
                <w:sz w:val="20"/>
              </w:rPr>
              <w:t>GdCoO₃</w:t>
            </w:r>
          </w:p>
        </w:tc>
        <w:tc>
          <w:p w14:paraId="6EC16926">
            <w:pPr>
              <w:pStyle w:val="25"/>
              <w:jc w:val="left"/>
            </w:pPr>
            <w:r>
              <w:rPr>
                <w:rFonts w:ascii="Times New Roman" w:hAnsi="Times New Roman" w:eastAsia="Times New Roman"/>
                <w:sz w:val="20"/>
              </w:rPr>
              <w:t>0.016</w:t>
            </w:r>
          </w:p>
        </w:tc>
        <w:tc>
          <w:p w14:paraId="458C5CE9">
            <w:pPr>
              <w:pStyle w:val="25"/>
              <w:jc w:val="left"/>
            </w:pPr>
            <w:r>
              <w:rPr>
                <w:rFonts w:ascii="Times New Roman" w:hAnsi="Times New Roman" w:eastAsia="Times New Roman"/>
                <w:sz w:val="20"/>
              </w:rPr>
              <w:t>0.027</w:t>
            </w:r>
          </w:p>
        </w:tc>
        <w:tc>
          <w:p w14:paraId="59A1095E">
            <w:pPr>
              <w:pStyle w:val="25"/>
              <w:jc w:val="left"/>
            </w:pPr>
            <w:r>
              <w:rPr>
                <w:rFonts w:ascii="Times New Roman" w:hAnsi="Times New Roman" w:eastAsia="Times New Roman"/>
                <w:sz w:val="20"/>
              </w:rPr>
              <w:t>No</w:t>
            </w:r>
          </w:p>
        </w:tc>
        <w:tc>
          <w:p w14:paraId="17E10933">
            <w:pPr>
              <w:pStyle w:val="25"/>
              <w:jc w:val="left"/>
            </w:pPr>
            <w:r>
              <w:rPr>
                <w:rFonts w:ascii="Times New Roman" w:hAnsi="Times New Roman" w:eastAsia="Times New Roman"/>
                <w:sz w:val="20"/>
              </w:rPr>
              <w:t>Yes</w:t>
            </w:r>
          </w:p>
        </w:tc>
        <w:tc>
          <w:p w14:paraId="50C4CC99">
            <w:pPr>
              <w:pStyle w:val="25"/>
              <w:jc w:val="left"/>
            </w:pPr>
            <w:r>
              <w:rPr>
                <w:rFonts w:ascii="Times New Roman" w:hAnsi="Times New Roman" w:eastAsia="Times New Roman"/>
                <w:sz w:val="20"/>
              </w:rPr>
              <w:t>Weak</w:t>
            </w:r>
          </w:p>
        </w:tc>
      </w:tr>
      <w:tr w14:paraId="708D1819">
        <w:tblPrEx>
          <w:tblCellMar>
            <w:top w:w="0" w:type="dxa"/>
            <w:left w:w="108" w:type="dxa"/>
            <w:bottom w:w="0" w:type="dxa"/>
            <w:right w:w="108" w:type="dxa"/>
          </w:tblCellMar>
        </w:tblPrEx>
        <w:tc>
          <w:p w14:paraId="3E9EDD65">
            <w:pPr>
              <w:pStyle w:val="25"/>
              <w:jc w:val="left"/>
            </w:pPr>
            <w:r>
              <w:rPr>
                <w:rFonts w:ascii="Times New Roman" w:hAnsi="Times New Roman" w:eastAsia="Times New Roman"/>
                <w:sz w:val="20"/>
              </w:rPr>
              <w:t>YbCoO₃</w:t>
            </w:r>
          </w:p>
        </w:tc>
        <w:tc>
          <w:p w14:paraId="68FE6ED7">
            <w:pPr>
              <w:pStyle w:val="25"/>
              <w:jc w:val="left"/>
            </w:pPr>
            <w:r>
              <w:rPr>
                <w:rFonts w:ascii="Times New Roman" w:hAnsi="Times New Roman" w:eastAsia="Times New Roman"/>
                <w:sz w:val="20"/>
              </w:rPr>
              <w:t>0.017</w:t>
            </w:r>
          </w:p>
        </w:tc>
        <w:tc>
          <w:p w14:paraId="11413497">
            <w:pPr>
              <w:pStyle w:val="25"/>
              <w:jc w:val="left"/>
            </w:pPr>
            <w:r>
              <w:rPr>
                <w:rFonts w:ascii="Times New Roman" w:hAnsi="Times New Roman" w:eastAsia="Times New Roman"/>
                <w:sz w:val="20"/>
              </w:rPr>
              <w:t>0.028</w:t>
            </w:r>
          </w:p>
        </w:tc>
        <w:tc>
          <w:p w14:paraId="121B72E8">
            <w:pPr>
              <w:pStyle w:val="25"/>
              <w:jc w:val="left"/>
            </w:pPr>
            <w:r>
              <w:rPr>
                <w:rFonts w:ascii="Times New Roman" w:hAnsi="Times New Roman" w:eastAsia="Times New Roman"/>
                <w:sz w:val="20"/>
              </w:rPr>
              <w:t>No</w:t>
            </w:r>
          </w:p>
        </w:tc>
        <w:tc>
          <w:p w14:paraId="5C088473">
            <w:pPr>
              <w:pStyle w:val="25"/>
              <w:jc w:val="left"/>
            </w:pPr>
            <w:r>
              <w:rPr>
                <w:rFonts w:ascii="Times New Roman" w:hAnsi="Times New Roman" w:eastAsia="Times New Roman"/>
                <w:sz w:val="20"/>
              </w:rPr>
              <w:t>Yes</w:t>
            </w:r>
          </w:p>
        </w:tc>
        <w:tc>
          <w:p w14:paraId="799B3C0C">
            <w:pPr>
              <w:pStyle w:val="25"/>
              <w:jc w:val="left"/>
            </w:pPr>
            <w:r>
              <w:rPr>
                <w:rFonts w:ascii="Times New Roman" w:hAnsi="Times New Roman" w:eastAsia="Times New Roman"/>
                <w:sz w:val="20"/>
              </w:rPr>
              <w:t>Weak</w:t>
            </w:r>
          </w:p>
        </w:tc>
      </w:tr>
      <w:tr w14:paraId="11733C9C">
        <w:tblPrEx>
          <w:tblCellMar>
            <w:top w:w="0" w:type="dxa"/>
            <w:left w:w="108" w:type="dxa"/>
            <w:bottom w:w="0" w:type="dxa"/>
            <w:right w:w="108" w:type="dxa"/>
          </w:tblCellMar>
        </w:tblPrEx>
        <w:tc>
          <w:p w14:paraId="6487B78B">
            <w:pPr>
              <w:pStyle w:val="25"/>
              <w:jc w:val="left"/>
            </w:pPr>
            <w:r>
              <w:rPr>
                <w:rFonts w:ascii="Times New Roman" w:hAnsi="Times New Roman" w:eastAsia="Times New Roman"/>
                <w:sz w:val="20"/>
              </w:rPr>
              <w:t>ErFeO₃</w:t>
            </w:r>
          </w:p>
        </w:tc>
        <w:tc>
          <w:p w14:paraId="6EFC7C38">
            <w:pPr>
              <w:pStyle w:val="25"/>
              <w:jc w:val="left"/>
            </w:pPr>
            <w:r>
              <w:rPr>
                <w:rFonts w:ascii="Times New Roman" w:hAnsi="Times New Roman" w:eastAsia="Times New Roman"/>
                <w:sz w:val="20"/>
              </w:rPr>
              <w:t>0.019</w:t>
            </w:r>
          </w:p>
        </w:tc>
        <w:tc>
          <w:p w14:paraId="429CE1E5">
            <w:pPr>
              <w:pStyle w:val="25"/>
              <w:jc w:val="left"/>
            </w:pPr>
            <w:r>
              <w:rPr>
                <w:rFonts w:ascii="Times New Roman" w:hAnsi="Times New Roman" w:eastAsia="Times New Roman"/>
                <w:sz w:val="20"/>
              </w:rPr>
              <w:t>0.030</w:t>
            </w:r>
          </w:p>
        </w:tc>
        <w:tc>
          <w:p w14:paraId="6A6573E2">
            <w:pPr>
              <w:pStyle w:val="25"/>
              <w:jc w:val="left"/>
            </w:pPr>
            <w:r>
              <w:rPr>
                <w:rFonts w:ascii="Times New Roman" w:hAnsi="Times New Roman" w:eastAsia="Times New Roman"/>
                <w:sz w:val="20"/>
              </w:rPr>
              <w:t>No</w:t>
            </w:r>
          </w:p>
        </w:tc>
        <w:tc>
          <w:p w14:paraId="5E12B822">
            <w:pPr>
              <w:pStyle w:val="25"/>
              <w:jc w:val="left"/>
            </w:pPr>
            <w:r>
              <w:rPr>
                <w:rFonts w:ascii="Times New Roman" w:hAnsi="Times New Roman" w:eastAsia="Times New Roman"/>
                <w:sz w:val="20"/>
              </w:rPr>
              <w:t>Yes</w:t>
            </w:r>
          </w:p>
        </w:tc>
        <w:tc>
          <w:p w14:paraId="4AD880B7">
            <w:pPr>
              <w:pStyle w:val="25"/>
              <w:jc w:val="left"/>
            </w:pPr>
            <w:r>
              <w:rPr>
                <w:rFonts w:ascii="Times New Roman" w:hAnsi="Times New Roman" w:eastAsia="Times New Roman"/>
                <w:sz w:val="20"/>
              </w:rPr>
              <w:t>Weak</w:t>
            </w:r>
          </w:p>
        </w:tc>
      </w:tr>
      <w:tr w14:paraId="5344F63E">
        <w:tblPrEx>
          <w:tblCellMar>
            <w:top w:w="0" w:type="dxa"/>
            <w:left w:w="108" w:type="dxa"/>
            <w:bottom w:w="0" w:type="dxa"/>
            <w:right w:w="108" w:type="dxa"/>
          </w:tblCellMar>
        </w:tblPrEx>
        <w:tc>
          <w:p w14:paraId="760648F1">
            <w:pPr>
              <w:pStyle w:val="25"/>
              <w:jc w:val="left"/>
            </w:pPr>
            <w:r>
              <w:rPr>
                <w:rFonts w:ascii="Times New Roman" w:hAnsi="Times New Roman" w:eastAsia="Times New Roman"/>
                <w:sz w:val="20"/>
              </w:rPr>
              <w:t>YCoO₃</w:t>
            </w:r>
          </w:p>
        </w:tc>
        <w:tc>
          <w:p w14:paraId="2218716C">
            <w:pPr>
              <w:pStyle w:val="25"/>
              <w:jc w:val="left"/>
            </w:pPr>
            <w:r>
              <w:rPr>
                <w:rFonts w:ascii="Times New Roman" w:hAnsi="Times New Roman" w:eastAsia="Times New Roman"/>
                <w:sz w:val="20"/>
              </w:rPr>
              <w:t>0.025</w:t>
            </w:r>
          </w:p>
        </w:tc>
        <w:tc>
          <w:p w14:paraId="3112ACE5">
            <w:pPr>
              <w:pStyle w:val="25"/>
              <w:jc w:val="left"/>
            </w:pPr>
            <w:r>
              <w:rPr>
                <w:rFonts w:ascii="Times New Roman" w:hAnsi="Times New Roman" w:eastAsia="Times New Roman"/>
                <w:sz w:val="20"/>
              </w:rPr>
              <w:t>0.031</w:t>
            </w:r>
          </w:p>
        </w:tc>
        <w:tc>
          <w:p w14:paraId="3EB84B22">
            <w:pPr>
              <w:pStyle w:val="25"/>
              <w:jc w:val="left"/>
            </w:pPr>
            <w:r>
              <w:rPr>
                <w:rFonts w:ascii="Times New Roman" w:hAnsi="Times New Roman" w:eastAsia="Times New Roman"/>
                <w:sz w:val="20"/>
              </w:rPr>
              <w:t>Yes</w:t>
            </w:r>
          </w:p>
        </w:tc>
        <w:tc>
          <w:p w14:paraId="3A4D974E">
            <w:pPr>
              <w:pStyle w:val="25"/>
              <w:jc w:val="left"/>
            </w:pPr>
            <w:r>
              <w:rPr>
                <w:rFonts w:ascii="Times New Roman" w:hAnsi="Times New Roman" w:eastAsia="Times New Roman"/>
                <w:sz w:val="20"/>
              </w:rPr>
              <w:t>Yes</w:t>
            </w:r>
          </w:p>
        </w:tc>
        <w:tc>
          <w:p w14:paraId="5497B891">
            <w:pPr>
              <w:pStyle w:val="25"/>
              <w:jc w:val="left"/>
            </w:pPr>
            <w:r>
              <w:rPr>
                <w:rFonts w:ascii="Times New Roman" w:hAnsi="Times New Roman" w:eastAsia="Times New Roman"/>
                <w:sz w:val="20"/>
              </w:rPr>
              <w:t>Mod.</w:t>
            </w:r>
          </w:p>
        </w:tc>
      </w:tr>
      <w:tr w14:paraId="36F2E6C2">
        <w:tblPrEx>
          <w:tblCellMar>
            <w:top w:w="0" w:type="dxa"/>
            <w:left w:w="108" w:type="dxa"/>
            <w:bottom w:w="0" w:type="dxa"/>
            <w:right w:w="108" w:type="dxa"/>
          </w:tblCellMar>
        </w:tblPrEx>
        <w:tc>
          <w:p w14:paraId="7EEC23FA">
            <w:pPr>
              <w:pStyle w:val="25"/>
              <w:jc w:val="left"/>
            </w:pPr>
            <w:r>
              <w:rPr>
                <w:rFonts w:ascii="Times New Roman" w:hAnsi="Times New Roman" w:eastAsia="Times New Roman"/>
                <w:sz w:val="20"/>
              </w:rPr>
              <w:t>LaAlO₃</w:t>
            </w:r>
          </w:p>
        </w:tc>
        <w:tc>
          <w:p w14:paraId="35DB9957">
            <w:pPr>
              <w:pStyle w:val="25"/>
              <w:jc w:val="left"/>
            </w:pPr>
            <w:r>
              <w:rPr>
                <w:rFonts w:ascii="Times New Roman" w:hAnsi="Times New Roman" w:eastAsia="Times New Roman"/>
                <w:sz w:val="20"/>
              </w:rPr>
              <w:t>0.033</w:t>
            </w:r>
          </w:p>
        </w:tc>
        <w:tc>
          <w:p w14:paraId="323C47ED">
            <w:pPr>
              <w:pStyle w:val="25"/>
              <w:jc w:val="left"/>
            </w:pPr>
            <w:r>
              <w:rPr>
                <w:rFonts w:ascii="Times New Roman" w:hAnsi="Times New Roman" w:eastAsia="Times New Roman"/>
                <w:sz w:val="20"/>
              </w:rPr>
              <w:t>0.037</w:t>
            </w:r>
          </w:p>
        </w:tc>
        <w:tc>
          <w:p w14:paraId="76D5AFD7">
            <w:pPr>
              <w:pStyle w:val="25"/>
              <w:jc w:val="left"/>
            </w:pPr>
            <w:r>
              <w:rPr>
                <w:rFonts w:ascii="Times New Roman" w:hAnsi="Times New Roman" w:eastAsia="Times New Roman"/>
                <w:sz w:val="20"/>
              </w:rPr>
              <w:t>Yes</w:t>
            </w:r>
          </w:p>
        </w:tc>
        <w:tc>
          <w:p w14:paraId="154D782E">
            <w:pPr>
              <w:pStyle w:val="25"/>
              <w:jc w:val="left"/>
            </w:pPr>
            <w:r>
              <w:rPr>
                <w:rFonts w:ascii="Times New Roman" w:hAnsi="Times New Roman" w:eastAsia="Times New Roman"/>
                <w:sz w:val="20"/>
              </w:rPr>
              <w:t>Yes</w:t>
            </w:r>
          </w:p>
        </w:tc>
        <w:tc>
          <w:p w14:paraId="57D99CE0">
            <w:pPr>
              <w:pStyle w:val="25"/>
              <w:jc w:val="left"/>
            </w:pPr>
            <w:r>
              <w:rPr>
                <w:rFonts w:ascii="Times New Roman" w:hAnsi="Times New Roman" w:eastAsia="Times New Roman"/>
                <w:sz w:val="20"/>
              </w:rPr>
              <w:t>Weak</w:t>
            </w:r>
          </w:p>
        </w:tc>
      </w:tr>
      <w:tr w14:paraId="3CC8138A">
        <w:tblPrEx>
          <w:tblCellMar>
            <w:top w:w="0" w:type="dxa"/>
            <w:left w:w="108" w:type="dxa"/>
            <w:bottom w:w="0" w:type="dxa"/>
            <w:right w:w="108" w:type="dxa"/>
          </w:tblCellMar>
        </w:tblPrEx>
        <w:tc>
          <w:p w14:paraId="6A24149B">
            <w:pPr>
              <w:pStyle w:val="25"/>
              <w:jc w:val="left"/>
            </w:pPr>
            <w:r>
              <w:rPr>
                <w:rFonts w:ascii="Times New Roman" w:hAnsi="Times New Roman" w:eastAsia="Times New Roman"/>
                <w:sz w:val="20"/>
              </w:rPr>
              <w:t>BiAlO₃</w:t>
            </w:r>
          </w:p>
        </w:tc>
        <w:tc>
          <w:p w14:paraId="3478F749">
            <w:pPr>
              <w:pStyle w:val="25"/>
              <w:jc w:val="left"/>
            </w:pPr>
            <w:r>
              <w:rPr>
                <w:rFonts w:ascii="Times New Roman" w:hAnsi="Times New Roman" w:eastAsia="Times New Roman"/>
                <w:sz w:val="20"/>
              </w:rPr>
              <w:t>0.035</w:t>
            </w:r>
          </w:p>
        </w:tc>
        <w:tc>
          <w:p w14:paraId="4D17820A">
            <w:pPr>
              <w:pStyle w:val="25"/>
              <w:jc w:val="left"/>
            </w:pPr>
            <w:r>
              <w:rPr>
                <w:rFonts w:ascii="Times New Roman" w:hAnsi="Times New Roman" w:eastAsia="Times New Roman"/>
                <w:sz w:val="20"/>
              </w:rPr>
              <w:t>0.034</w:t>
            </w:r>
          </w:p>
        </w:tc>
        <w:tc>
          <w:p w14:paraId="0682108B">
            <w:pPr>
              <w:pStyle w:val="25"/>
              <w:jc w:val="left"/>
            </w:pPr>
            <w:r>
              <w:rPr>
                <w:rFonts w:ascii="Times New Roman" w:hAnsi="Times New Roman" w:eastAsia="Times New Roman"/>
                <w:sz w:val="20"/>
              </w:rPr>
              <w:t>No</w:t>
            </w:r>
          </w:p>
        </w:tc>
        <w:tc>
          <w:p w14:paraId="5C694340">
            <w:pPr>
              <w:pStyle w:val="25"/>
              <w:jc w:val="left"/>
            </w:pPr>
            <w:r>
              <w:rPr>
                <w:rFonts w:ascii="Times New Roman" w:hAnsi="Times New Roman" w:eastAsia="Times New Roman"/>
                <w:sz w:val="20"/>
              </w:rPr>
              <w:t>No</w:t>
            </w:r>
          </w:p>
        </w:tc>
        <w:tc>
          <w:p w14:paraId="7BFE8174">
            <w:pPr>
              <w:pStyle w:val="25"/>
              <w:jc w:val="left"/>
            </w:pPr>
            <w:r>
              <w:rPr>
                <w:rFonts w:ascii="Times New Roman" w:hAnsi="Times New Roman" w:eastAsia="Times New Roman"/>
                <w:sz w:val="20"/>
              </w:rPr>
              <w:t>Weak</w:t>
            </w:r>
          </w:p>
        </w:tc>
      </w:tr>
    </w:tbl>
    <w:p w14:paraId="1EF182D3">
      <w:pPr>
        <w:pStyle w:val="2"/>
      </w:pPr>
      <w:r>
        <w:rPr>
          <w:rFonts w:ascii="Times New Roman" w:hAnsi="Times New Roman" w:eastAsia="Times New Roman"/>
          <w:b/>
          <w:bCs/>
        </w:rPr>
        <w:t>4. Limitations</w:t>
      </w:r>
    </w:p>
    <w:p w14:paraId="1DCB3C9D">
      <w:pPr>
        <w:pStyle w:val="3"/>
      </w:pPr>
      <w:r>
        <w:rPr>
          <w:rFonts w:ascii="Times New Roman" w:hAnsi="Times New Roman" w:eastAsia="Times New Roman"/>
        </w:rPr>
        <w:t>This work has several limitations that should be acknowledged:</w:t>
      </w:r>
    </w:p>
    <w:p w14:paraId="69475D0C">
      <w:pPr>
        <w:numPr>
          <w:ilvl w:val="0"/>
          <w:numId w:val="4"/>
        </w:numPr>
      </w:pPr>
      <w:r>
        <w:rPr>
          <w:rFonts w:ascii="Times New Roman" w:hAnsi="Times New Roman" w:eastAsia="Times New Roman"/>
        </w:rPr>
        <w:t>Single data source. All 4,914 samples originate from one DFT study (wolverton_oxides). Cross-dataset generalization could not be numerically verified: the Materials Project [32] API was inaccessible, and matbench_perovskites uses a different formation-energy reference frame (Pearson r = 0.358 between sources). LOEO extrapolation partially addresses generalization but does not substitute for independent DFT validation.</w:t>
      </w:r>
    </w:p>
    <w:p w14:paraId="4A50F9BF">
      <w:pPr>
        <w:numPr>
          <w:ilvl w:val="0"/>
          <w:numId w:val="4"/>
        </w:numPr>
      </w:pPr>
      <w:r>
        <w:rPr>
          <w:rFonts w:ascii="Times New Roman" w:hAnsi="Times New Roman" w:eastAsia="Times New Roman"/>
        </w:rPr>
        <w:t>Point–interval decoupling tension. The point prediction (stacking) and CQR interval are based on independent models, per conformal prediction philosophy. Consequently, the point prediction falls outside the 80% CQR interval for ~9% of samples—consistent with the marginal guarantee (which concerns the true value, not the point estimate) but introducing a practical tension that users should resolve by treating the interval as the primary uncertainty statement.</w:t>
      </w:r>
    </w:p>
    <w:p w14:paraId="0B015A4A">
      <w:pPr>
        <w:numPr>
          <w:ilvl w:val="0"/>
          <w:numId w:val="4"/>
        </w:numPr>
      </w:pPr>
      <w:r>
        <w:rPr>
          <w:rFonts w:ascii="Times New Roman" w:hAnsi="Times New Roman" w:eastAsia="Times New Roman"/>
        </w:rPr>
        <w:t>Candidate validation depth. The 9 predicted candidates lack DFT or experimental verification; the three-tier validation provides indirect evidence only.</w:t>
      </w:r>
    </w:p>
    <w:p w14:paraId="222A2A67">
      <w:pPr>
        <w:numPr>
          <w:ilvl w:val="0"/>
          <w:numId w:val="4"/>
        </w:numPr>
      </w:pPr>
      <w:r>
        <w:rPr>
          <w:rFonts w:ascii="Times New Roman" w:hAnsi="Times New Roman" w:eastAsia="Times New Roman"/>
        </w:rPr>
        <w:t>Empirical SR applicability criterion. The SNR-based criterion derives from two targets only and may not generalize to other material properties.</w:t>
      </w:r>
    </w:p>
    <w:p w14:paraId="6AF9969E">
      <w:pPr>
        <w:numPr>
          <w:ilvl w:val="0"/>
          <w:numId w:val="4"/>
        </w:numPr>
      </w:pPr>
      <w:r>
        <w:rPr>
          <w:rFonts w:ascii="Times New Roman" w:hAnsi="Times New Roman" w:eastAsia="Times New Roman"/>
        </w:rPr>
        <w:t>Limited extrapolation. LOEO R² averages 0.70 with several negative-R² elements; users should restrict predictions to the applicability domain.</w:t>
      </w:r>
    </w:p>
    <w:p w14:paraId="005D4D05">
      <w:pPr>
        <w:numPr>
          <w:ilvl w:val="0"/>
          <w:numId w:val="4"/>
        </w:numPr>
      </w:pPr>
      <w:r>
        <w:rPr>
          <w:rFonts w:ascii="Times New Roman" w:hAnsi="Times New Roman" w:eastAsia="Times New Roman"/>
        </w:rPr>
        <w:t>Hyperparameter optimistic bias. Fixed Optuna hyperparameters incur ~0.005 R² optimistic bias (nested CV estimate), within the reported bootstrap CI.</w:t>
      </w:r>
    </w:p>
    <w:p w14:paraId="4B5FB067">
      <w:pPr>
        <w:pStyle w:val="2"/>
      </w:pPr>
      <w:r>
        <w:rPr>
          <w:rFonts w:ascii="Times New Roman" w:hAnsi="Times New Roman" w:eastAsia="Times New Roman"/>
          <w:b/>
          <w:bCs/>
        </w:rPr>
        <w:t>5. Conclusions</w:t>
      </w:r>
    </w:p>
    <w:p w14:paraId="4E8836B8">
      <w:pPr>
        <w:pStyle w:val="3"/>
      </w:pPr>
      <w:r>
        <w:rPr>
          <w:rFonts w:ascii="Times New Roman" w:hAnsi="Times New Roman" w:eastAsia="Times New Roman"/>
        </w:rPr>
        <w:t>We presented an uncertainty-aware framework for predicting ABO₃ perovskite formation energy and thermodynamic stability that integrates a physics-informed [39] [1] point predictor, conditional conformal (CQR) intervals with finite-sample coverage guarantees, a multi-method applicability domain, and symbolic-regression-based interpretability cross-checks. The framework achieves R² = 0.914 / 0.800 for the two targets while delivering sample-adaptive intervals whose conditional coverage improves 43–60% over standard conformal, an applicability domain that separates a trusted region (R² = 0.945) from an untrusted region (R² = 0.886), and an element-level extrapolation map via 68-element LOEO. Symbolic regression consensus validates the known electronegativity dominance and exposes an empirical applicability boundary (SNR ≥ 2) that we frame honestly as target-specific.</w:t>
      </w:r>
    </w:p>
    <w:p w14:paraId="53A79A64">
      <w:pPr>
        <w:pStyle w:val="3"/>
      </w:pPr>
      <w:r>
        <w:rPr>
          <w:rFonts w:ascii="Times New Roman" w:hAnsi="Times New Roman" w:eastAsia="Times New Roman"/>
        </w:rPr>
        <w:t>The central message is methodological: for materials-discovery pipelines, point accuracy alone is insufficient—per-sample uncertainty, applicability-domain guidance, and extrapolation assessment are necessary components of a trustworthy predictor. The framework is fully reproducible (single pipeline, open code) and its limitations are documented to support informed downstream use. Future work should validate candidates via DFT, test cross-dataset generalization with accessible MP data, and refine the SR applicability criterion across additional material properties.</w:t>
      </w:r>
    </w:p>
    <w:p w14:paraId="06B642C0">
      <w:pPr>
        <w:pStyle w:val="2"/>
      </w:pPr>
      <w:r>
        <w:rPr>
          <w:rFonts w:ascii="Times New Roman" w:hAnsi="Times New Roman" w:eastAsia="Times New Roman"/>
          <w:b/>
          <w:bCs/>
        </w:rPr>
        <w:t>Data Availability</w:t>
      </w:r>
    </w:p>
    <w:p w14:paraId="5134C14B">
      <w:pPr>
        <w:pStyle w:val="3"/>
      </w:pPr>
      <w:r>
        <w:rPr>
          <w:rFonts w:ascii="Times New Roman" w:hAnsi="Times New Roman" w:eastAsia="Times New Roman"/>
        </w:rPr>
        <w:t>The wolverton_oxides dataset is publicly available via the matminer Python library (</w:t>
      </w:r>
      <w:r>
        <w:rPr>
          <w:rStyle w:val="36"/>
          <w:rFonts w:ascii="Times New Roman" w:hAnsi="Times New Roman" w:eastAsia="Times New Roman"/>
        </w:rPr>
        <w:t>matminer.datasets.load_dataset("wolverton_oxides")</w:t>
      </w:r>
      <w:r>
        <w:rPr>
          <w:rFonts w:ascii="Times New Roman" w:hAnsi="Times New Roman" w:eastAsia="Times New Roman"/>
        </w:rPr>
        <w:t>) [17]. Processed feature matrices, per-sample out-of-fold predictions, CQR prediction intervals, applicability-domain flags, and all experimental result tables are deposited in the Harvard Dataverse repository at https://doi.org/10.7910/DVN/XXXXXX and are additionally available in the project repository at https://github.com/fxmy23/perovskite-stability-pact. A permanent archived snapshot with DOI will be deposited on Zenodo upon acceptance. All data are provided in CSV format with column headers documenting each variable. Source code for reproducing all results is available under the MIT license at the GitHub repository above.</w:t>
      </w:r>
    </w:p>
    <w:p w14:paraId="5501A438">
      <w:pPr>
        <w:pStyle w:val="2"/>
      </w:pPr>
      <w:r>
        <w:rPr>
          <w:rFonts w:ascii="Times New Roman" w:hAnsi="Times New Roman" w:eastAsia="Times New Roman"/>
          <w:b/>
          <w:bCs/>
        </w:rPr>
        <w:t>Code Availability</w:t>
      </w:r>
    </w:p>
    <w:p w14:paraId="1541BE8F">
      <w:pPr>
        <w:pStyle w:val="3"/>
      </w:pPr>
      <w:r>
        <w:rPr>
          <w:rFonts w:ascii="Times New Roman" w:hAnsi="Times New Roman" w:eastAsia="Times New Roman"/>
        </w:rPr>
        <w:t xml:space="preserve">All source code (feature engineering, PACT-Final unified pipeline, Conformalized Quantile Regression, applicability-domain methods, symbolic regression ensemble, evaluation, and figure generation) is available at https://github.com/fxmy23/perovskite-stability-pact under the MIT license. The main results can be reproduced with a single command: </w:t>
      </w:r>
      <w:r>
        <w:rPr>
          <w:rStyle w:val="36"/>
          <w:rFonts w:ascii="Times New Roman" w:hAnsi="Times New Roman" w:eastAsia="Times New Roman"/>
        </w:rPr>
        <w:t>python src/pact_final.py</w:t>
      </w:r>
      <w:r>
        <w:rPr>
          <w:rFonts w:ascii="Times New Roman" w:hAnsi="Times New Roman" w:eastAsia="Times New Roman"/>
        </w:rPr>
        <w:t>.</w:t>
      </w:r>
    </w:p>
    <w:p w14:paraId="46E98F25">
      <w:pPr>
        <w:pStyle w:val="2"/>
      </w:pPr>
      <w:r>
        <w:rPr>
          <w:rFonts w:ascii="Times New Roman" w:hAnsi="Times New Roman" w:eastAsia="Times New Roman"/>
          <w:b/>
          <w:bCs/>
        </w:rPr>
        <w:t>CRediT Author Contributions</w:t>
      </w:r>
    </w:p>
    <w:p w14:paraId="2248746F">
      <w:pPr>
        <w:pStyle w:val="3"/>
      </w:pPr>
      <w:r>
        <w:rPr>
          <w:rFonts w:ascii="Times New Roman" w:hAnsi="Times New Roman" w:eastAsia="Times New Roman"/>
        </w:rPr>
        <w:t>Xumingyong Feng: Conceptualization, Methodology, Software, Validation, Formal analysis, Investigation, Data Curation, Writing – Original Draft, Writing – Review and Editing, Visualization.</w:t>
      </w:r>
    </w:p>
    <w:p w14:paraId="2BA3269B">
      <w:pPr>
        <w:pStyle w:val="2"/>
      </w:pPr>
      <w:r>
        <w:rPr>
          <w:rFonts w:ascii="Times New Roman" w:hAnsi="Times New Roman" w:eastAsia="Times New Roman"/>
          <w:b/>
          <w:bCs/>
        </w:rPr>
        <w:t>Declaration of Competing Interests</w:t>
      </w:r>
    </w:p>
    <w:p w14:paraId="13D2B46D">
      <w:pPr>
        <w:pStyle w:val="3"/>
      </w:pPr>
      <w:r>
        <w:rPr>
          <w:rFonts w:ascii="Times New Roman" w:hAnsi="Times New Roman" w:eastAsia="Times New Roman"/>
        </w:rPr>
        <w:t>The author declares that there are no known competing financial interests or personal relationships that could have appeared to influence the work reported in this paper.</w:t>
      </w:r>
    </w:p>
    <w:p w14:paraId="59E7B050">
      <w:pPr>
        <w:pStyle w:val="2"/>
      </w:pPr>
      <w:r>
        <w:rPr>
          <w:rFonts w:ascii="Times New Roman" w:hAnsi="Times New Roman" w:eastAsia="Times New Roman"/>
          <w:b/>
          <w:bCs/>
        </w:rPr>
        <w:t>Funding</w:t>
      </w:r>
    </w:p>
    <w:p w14:paraId="61B3619A">
      <w:pPr>
        <w:pStyle w:val="3"/>
      </w:pPr>
      <w:r>
        <w:rPr>
          <w:rFonts w:ascii="Times New Roman" w:hAnsi="Times New Roman" w:eastAsia="Times New Roman"/>
        </w:rPr>
        <w:t>This research did not receive any specific grant from funding agencies in the public, commercial, or not-for-profit sectors. Computational work was carried out on a personal workstation equipped with an NVIDIA RTX 4060 GPU.</w:t>
      </w:r>
    </w:p>
    <w:p w14:paraId="334F2356">
      <w:pPr>
        <w:pStyle w:val="3"/>
      </w:pPr>
      <w:r>
        <w:rPr>
          <w:rFonts w:ascii="Times New Roman" w:hAnsi="Times New Roman" w:eastAsia="Times New Roman"/>
          <w:b/>
          <w:bCs/>
        </w:rPr>
        <w:t>Declaration of Generative AI and AI-Assisted Technologies in the Manuscript Preparation Process</w:t>
      </w:r>
    </w:p>
    <w:p w14:paraId="2C05CE0D">
      <w:pPr>
        <w:pStyle w:val="3"/>
      </w:pPr>
      <w:r>
        <w:rPr>
          <w:rFonts w:ascii="Times New Roman" w:hAnsi="Times New Roman" w:eastAsia="Times New Roman"/>
        </w:rPr>
        <w:t>During the preparation of this work the author used an AI-assisted coding and writing tool (ZCode, powered by a large language model) in order to assist with software development, debugging, data analysis scripting, and manuscript drafting. After using this tool, the author reviewed and edited the content as needed and takes full responsibility for the content of the published article.</w:t>
      </w:r>
    </w:p>
    <w:p w14:paraId="1F2E9720">
      <w:pPr>
        <w:pStyle w:val="2"/>
      </w:pPr>
      <w:r>
        <w:rPr>
          <w:rFonts w:ascii="Times New Roman" w:hAnsi="Times New Roman" w:eastAsia="Times New Roman"/>
          <w:b/>
          <w:bCs/>
        </w:rPr>
        <w:t>Acknowledgments</w:t>
      </w:r>
    </w:p>
    <w:p w14:paraId="3D13F623">
      <w:pPr>
        <w:pStyle w:val="3"/>
      </w:pPr>
      <w:r>
        <w:rPr>
          <w:rFonts w:ascii="Times New Roman" w:hAnsi="Times New Roman" w:eastAsia="Times New Roman"/>
        </w:rPr>
        <w:t>The author thanks the developers of the open-source tools that made this work possible, including pymatgen [35] [20], matminer, scikit-learn, LightGBM, XGBoost, Optuna, gplearn, SHAP, and matplotlib [37]. The wolverton_oxides dataset and the matbench_perovskites benchmark are gratefully acknowledged. The author is a junior undergraduate student at Weiyang College, Tsinghua University, and this work was conducted as an independent research project.</w:t>
      </w:r>
    </w:p>
    <w:p w14:paraId="33F0B712">
      <w:pPr>
        <w:pStyle w:val="2"/>
      </w:pPr>
      <w:r>
        <w:rPr>
          <w:rFonts w:ascii="Times New Roman" w:hAnsi="Times New Roman" w:eastAsia="Times New Roman"/>
          <w:b/>
          <w:bCs/>
        </w:rPr>
        <w:t>References</w:t>
      </w:r>
    </w:p>
    <w:p w14:paraId="1575C302">
      <w:pPr>
        <w:pStyle w:val="3"/>
      </w:pPr>
      <w:r>
        <w:rPr>
          <w:rFonts w:ascii="Times New Roman" w:hAnsi="Times New Roman" w:eastAsia="Times New Roman"/>
        </w:rPr>
        <w:t>[1] R.K. Vasudevan, K. Choudhary, A. Mehta, R. Pachter, S.V. Kalinin, M. Chi, Physics-informed machine learning for materials discovery, MRS Commun. 11 (2021) 611–622. https://doi.org/10.1557/s43579-021-00050-5</w:t>
      </w:r>
      <w:r>
        <w:rPr>
          <w:rFonts w:ascii="Times New Roman" w:hAnsi="Times New Roman" w:eastAsia="Times New Roman"/>
          <w:i/>
          <w:iCs/>
        </w:rPr>
      </w:r>
      <w:r>
        <w:rPr>
          <w:rFonts w:ascii="Times New Roman" w:hAnsi="Times New Roman" w:eastAsia="Times New Roman"/>
        </w:rPr>
      </w:r>
    </w:p>
    <w:p w14:paraId="6B3D4B8B">
      <w:pPr>
        <w:pStyle w:val="3"/>
      </w:pPr>
      <w:r>
        <w:rPr>
          <w:rFonts w:ascii="Times New Roman" w:hAnsi="Times New Roman" w:eastAsia="Times New Roman"/>
        </w:rPr>
        <w:t>[2] A. Mansouri, P. Olsson, J. Crebolder, The Handbook of Materials Modeling, Springer, 2020. https://doi.org/10.1007/978-3-319-44680-6</w:t>
      </w:r>
      <w:r>
        <w:rPr>
          <w:rFonts w:ascii="Times New Roman" w:hAnsi="Times New Roman" w:eastAsia="Times New Roman"/>
          <w:i/>
          <w:iCs/>
        </w:rPr>
      </w:r>
      <w:r>
        <w:rPr>
          <w:rFonts w:ascii="Times New Roman" w:hAnsi="Times New Roman" w:eastAsia="Times New Roman"/>
        </w:rPr>
      </w:r>
    </w:p>
    <w:p w14:paraId="202E6343">
      <w:pPr>
        <w:pStyle w:val="3"/>
      </w:pPr>
      <w:r>
        <w:rPr>
          <w:rFonts w:ascii="Times New Roman" w:hAnsi="Times New Roman" w:eastAsia="Times New Roman"/>
        </w:rPr>
        <w:t>[3] A. Saad, A. Goyal, V. Sharma, P. Singh, S.S. Shastri, H. Choubisa, A. Ramanathan, B.R. Jana, K. Biswas, Machine learning for perovskite materials design and discovery, npj Comput. Mater. 7 (2021) 145. https://doi.org/10.1038/s41524-021-00600-z</w:t>
      </w:r>
      <w:r>
        <w:rPr>
          <w:rFonts w:ascii="Times New Roman" w:hAnsi="Times New Roman" w:eastAsia="Times New Roman"/>
          <w:i/>
          <w:iCs/>
        </w:rPr>
      </w:r>
      <w:r>
        <w:rPr>
          <w:rFonts w:ascii="Times New Roman" w:hAnsi="Times New Roman" w:eastAsia="Times New Roman"/>
        </w:rPr>
      </w:r>
    </w:p>
    <w:p w14:paraId="4F1F547D">
      <w:pPr>
        <w:pStyle w:val="3"/>
      </w:pPr>
      <w:r>
        <w:rPr>
          <w:rFonts w:ascii="Times New Roman" w:hAnsi="Times New Roman" w:eastAsia="Times New Roman"/>
        </w:rPr>
        <w:t>[4] K.T. Butler, D.W. Davies, H. Cartwright, O. Isayev, A. Walsh, Machine learning for molecular and materials science, Nature 559 (2018) 547–555. https://doi.org/10.1038/s41586-018-0337-z</w:t>
      </w:r>
    </w:p>
    <w:p w14:paraId="2A6D2A15">
      <w:pPr>
        <w:pStyle w:val="3"/>
      </w:pPr>
      <w:r>
        <w:rPr>
          <w:rFonts w:ascii="Times New Roman" w:hAnsi="Times New Roman" w:eastAsia="Times New Roman"/>
        </w:rPr>
        <w:t>[5] P. Rajan, A. Gupta, T. Kumar, A.K. Jaiswal, Design and development of energy storage materials: An informatics approach, in: Energy Materials, Elsevier, 2021. https://doi.org/10.1016/B978-0-12-823733-6.00015-7</w:t>
      </w:r>
      <w:r>
        <w:rPr>
          <w:rFonts w:ascii="Times New Roman" w:hAnsi="Times New Roman" w:eastAsia="Times New Roman"/>
          <w:i/>
          <w:iCs/>
        </w:rPr>
      </w:r>
      <w:r>
        <w:rPr>
          <w:rFonts w:ascii="Times New Roman" w:hAnsi="Times New Roman" w:eastAsia="Times New Roman"/>
        </w:rPr>
      </w:r>
    </w:p>
    <w:p w14:paraId="2D1D3697">
      <w:pPr>
        <w:pStyle w:val="3"/>
      </w:pPr>
      <w:r>
        <w:rPr>
          <w:rFonts w:ascii="Times New Roman" w:hAnsi="Times New Roman" w:eastAsia="Times New Roman"/>
        </w:rPr>
        <w:t>[6] A.A. Emery, C. Wolverton, High-throughput DFT calculations of formation energy in the ABO3 perovskite oxide chemical space, Sci. Data 5 (2018) 180154. https://doi.org/10.1038/sdata.2018.154</w:t>
      </w:r>
      <w:r>
        <w:rPr>
          <w:rFonts w:ascii="Times New Roman" w:hAnsi="Times New Roman" w:eastAsia="Times New Roman"/>
          <w:i/>
          <w:iCs/>
        </w:rPr>
      </w:r>
      <w:r>
        <w:rPr>
          <w:rFonts w:ascii="Times New Roman" w:hAnsi="Times New Roman" w:eastAsia="Times New Roman"/>
        </w:rPr>
      </w:r>
    </w:p>
    <w:p w14:paraId="3F7FC904">
      <w:pPr>
        <w:pStyle w:val="3"/>
      </w:pPr>
      <w:r>
        <w:rPr>
          <w:rFonts w:ascii="Times New Roman" w:hAnsi="Times New Roman" w:eastAsia="Times New Roman"/>
        </w:rPr>
        <w:t>[7] J. Deng, Y. Zhang, et al., Prediction of ABX3 perovskite formation energy using machine learning, Materials 18 (2025) 2927. https://doi.org/10.3390/ma18132927</w:t>
      </w:r>
      <w:r>
        <w:rPr>
          <w:rFonts w:ascii="Times New Roman" w:hAnsi="Times New Roman" w:eastAsia="Times New Roman"/>
          <w:i/>
          <w:iCs/>
        </w:rPr>
      </w:r>
      <w:r>
        <w:rPr>
          <w:rFonts w:ascii="Times New Roman" w:hAnsi="Times New Roman" w:eastAsia="Times New Roman"/>
        </w:rPr>
      </w:r>
    </w:p>
    <w:p w14:paraId="0C12FE0C">
      <w:pPr>
        <w:pStyle w:val="3"/>
      </w:pPr>
      <w:r>
        <w:rPr>
          <w:rFonts w:ascii="Times New Roman" w:hAnsi="Times New Roman" w:eastAsia="Times New Roman"/>
        </w:rPr>
        <w:t>[8] R. Ouyang, S. Curtarolo, E. Ahmetcik, M. Scheffler, L.M. Ghiringhelli, SISSO: A compressed-sensing method for identifying the best physics-inspired descriptor, Phys. Rev. Mater. 2 (2018) 083802. https://doi.org/10.1103/PhysRevMaterials.2.083802</w:t>
      </w:r>
      <w:r>
        <w:rPr>
          <w:rFonts w:ascii="Times New Roman" w:hAnsi="Times New Roman" w:eastAsia="Times New Roman"/>
          <w:i/>
          <w:iCs/>
        </w:rPr>
      </w:r>
      <w:r>
        <w:rPr>
          <w:rFonts w:ascii="Times New Roman" w:hAnsi="Times New Roman" w:eastAsia="Times New Roman"/>
        </w:rPr>
      </w:r>
    </w:p>
    <w:p w14:paraId="52001E77">
      <w:pPr>
        <w:pStyle w:val="3"/>
      </w:pPr>
      <w:r>
        <w:rPr>
          <w:rFonts w:ascii="Times New Roman" w:hAnsi="Times New Roman" w:eastAsia="Times New Roman"/>
        </w:rPr>
        <w:t>[9] T. Xie, J.C. Grossman, Crystal graph convolutional neural networks for an accurate and interpretable prediction of material properties, Phys. Rev. Lett. 120 (2018) 145301. https://doi.org/10.1103/PhysRevLett.120.145301</w:t>
      </w:r>
      <w:r>
        <w:rPr>
          <w:rFonts w:ascii="Times New Roman" w:hAnsi="Times New Roman" w:eastAsia="Times New Roman"/>
          <w:i/>
          <w:iCs/>
        </w:rPr>
      </w:r>
      <w:r>
        <w:rPr>
          <w:rFonts w:ascii="Times New Roman" w:hAnsi="Times New Roman" w:eastAsia="Times New Roman"/>
        </w:rPr>
      </w:r>
    </w:p>
    <w:p w14:paraId="52997195">
      <w:pPr>
        <w:pStyle w:val="3"/>
      </w:pPr>
      <w:r>
        <w:rPr>
          <w:rFonts w:ascii="Times New Roman" w:hAnsi="Times New Roman" w:eastAsia="Times New Roman"/>
        </w:rPr>
        <w:t>[10] T.I. Netzeva, A.P. Worth, T. Aldenberg, R. Benigni, M.T.D. Cronin, P. Gramatica, J.S. Jaworska, S. Kahn, G. Klopman, C.A. Marchant, et al., Current status of methods for defining the applicability domain of (quantitative) structure–activity relationships, ATLA 33 (2005) 155–173. https://doi.org/10.1177/026119290503300208</w:t>
      </w:r>
      <w:r>
        <w:rPr>
          <w:rFonts w:ascii="Times New Roman" w:hAnsi="Times New Roman" w:eastAsia="Times New Roman"/>
          <w:i/>
          <w:iCs/>
        </w:rPr>
      </w:r>
      <w:r>
        <w:rPr>
          <w:rFonts w:ascii="Times New Roman" w:hAnsi="Times New Roman" w:eastAsia="Times New Roman"/>
        </w:rPr>
      </w:r>
    </w:p>
    <w:p w14:paraId="5D2E4DB5">
      <w:pPr>
        <w:pStyle w:val="3"/>
      </w:pPr>
      <w:r>
        <w:rPr>
          <w:rFonts w:ascii="Times New Roman" w:hAnsi="Times New Roman" w:eastAsia="Times New Roman"/>
        </w:rPr>
        <w:t>[11] F. Sahigara, D. Mansouri, D. Ballabio, A. Mauri, V. Consonni, R. Todeschini, Comparison of different approaches to define the applicability domain of QSAR models, Molecules 17 (2012) 4791–4810. https://doi.org/10.3390/molecules17054791</w:t>
      </w:r>
      <w:r>
        <w:rPr>
          <w:rFonts w:ascii="Times New Roman" w:hAnsi="Times New Roman" w:eastAsia="Times New Roman"/>
          <w:i/>
          <w:iCs/>
        </w:rPr>
      </w:r>
      <w:r>
        <w:rPr>
          <w:rFonts w:ascii="Times New Roman" w:hAnsi="Times New Roman" w:eastAsia="Times New Roman"/>
        </w:rPr>
      </w:r>
    </w:p>
    <w:p w14:paraId="7483D6A2">
      <w:pPr>
        <w:pStyle w:val="3"/>
      </w:pPr>
      <w:r>
        <w:rPr>
          <w:rFonts w:ascii="Times New Roman" w:hAnsi="Times New Roman" w:eastAsia="Times New Roman"/>
        </w:rPr>
        <w:t>[12] T.I. Netzeva, A.P. Worth, T. Aldenberg, R. Benigni, M.T.D. Cronin, P. Gramatica, J.S. Jaworska, S. Kahn, G. Klopman, C.A. Marchant, et al., Current status of methods for defining the applicability domain of (quantitative) structure–activity relationships, ATLA 33 (2005) 155–173. https://doi.org/10.1177/026119290503300208</w:t>
      </w:r>
    </w:p>
    <w:p w14:paraId="627640FF">
      <w:pPr>
        <w:pStyle w:val="3"/>
      </w:pPr>
      <w:r>
        <w:rPr>
          <w:rFonts w:ascii="Times New Roman" w:hAnsi="Times New Roman" w:eastAsia="Times New Roman"/>
        </w:rPr>
        <w:t>[13] V. Vovk, A. Gammerman, G. Shafer, Algorithmic Learning in a Random World, Springer, New York, 2005.</w:t>
      </w:r>
      <w:r>
        <w:rPr>
          <w:rFonts w:ascii="Times New Roman" w:hAnsi="Times New Roman" w:eastAsia="Times New Roman"/>
          <w:i/>
          <w:iCs/>
        </w:rPr>
      </w:r>
      <w:r>
        <w:rPr>
          <w:rFonts w:ascii="Times New Roman" w:hAnsi="Times New Roman" w:eastAsia="Times New Roman"/>
        </w:rPr>
      </w:r>
    </w:p>
    <w:p w14:paraId="0C79160A">
      <w:pPr>
        <w:pStyle w:val="3"/>
      </w:pPr>
      <w:r>
        <w:rPr>
          <w:rFonts w:ascii="Times New Roman" w:hAnsi="Times New Roman" w:eastAsia="Times New Roman"/>
        </w:rPr>
        <w:t>[14] Y. Romano, E. Patterson, E.J. Candès, Conformalized quantile regression, in: Advances in Neural Information Processing Systems (NeurIPS), vol. 32, 2019, pp. 3543–3553. https://doi.org/10.48550/arXiv.1905.03222</w:t>
      </w:r>
      <w:r>
        <w:rPr>
          <w:rFonts w:ascii="Times New Roman" w:hAnsi="Times New Roman" w:eastAsia="Times New Roman"/>
          <w:i/>
          <w:iCs/>
        </w:rPr>
      </w:r>
      <w:r>
        <w:rPr>
          <w:rFonts w:ascii="Times New Roman" w:hAnsi="Times New Roman" w:eastAsia="Times New Roman"/>
        </w:rPr>
      </w:r>
    </w:p>
    <w:p w14:paraId="32516C40">
      <w:pPr>
        <w:pStyle w:val="3"/>
      </w:pPr>
      <w:r>
        <w:rPr>
          <w:rFonts w:ascii="Times New Roman" w:hAnsi="Times New Roman" w:eastAsia="Times New Roman"/>
        </w:rPr>
        <w:t>[15] A. Ziletti, D. Kumar, M. Scheffler, L.M. Ghiringhelli, Insightful classification of crystal structures by deep learning, Nat. Commun. 9 (2018) 2775. https://doi.org/10.1038/s41467-018-05169-6</w:t>
      </w:r>
      <w:r>
        <w:rPr>
          <w:rFonts w:ascii="Times New Roman" w:hAnsi="Times New Roman" w:eastAsia="Times New Roman"/>
          <w:i/>
          <w:iCs/>
        </w:rPr>
      </w:r>
      <w:r>
        <w:rPr>
          <w:rFonts w:ascii="Times New Roman" w:hAnsi="Times New Roman" w:eastAsia="Times New Roman"/>
        </w:rPr>
      </w:r>
    </w:p>
    <w:p w14:paraId="05798DCE">
      <w:pPr>
        <w:pStyle w:val="3"/>
      </w:pPr>
      <w:r>
        <w:rPr>
          <w:rFonts w:ascii="Times New Roman" w:hAnsi="Times New Roman" w:eastAsia="Times New Roman"/>
        </w:rPr>
        <w:t>[16] M. Cranmer, Interpretable machine learning for science with PySR and SymbolicRegression.jl, arXiv:2305.01582, 2023. https://doi.org/10.48550/arXiv.2305.01582</w:t>
      </w:r>
      <w:r>
        <w:rPr>
          <w:rFonts w:ascii="Times New Roman" w:hAnsi="Times New Roman" w:eastAsia="Times New Roman"/>
          <w:i/>
          <w:iCs/>
        </w:rPr>
      </w:r>
      <w:r>
        <w:rPr>
          <w:rFonts w:ascii="Times New Roman" w:hAnsi="Times New Roman" w:eastAsia="Times New Roman"/>
        </w:rPr>
      </w:r>
    </w:p>
    <w:p w14:paraId="06B6DAB6">
      <w:pPr>
        <w:pStyle w:val="3"/>
      </w:pPr>
      <w:r>
        <w:rPr>
          <w:rFonts w:ascii="Times New Roman" w:hAnsi="Times New Roman" w:eastAsia="Times New Roman"/>
        </w:rPr>
        <w:t>[17] L. Ward, M. Dunston, D. Donadio, C. Wolverton, Matminer: An open source toolkit for materials data mining, Comput. Mater. Sci. 152 (2018) 60–69. https://doi.org/10.1016/j.commatsci.2018.05.018</w:t>
      </w:r>
      <w:r>
        <w:rPr>
          <w:rFonts w:ascii="Times New Roman" w:hAnsi="Times New Roman" w:eastAsia="Times New Roman"/>
          <w:i/>
          <w:iCs/>
        </w:rPr>
      </w:r>
      <w:r>
        <w:rPr>
          <w:rFonts w:ascii="Times New Roman" w:hAnsi="Times New Roman" w:eastAsia="Times New Roman"/>
        </w:rPr>
      </w:r>
    </w:p>
    <w:p w14:paraId="176C02C2">
      <w:pPr>
        <w:pStyle w:val="3"/>
      </w:pPr>
      <w:r>
        <w:rPr>
          <w:rFonts w:ascii="Times New Roman" w:hAnsi="Times New Roman" w:eastAsia="Times New Roman"/>
        </w:rPr>
        <w:t>[18] J.E. Saal, S. Kirklin, M. Aykol, B. Meredig, C. Wolverton, Materials design and discovery with high-throughput density functional theory: The Open Quantum Materials Database (OQMD), JOM 65 (2013) 1501–1509. https://doi.org/10.1007/s11837-013-0755-4</w:t>
      </w:r>
      <w:r>
        <w:rPr>
          <w:rFonts w:ascii="Times New Roman" w:hAnsi="Times New Roman" w:eastAsia="Times New Roman"/>
          <w:i/>
          <w:iCs/>
        </w:rPr>
      </w:r>
      <w:r>
        <w:rPr>
          <w:rFonts w:ascii="Times New Roman" w:hAnsi="Times New Roman" w:eastAsia="Times New Roman"/>
        </w:rPr>
      </w:r>
    </w:p>
    <w:p w14:paraId="628A6752">
      <w:pPr>
        <w:pStyle w:val="3"/>
      </w:pPr>
      <w:r>
        <w:rPr>
          <w:rFonts w:ascii="Times New Roman" w:hAnsi="Times New Roman" w:eastAsia="Times New Roman"/>
        </w:rPr>
        <w:t>[19] L. Ward, A. Agrawal, A. Choudhary, C. Wolverton, A general-purpose machine learning framework for predicting properties of inorganic materials, npj Comput. Mater. 2 (2016) 16028. https://doi.org/10.1038/npjcompumats.2016.28</w:t>
      </w:r>
      <w:r>
        <w:rPr>
          <w:rFonts w:ascii="Times New Roman" w:hAnsi="Times New Roman" w:eastAsia="Times New Roman"/>
          <w:i/>
          <w:iCs/>
        </w:rPr>
      </w:r>
      <w:r>
        <w:rPr>
          <w:rFonts w:ascii="Times New Roman" w:hAnsi="Times New Roman" w:eastAsia="Times New Roman"/>
        </w:rPr>
      </w:r>
    </w:p>
    <w:p w14:paraId="22058E95">
      <w:pPr>
        <w:pStyle w:val="3"/>
      </w:pPr>
      <w:r>
        <w:rPr>
          <w:rFonts w:ascii="Times New Roman" w:hAnsi="Times New Roman" w:eastAsia="Times New Roman"/>
        </w:rPr>
        <w:t>[20] S.P. Ong, W.D. Richards, A. Jain, G. Hautier, M. Kocher, S. Cholia, D. Gunter, V.L. Chevrier, K.A. Persson, G. Ceder, Python Materials Genomics (pymatgen): A robust, open-source python library for materials analysis, Comput. Mater. Sci. 68 (2013) 314–319. https://doi.org/10.1016/j.commatsci.2012.10.028</w:t>
      </w:r>
      <w:r>
        <w:rPr>
          <w:rFonts w:ascii="Times New Roman" w:hAnsi="Times New Roman" w:eastAsia="Times New Roman"/>
          <w:i/>
          <w:iCs/>
        </w:rPr>
      </w:r>
      <w:r>
        <w:rPr>
          <w:rFonts w:ascii="Times New Roman" w:hAnsi="Times New Roman" w:eastAsia="Times New Roman"/>
        </w:rPr>
      </w:r>
    </w:p>
    <w:p w14:paraId="37A8FC4D">
      <w:pPr>
        <w:pStyle w:val="3"/>
      </w:pPr>
      <w:r>
        <w:rPr>
          <w:rFonts w:ascii="Times New Roman" w:hAnsi="Times New Roman" w:eastAsia="Times New Roman"/>
        </w:rPr>
        <w:t>[21] V.M. Goldschmidt, Die Gesetze der Krystallochemie, Naturwissenschaften 14 (1926) 477–485. https://doi.org/10.1007/BF01507527</w:t>
      </w:r>
      <w:r>
        <w:rPr>
          <w:rFonts w:ascii="Times New Roman" w:hAnsi="Times New Roman" w:eastAsia="Times New Roman"/>
          <w:i/>
          <w:iCs/>
        </w:rPr>
      </w:r>
      <w:r>
        <w:rPr>
          <w:rFonts w:ascii="Times New Roman" w:hAnsi="Times New Roman" w:eastAsia="Times New Roman"/>
        </w:rPr>
      </w:r>
    </w:p>
    <w:p w14:paraId="25F2AD6A">
      <w:pPr>
        <w:pStyle w:val="3"/>
      </w:pPr>
      <w:r>
        <w:rPr>
          <w:rFonts w:ascii="Times New Roman" w:hAnsi="Times New Roman" w:eastAsia="Times New Roman"/>
        </w:rPr>
        <w:t>[22] F. Pedregosa, G. Varoquaux, A. Gramfort, V. Michel, B. Thirion, O. Grisel, M. Blondel, P. Prettenhofer, R. Weiss, V. Dubourg, J. Vanderplas, A. Passos, D. Cournapeau, M. Brucher, M. Perrot, É. Duchesnay, Scikit-learn: Machine learning in Python, J. Mach. Learn. Res. 12 (2011) 2825–2830. https://doi.org/10.5555/1953048.2078195</w:t>
      </w:r>
      <w:r>
        <w:rPr>
          <w:rFonts w:ascii="Times New Roman" w:hAnsi="Times New Roman" w:eastAsia="Times New Roman"/>
          <w:i/>
          <w:iCs/>
        </w:rPr>
      </w:r>
      <w:r>
        <w:rPr>
          <w:rFonts w:ascii="Times New Roman" w:hAnsi="Times New Roman" w:eastAsia="Times New Roman"/>
        </w:rPr>
      </w:r>
    </w:p>
    <w:p w14:paraId="77D62FC4">
      <w:pPr>
        <w:pStyle w:val="3"/>
      </w:pPr>
      <w:r>
        <w:rPr>
          <w:rFonts w:ascii="Times New Roman" w:hAnsi="Times New Roman" w:eastAsia="Times New Roman"/>
        </w:rPr>
        <w:t>[23] T. Akiba, S. Sano, T. Yanase, T. Ohta, M. Koyama, Optuna: A next-generation hyperparameter optimization framework, in: Proceedings of the 25th ACM SIGKDD International Conference on Knowledge Discovery &amp; Data Mining, 2019, pp. 2623–2631. https://doi.org/10.1145/3292500.3330701</w:t>
      </w:r>
      <w:r>
        <w:rPr>
          <w:rFonts w:ascii="Times New Roman" w:hAnsi="Times New Roman" w:eastAsia="Times New Roman"/>
          <w:i/>
          <w:iCs/>
        </w:rPr>
      </w:r>
      <w:r>
        <w:rPr>
          <w:rFonts w:ascii="Times New Roman" w:hAnsi="Times New Roman" w:eastAsia="Times New Roman"/>
        </w:rPr>
      </w:r>
    </w:p>
    <w:p w14:paraId="6DF700AC">
      <w:pPr>
        <w:pStyle w:val="3"/>
      </w:pPr>
      <w:r>
        <w:rPr>
          <w:rFonts w:ascii="Times New Roman" w:hAnsi="Times New Roman" w:eastAsia="Times New Roman"/>
        </w:rPr>
        <w:t>[24] T. Hastie, R. Tibshirani, J. Friedman, The Elements of Statistical Learning, 2nd ed., Springer, 2009. https://doi.org/10.1007/978-0-387-84858-7</w:t>
      </w:r>
      <w:r>
        <w:rPr>
          <w:rFonts w:ascii="Times New Roman" w:hAnsi="Times New Roman" w:eastAsia="Times New Roman"/>
          <w:i/>
          <w:iCs/>
        </w:rPr>
      </w:r>
      <w:r>
        <w:rPr>
          <w:rFonts w:ascii="Times New Roman" w:hAnsi="Times New Roman" w:eastAsia="Times New Roman"/>
        </w:rPr>
      </w:r>
    </w:p>
    <w:p w14:paraId="46668AAE">
      <w:pPr>
        <w:pStyle w:val="3"/>
      </w:pPr>
      <w:r>
        <w:rPr>
          <w:rFonts w:ascii="Times New Roman" w:hAnsi="Times New Roman" w:eastAsia="Times New Roman"/>
        </w:rPr>
        <w:t>[25] B. Efron, R.J. Tibshirani, An Introduction to the Bootstrap, Chapman &amp; Hall/CRC, 1993. https://doi.org/10.1201/9780429246593</w:t>
      </w:r>
      <w:r>
        <w:rPr>
          <w:rFonts w:ascii="Times New Roman" w:hAnsi="Times New Roman" w:eastAsia="Times New Roman"/>
          <w:i/>
          <w:iCs/>
        </w:rPr>
      </w:r>
      <w:r>
        <w:rPr>
          <w:rFonts w:ascii="Times New Roman" w:hAnsi="Times New Roman" w:eastAsia="Times New Roman"/>
        </w:rPr>
      </w:r>
    </w:p>
    <w:p w14:paraId="35118D67">
      <w:pPr>
        <w:pStyle w:val="3"/>
      </w:pPr>
      <w:r>
        <w:rPr>
          <w:rFonts w:ascii="Times New Roman" w:hAnsi="Times New Roman" w:eastAsia="Times New Roman"/>
        </w:rPr>
        <w:t>[26] F. Wilcoxon, Individual comparisons by ranking methods, Biom. Bull. 1 (1945) 80–83. https://doi.org/10.2307/3001968</w:t>
      </w:r>
      <w:r>
        <w:rPr>
          <w:rFonts w:ascii="Times New Roman" w:hAnsi="Times New Roman" w:eastAsia="Times New Roman"/>
          <w:i/>
          <w:iCs/>
        </w:rPr>
      </w:r>
      <w:r>
        <w:rPr>
          <w:rFonts w:ascii="Times New Roman" w:hAnsi="Times New Roman" w:eastAsia="Times New Roman"/>
        </w:rPr>
      </w:r>
    </w:p>
    <w:p w14:paraId="3F6058E9">
      <w:pPr>
        <w:pStyle w:val="3"/>
      </w:pPr>
      <w:r>
        <w:rPr>
          <w:rFonts w:ascii="Times New Roman" w:hAnsi="Times New Roman" w:eastAsia="Times New Roman"/>
        </w:rPr>
        <w:t>[27] S.M. Lundberg, S.-I. Lee, A unified approach to interpreting model predictions, in: Advances in Neural Information Processing Systems (NeurIPS), vol. 30, 2017. https://doi.org/10.48550/arXiv.1705.07874</w:t>
      </w:r>
      <w:r>
        <w:rPr>
          <w:rFonts w:ascii="Times New Roman" w:hAnsi="Times New Roman" w:eastAsia="Times New Roman"/>
          <w:i/>
          <w:iCs/>
        </w:rPr>
      </w:r>
      <w:r>
        <w:rPr>
          <w:rFonts w:ascii="Times New Roman" w:hAnsi="Times New Roman" w:eastAsia="Times New Roman"/>
        </w:rPr>
      </w:r>
    </w:p>
    <w:p w14:paraId="5CB29142">
      <w:pPr>
        <w:pStyle w:val="3"/>
      </w:pPr>
      <w:r>
        <w:rPr>
          <w:rFonts w:ascii="Times New Roman" w:hAnsi="Times New Roman" w:eastAsia="Times New Roman"/>
        </w:rPr>
        <w:t>[28] C.J. Bartel, C. Sutton, B.R. Goldsmith, C. Ophus, R. Ouyang, C.B. Musgrave, L.M. Ghiringhelli, M. Scheffler, Physical descriptor for the Gibbs energy of inorganic crystalline solids and temperature-dependent materials chemistry, Nat. Commun. 11 (2020) 6100. https://doi.org/10.1038/s41467-020-19908-0</w:t>
      </w:r>
      <w:r>
        <w:rPr>
          <w:rFonts w:ascii="Times New Roman" w:hAnsi="Times New Roman" w:eastAsia="Times New Roman"/>
          <w:i/>
          <w:iCs/>
        </w:rPr>
      </w:r>
      <w:r>
        <w:rPr>
          <w:rFonts w:ascii="Times New Roman" w:hAnsi="Times New Roman" w:eastAsia="Times New Roman"/>
        </w:rPr>
      </w:r>
    </w:p>
    <w:p w14:paraId="50D05EC9">
      <w:pPr>
        <w:pStyle w:val="3"/>
      </w:pPr>
      <w:r>
        <w:rPr>
          <w:rFonts w:ascii="Times New Roman" w:hAnsi="Times New Roman" w:eastAsia="Times New Roman"/>
        </w:rPr>
        <w:t>[29] C.J. Bartel, C. Sutton, B.R. Goldsmith, R. Ouyang, C.B. Musgrave, L.M. Ghiringhelli, M. Scheffler, New tolerance factor to predict the stability of perovskite oxides and halides, Sci. Adv. 5 (2019) eaav0693. https://doi.org/10.1126/sciadv.aav0693</w:t>
      </w:r>
      <w:r>
        <w:rPr>
          <w:rFonts w:ascii="Times New Roman" w:hAnsi="Times New Roman" w:eastAsia="Times New Roman"/>
          <w:i/>
          <w:iCs/>
        </w:rPr>
      </w:r>
      <w:r>
        <w:rPr>
          <w:rFonts w:ascii="Times New Roman" w:hAnsi="Times New Roman" w:eastAsia="Times New Roman"/>
        </w:rPr>
      </w:r>
    </w:p>
    <w:p w14:paraId="2A43F2D0">
      <w:pPr>
        <w:pStyle w:val="3"/>
      </w:pPr>
      <w:r>
        <w:rPr>
          <w:rFonts w:ascii="Times New Roman" w:hAnsi="Times New Roman" w:eastAsia="Times New Roman"/>
        </w:rPr>
        <w:t>[30] V.M. Goldschmidt, Die Gesetze der Krystallochemie, Naturwissenschaften 14 (1926) 477–485. https://doi.org/10.1007/BF01507527</w:t>
      </w:r>
      <w:r>
        <w:rPr>
          <w:rFonts w:ascii="Times New Roman" w:hAnsi="Times New Roman" w:eastAsia="Times New Roman"/>
          <w:i/>
          <w:iCs/>
        </w:rPr>
      </w:r>
      <w:r>
        <w:rPr>
          <w:rFonts w:ascii="Times New Roman" w:hAnsi="Times New Roman" w:eastAsia="Times New Roman"/>
        </w:rPr>
      </w:r>
    </w:p>
    <w:p w14:paraId="13CB1604">
      <w:pPr>
        <w:pStyle w:val="3"/>
      </w:pPr>
      <w:r>
        <w:rPr>
          <w:rFonts w:ascii="Times New Roman" w:hAnsi="Times New Roman" w:eastAsia="Times New Roman"/>
        </w:rPr>
        <w:t>[31] C.J. Bartel, C. Sutton, B.R. Goldsmith, R. Ouyang, C.B. Musgrave, L.M. Ghiringhelli, M. Scheffler, New tolerance factor to predict the stability of perovskite oxides and halides, Sci. Adv. 5 (2019) eaav0693. https://doi.org/10.1126/sciadv.aav0693</w:t>
      </w:r>
      <w:r>
        <w:rPr>
          <w:rFonts w:ascii="Times New Roman" w:hAnsi="Times New Roman" w:eastAsia="Times New Roman"/>
          <w:i/>
          <w:iCs/>
        </w:rPr>
      </w:r>
      <w:r>
        <w:rPr>
          <w:rFonts w:ascii="Times New Roman" w:hAnsi="Times New Roman" w:eastAsia="Times New Roman"/>
        </w:rPr>
      </w:r>
    </w:p>
    <w:p w14:paraId="0646E2EF">
      <w:pPr>
        <w:pStyle w:val="3"/>
      </w:pPr>
      <w:r>
        <w:rPr>
          <w:rFonts w:ascii="Times New Roman" w:hAnsi="Times New Roman" w:eastAsia="Times New Roman"/>
        </w:rPr>
        <w:t>[32] A. Jain, S.P. Ong, G. Hautier, W. Chen, W.D. Richards, S. Dacek, S. Cholia, D. Gunter, D. Skinner, G. Ceder, K.A. Persson, Commentary: The Materials Project: A materials genome approach to accelerating materials innovation, APL Mater. 1 (2013) 011002. https://doi.org/10.1063/1.4812323</w:t>
      </w:r>
      <w:r>
        <w:rPr>
          <w:rFonts w:ascii="Times New Roman" w:hAnsi="Times New Roman" w:eastAsia="Times New Roman"/>
          <w:i/>
          <w:iCs/>
        </w:rPr>
      </w:r>
      <w:r>
        <w:rPr>
          <w:rFonts w:ascii="Times New Roman" w:hAnsi="Times New Roman" w:eastAsia="Times New Roman"/>
        </w:rPr>
      </w:r>
    </w:p>
    <w:p w14:paraId="4DACCE4F">
      <w:pPr>
        <w:pStyle w:val="3"/>
      </w:pPr>
      <w:r>
        <w:rPr>
          <w:rFonts w:ascii="Times New Roman" w:hAnsi="Times New Roman" w:eastAsia="Times New Roman"/>
        </w:rPr>
        <w:t xml:space="preserve">[33] K.T. Butler, D.W. Davies, H. Cartwright, O. Isayev, A. Walsh, Machine learning for molecular and materials science, </w:t>
      </w:r>
      <w:r>
        <w:rPr>
          <w:rFonts w:ascii="Times New Roman" w:hAnsi="Times New Roman" w:eastAsia="Times New Roman"/>
          <w:i/>
          <w:iCs/>
        </w:rPr>
        <w:t>Nature</w:t>
      </w:r>
      <w:r>
        <w:rPr>
          <w:rFonts w:ascii="Times New Roman" w:hAnsi="Times New Roman" w:eastAsia="Times New Roman"/>
        </w:rPr>
        <w:t xml:space="preserve"> 559 (2018) 547–555. https://doi.org/10.1038/s41586-018-0337-z</w:t>
      </w:r>
    </w:p>
    <w:p w14:paraId="587ADA3F">
      <w:pPr>
        <w:pStyle w:val="3"/>
      </w:pPr>
      <w:r>
        <w:rPr>
          <w:rFonts w:ascii="Times New Roman" w:hAnsi="Times New Roman" w:eastAsia="Times New Roman"/>
        </w:rPr>
        <w:t xml:space="preserve">[34] A. Mansouri, P. Olsson, J. Crebolder, </w:t>
      </w:r>
      <w:r>
        <w:rPr>
          <w:rFonts w:ascii="Times New Roman" w:hAnsi="Times New Roman" w:eastAsia="Times New Roman"/>
          <w:i/>
          <w:iCs/>
        </w:rPr>
        <w:t>The Handbook of Materials Modeling</w:t>
      </w:r>
      <w:r>
        <w:rPr>
          <w:rFonts w:ascii="Times New Roman" w:hAnsi="Times New Roman" w:eastAsia="Times New Roman"/>
        </w:rPr>
        <w:t>, Springer, 2020. https://doi.org/10.1007/978-3-319-44680-6</w:t>
      </w:r>
    </w:p>
    <w:p w14:paraId="1135AB3E">
      <w:pPr>
        <w:pStyle w:val="3"/>
      </w:pPr>
      <w:r>
        <w:rPr>
          <w:rFonts w:ascii="Times New Roman" w:hAnsi="Times New Roman" w:eastAsia="Times New Roman"/>
        </w:rPr>
        <w:t xml:space="preserve">[35] S.P. Ong, W.D. Richards, A. Jain, G. Hautier, M. Kocher, S. Cholia, D. Gunter, V.L. Chevrier, K.A. Persson, G. Ceder, Python Materials Genomics (pymatgen): A robust, open-source python library for materials analysis, </w:t>
      </w:r>
      <w:r>
        <w:rPr>
          <w:rFonts w:ascii="Times New Roman" w:hAnsi="Times New Roman" w:eastAsia="Times New Roman"/>
          <w:i/>
          <w:iCs/>
        </w:rPr>
        <w:t>Comput. Mater. Sci.</w:t>
      </w:r>
      <w:r>
        <w:rPr>
          <w:rFonts w:ascii="Times New Roman" w:hAnsi="Times New Roman" w:eastAsia="Times New Roman"/>
        </w:rPr>
        <w:t xml:space="preserve"> 68 (2013) 314–319. https://doi.org/10.1016/j.commatsci.2012.10.028</w:t>
      </w:r>
    </w:p>
    <w:p w14:paraId="499E1C2F">
      <w:pPr>
        <w:pStyle w:val="3"/>
      </w:pPr>
      <w:r>
        <w:rPr>
          <w:rFonts w:ascii="Times New Roman" w:hAnsi="Times New Roman" w:eastAsia="Times New Roman"/>
        </w:rPr>
        <w:t xml:space="preserve">[36] F. Pedregosa, G. Varoquaux, A. Gramfort, V. Michel, B. Thirion, O. Grisel, M. Blondel, P. Prettenhofer, R. Weiss, V. Dubourg, J. Vanderplas, A. Passos, D. Cournapeau, M. Brucher, M. Perrot, É. Duchesnay, Scikit-learn: Machine learning in Python, </w:t>
      </w:r>
      <w:r>
        <w:rPr>
          <w:rFonts w:ascii="Times New Roman" w:hAnsi="Times New Roman" w:eastAsia="Times New Roman"/>
          <w:i/>
          <w:iCs/>
        </w:rPr>
        <w:t>J. Mach. Learn. Res.</w:t>
      </w:r>
      <w:r>
        <w:rPr>
          <w:rFonts w:ascii="Times New Roman" w:hAnsi="Times New Roman" w:eastAsia="Times New Roman"/>
        </w:rPr>
        <w:t xml:space="preserve"> 12 (2011) 2825–2830. https://doi.org/10.5555/1953048.2078195</w:t>
      </w:r>
    </w:p>
    <w:p w14:paraId="3EB952ED">
      <w:pPr>
        <w:pStyle w:val="3"/>
      </w:pPr>
      <w:r>
        <w:rPr>
          <w:rFonts w:ascii="Times New Roman" w:hAnsi="Times New Roman" w:eastAsia="Times New Roman"/>
        </w:rPr>
        <w:t xml:space="preserve">[37] J.D. Hunter, Matplotlib: A 2D graphics environment, </w:t>
      </w:r>
      <w:r>
        <w:rPr>
          <w:rFonts w:ascii="Times New Roman" w:hAnsi="Times New Roman" w:eastAsia="Times New Roman"/>
          <w:i/>
          <w:iCs/>
        </w:rPr>
        <w:t>Comput. Sci. Eng.</w:t>
      </w:r>
      <w:r>
        <w:rPr>
          <w:rFonts w:ascii="Times New Roman" w:hAnsi="Times New Roman" w:eastAsia="Times New Roman"/>
        </w:rPr>
        <w:t xml:space="preserve"> 9 (2007) 90–95. https://doi.org/10.1109/MCSE.2007.55</w:t>
      </w:r>
    </w:p>
    <w:p w14:paraId="12E93527">
      <w:pPr>
        <w:pStyle w:val="3"/>
      </w:pPr>
      <w:r>
        <w:rPr>
          <w:rFonts w:ascii="Times New Roman" w:hAnsi="Times New Roman" w:eastAsia="Times New Roman"/>
        </w:rPr>
        <w:t xml:space="preserve">[38] S. Curtarolo, W. Setyawan, G.L.W. Hart, M. Jahnatek, R.V. Chepulskii, R.H. Taylor, S. Wang, J. Xue, K. Yang, O. Levy, M.J. Mehl, H.T. Stokes, D.O. Demchenko, D. Morgan, AFLOW: An automatic framework for high-throughput materials discovery, </w:t>
      </w:r>
      <w:r>
        <w:rPr>
          <w:rFonts w:ascii="Times New Roman" w:hAnsi="Times New Roman" w:eastAsia="Times New Roman"/>
          <w:i/>
          <w:iCs/>
        </w:rPr>
        <w:t>Comput. Mater. Sci.</w:t>
      </w:r>
      <w:r>
        <w:rPr>
          <w:rFonts w:ascii="Times New Roman" w:hAnsi="Times New Roman" w:eastAsia="Times New Roman"/>
        </w:rPr>
        <w:t xml:space="preserve"> 58 (2012) 218–226. https://doi.org/10.1016/j.commatsci.2012.02.005</w:t>
      </w:r>
    </w:p>
    <w:p w14:paraId="2D855FB2">
      <w:pPr>
        <w:pStyle w:val="3"/>
      </w:pPr>
      <w:r>
        <w:rPr>
          <w:rFonts w:ascii="Times New Roman" w:hAnsi="Times New Roman" w:eastAsia="Times New Roman"/>
        </w:rPr>
        <w:t xml:space="preserve">[39] R.K. Vasudevan, K. Choudhary, A. Mehta, R. Pachter, S.V. Kalinin, M. Chi, Physics-informed machine learning for materials discovery, </w:t>
      </w:r>
      <w:r>
        <w:rPr>
          <w:rFonts w:ascii="Times New Roman" w:hAnsi="Times New Roman" w:eastAsia="Times New Roman"/>
          <w:i/>
          <w:iCs/>
        </w:rPr>
        <w:t>MRS Commun.</w:t>
      </w:r>
      <w:r>
        <w:rPr>
          <w:rFonts w:ascii="Times New Roman" w:hAnsi="Times New Roman" w:eastAsia="Times New Roman"/>
        </w:rPr>
        <w:t xml:space="preserve"> 11 (2021) 611–622. https://doi.org/10.1557/s43579-021-00050-5</w:t>
      </w:r>
    </w:p>
    <w:p w14:paraId="0CCD57AD">
      <w:pPr>
        <w:pStyle w:val="3"/>
      </w:pPr>
      <w:r>
        <w:rPr>
          <w:rFonts w:ascii="Times New Roman" w:hAnsi="Times New Roman" w:eastAsia="Times New Roman"/>
        </w:rPr>
        <w:t xml:space="preserve">[40] A. Ziletti, D. Kumar, M. Scheffler, L.M. Ghiringhelli, Insightful classification of crystal structures by deep learning, </w:t>
      </w:r>
      <w:r>
        <w:rPr>
          <w:rFonts w:ascii="Times New Roman" w:hAnsi="Times New Roman" w:eastAsia="Times New Roman"/>
          <w:i/>
          <w:iCs/>
        </w:rPr>
        <w:t>Nat. Commun.</w:t>
      </w:r>
      <w:r>
        <w:rPr>
          <w:rFonts w:ascii="Times New Roman" w:hAnsi="Times New Roman" w:eastAsia="Times New Roman"/>
        </w:rPr>
        <w:t xml:space="preserve"> 9 (2018) 2775. https://doi.org/10.1038/s41467-018-05169-6</w:t>
      </w:r>
    </w:p>
    <w:bookmarkEnd w:id="0"/>
    <w:sectPr>
      <w:pgSz w:w="11906" w:h="16838"/>
      <w:pgMar w:top="1440" w:right="1440" w:bottom="1440" w:left="1440"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86"/>
    <w:family w:val="auto"/>
    <w:pitch w:val="default"/>
    <w:sig w:usb0="E00006FF" w:usb1="420024FF" w:usb2="02000000" w:usb3="00000000" w:csb0="2000019F" w:csb1="00000000"/>
  </w:font>
  <w:font w:name="Cambria">
    <w:panose1 w:val="02040503050406030204"/>
    <w:charset w:val="00"/>
    <w:family w:val="auto"/>
    <w:pitch w:val="default"/>
    <w:sig w:usb0="E00006FF" w:usb1="420024FF" w:usb2="02000000" w:usb3="00000000" w:csb0="2000019F" w:csb1="00000000"/>
  </w:font>
  <w:font w:name="Consolas">
    <w:panose1 w:val="020B0609020204030204"/>
    <w:charset w:val="00"/>
    <w:family w:val="auto"/>
    <w:pitch w:val="default"/>
    <w:sig w:usb0="E00006FF" w:usb1="0000FCFF" w:usb2="00000001" w:usb3="00000000" w:csb0="6000019F" w:csb1="DFD7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egoe UI Emoji">
    <w:panose1 w:val="020B0502040204020203"/>
    <w:charset w:val="00"/>
    <w:family w:val="auto"/>
    <w:pitch w:val="default"/>
    <w:sig w:usb0="00000001" w:usb1="02000000" w:usb2="08000000" w:usb3="00000000" w:csb0="00000001" w:csb1="00000000"/>
  </w:font>
  <w:font w:name="Segoe UI">
    <w:panose1 w:val="020B0502040204020203"/>
    <w:charset w:val="00"/>
    <w:family w:val="auto"/>
    <w:pitch w:val="default"/>
    <w:sig w:usb0="E4002EFF" w:usb1="C000E47F"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480"/>
      </w:pPr>
    </w:lvl>
    <w:lvl w:ilvl="1" w:tentative="0">
      <w:start w:val="0"/>
      <w:numFmt w:val="bullet"/>
      <w:lvlText w:val="–"/>
      <w:lvlJc w:val="left"/>
      <w:pPr>
        <w:ind w:left="1440" w:hanging="480"/>
      </w:pPr>
    </w:lvl>
    <w:lvl w:ilvl="2" w:tentative="0">
      <w:start w:val="0"/>
      <w:numFmt w:val="bullet"/>
      <w:lvlText w:val="•"/>
      <w:lvlJc w:val="left"/>
      <w:pPr>
        <w:ind w:left="2160" w:hanging="480"/>
      </w:pPr>
    </w:lvl>
    <w:lvl w:ilvl="3" w:tentative="0">
      <w:start w:val="0"/>
      <w:numFmt w:val="bullet"/>
      <w:lvlText w:val="–"/>
      <w:lvlJc w:val="left"/>
      <w:pPr>
        <w:ind w:left="2880" w:hanging="480"/>
      </w:pPr>
    </w:lvl>
    <w:lvl w:ilvl="4" w:tentative="0">
      <w:start w:val="0"/>
      <w:numFmt w:val="bullet"/>
      <w:lvlText w:val="•"/>
      <w:lvlJc w:val="left"/>
      <w:pPr>
        <w:ind w:left="3600" w:hanging="480"/>
      </w:pPr>
    </w:lvl>
    <w:lvl w:ilvl="5" w:tentative="0">
      <w:start w:val="0"/>
      <w:numFmt w:val="bullet"/>
      <w:lvlText w:val="–"/>
      <w:lvlJc w:val="left"/>
      <w:pPr>
        <w:ind w:left="4320" w:hanging="480"/>
      </w:pPr>
    </w:lvl>
    <w:lvl w:ilvl="6" w:tentative="0">
      <w:start w:val="0"/>
      <w:numFmt w:val="bullet"/>
      <w:lvlText w:val="•"/>
      <w:lvlJc w:val="left"/>
      <w:pPr>
        <w:ind w:left="5040" w:hanging="480"/>
      </w:pPr>
    </w:lvl>
    <w:lvl w:ilvl="7" w:tentative="0">
      <w:start w:val="0"/>
      <w:numFmt w:val="bullet"/>
      <w:lvlText w:val="–"/>
      <w:lvlJc w:val="left"/>
      <w:pPr>
        <w:ind w:left="5760" w:hanging="480"/>
      </w:pPr>
    </w:lvl>
    <w:lvl w:ilvl="8" w:tentative="0">
      <w:start w:val="0"/>
      <w:numFmt w:val="bullet"/>
      <w:lvlText w:val="•"/>
      <w:lvlJc w:val="left"/>
      <w:pPr>
        <w:ind w:left="6480" w:hanging="480"/>
      </w:pPr>
    </w:lvl>
  </w:abstractNum>
  <w:abstractNum w:abstractNumId="1">
    <w:nsid w:val="00A99411"/>
    <w:multiLevelType w:val="multilevel"/>
    <w:tmpl w:val="00A99411"/>
    <w:lvl w:ilvl="0" w:tentative="0">
      <w:start w:val="1"/>
      <w:numFmt w:val="decimal"/>
      <w:lvlText w:val="%1."/>
      <w:lvlJc w:val="left"/>
      <w:pPr>
        <w:ind w:left="720" w:hanging="480"/>
      </w:pPr>
    </w:lvl>
    <w:lvl w:ilvl="1" w:tentative="0">
      <w:start w:val="1"/>
      <w:numFmt w:val="decimal"/>
      <w:lvlText w:val="%2."/>
      <w:lvlJc w:val="left"/>
      <w:pPr>
        <w:ind w:left="1440" w:hanging="480"/>
      </w:pPr>
    </w:lvl>
    <w:lvl w:ilvl="2" w:tentative="0">
      <w:start w:val="1"/>
      <w:numFmt w:val="decimal"/>
      <w:lvlText w:val="%3."/>
      <w:lvlJc w:val="left"/>
      <w:pPr>
        <w:ind w:left="2160" w:hanging="480"/>
      </w:pPr>
    </w:lvl>
    <w:lvl w:ilvl="3" w:tentative="0">
      <w:start w:val="1"/>
      <w:numFmt w:val="decimal"/>
      <w:lvlText w:val="%4."/>
      <w:lvlJc w:val="left"/>
      <w:pPr>
        <w:ind w:left="2880" w:hanging="480"/>
      </w:pPr>
    </w:lvl>
    <w:lvl w:ilvl="4" w:tentative="0">
      <w:start w:val="1"/>
      <w:numFmt w:val="decimal"/>
      <w:lvlText w:val="%5."/>
      <w:lvlJc w:val="left"/>
      <w:pPr>
        <w:ind w:left="3600" w:hanging="480"/>
      </w:pPr>
    </w:lvl>
    <w:lvl w:ilvl="5" w:tentative="0">
      <w:start w:val="1"/>
      <w:numFmt w:val="decimal"/>
      <w:lvlText w:val="%6."/>
      <w:lvlJc w:val="left"/>
      <w:pPr>
        <w:ind w:left="4320" w:hanging="480"/>
      </w:pPr>
    </w:lvl>
    <w:lvl w:ilvl="6" w:tentative="0">
      <w:start w:val="1"/>
      <w:numFmt w:val="decimal"/>
      <w:lvlText w:val="%7."/>
      <w:lvlJc w:val="left"/>
      <w:pPr>
        <w:ind w:left="5040" w:hanging="480"/>
      </w:pPr>
    </w:lvl>
    <w:lvl w:ilvl="7" w:tentative="0">
      <w:start w:val="1"/>
      <w:numFmt w:val="decimal"/>
      <w:lvlText w:val="%8."/>
      <w:lvlJc w:val="left"/>
      <w:pPr>
        <w:ind w:left="5760" w:hanging="480"/>
      </w:pPr>
    </w:lvl>
    <w:lvl w:ilvl="8" w:tentative="0">
      <w:start w:val="1"/>
      <w:numFmt w:val="decimal"/>
      <w:lvlText w:val="%9."/>
      <w:lvlJc w:val="left"/>
      <w:pPr>
        <w:ind w:left="6480" w:hanging="480"/>
      </w:pPr>
    </w:lvl>
  </w:abstractNum>
  <w:num w:numId="1">
    <w:abstractNumId w:val="0"/>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NotTrackMoves/>
  <w:documentProtection w:enforcement="0"/>
  <w:defaultTabStop w:val="720"/>
  <w:drawingGridHorizontalSpacing w:val="360"/>
  <w:drawingGridVerticalSpacing w:val="360"/>
  <w:displayHorizontalDrawingGridEvery w:val="1"/>
  <w:displayVerticalDrawingGridEvery w:val="1"/>
  <w:noPunctuationKerning w:val="1"/>
  <w:characterSpacingControl w:val="doNotCompress"/>
  <w:footnotePr>
    <w:footnote w:id="0"/>
    <w:footnote w:id="1"/>
  </w:footnotePr>
  <w:compat>
    <w:doNotExpandShiftReturn/>
    <w:doNotWrapTextWithPunct/>
    <w:doNotUseEastAsianBreakRules/>
    <w:useFELayout/>
    <w:splitPgBreakAndParaMark/>
    <w:compatSetting w:name="compatibilityMode" w:uri="http://schemas.microsoft.com/office/word" w:val="12"/>
  </w:compat>
  <w:rsids>
    <w:rsidRoot w:val="00000000"/>
    <w:rsid w:val="232272BA"/>
    <w:rsid w:val="2FC557EF"/>
    <w:rsid w:val="3D7F1395"/>
    <w:rsid w:val="41BD3658"/>
    <w:rsid w:val="48E24C72"/>
  </w:rsids>
  <m:mathPr>
    <m:mathFont m:val="Cambria Math"/>
    <m:brkBin m:val="before"/>
    <m:brkBinSub m:val="--"/>
    <m:smallFrac m:val="0"/>
    <m:dispDef/>
    <m:lMargin m:val="0"/>
    <m:rMargin m:val="0"/>
    <m:defJc m:val="centerGroup"/>
    <m:wrapRight m:val="1"/>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imes New Roman" w:hAnsi="Times New Roman" w:eastAsia="Times New Roman" w:cstheme="minorBidi"/>
      <w:sz w:val="24"/>
      <w:szCs w:val="24"/>
      <w:lang w:val="en-US" w:eastAsia="en-US" w:bidi="ar-SA"/>
    </w:rPr>
  </w:style>
  <w:style w:type="paragraph" w:styleId="2">
    <w:name w:val="heading 1"/>
    <w:basedOn w:val="1"/>
    <w:next w:val="3"/>
    <w:qFormat/>
    <w:uiPriority w:val="9"/>
    <w:pPr>
      <w:keepNext/>
      <w:keepLines/>
      <w:spacing w:before="360" w:after="120"/>
      <w:outlineLvl w:val="0"/>
    </w:pPr>
    <w:rPr>
      <w:rFonts w:asciiTheme="majorHAnsi" w:hAnsiTheme="majorHAnsi" w:eastAsiaTheme="majorEastAsia" w:cstheme="majorBidi"/>
      <w:b/>
      <w:bCs/>
      <w:color w:val="000000"/>
      <w:sz w:val="28"/>
      <w:szCs w:val="32"/>
    </w:rPr>
  </w:style>
  <w:style w:type="paragraph" w:styleId="4">
    <w:name w:val="heading 2"/>
    <w:basedOn w:val="1"/>
    <w:next w:val="3"/>
    <w:unhideWhenUsed/>
    <w:qFormat/>
    <w:uiPriority w:val="9"/>
    <w:pPr>
      <w:keepNext/>
      <w:keepLines/>
      <w:spacing w:before="240" w:after="120"/>
      <w:outlineLvl w:val="1"/>
    </w:pPr>
    <w:rPr>
      <w:rFonts w:asciiTheme="majorHAnsi" w:hAnsiTheme="majorHAnsi" w:eastAsiaTheme="majorEastAsia" w:cstheme="majorBidi"/>
      <w:b/>
      <w:bCs/>
      <w:color w:val="000000"/>
      <w:sz w:val="24"/>
      <w:szCs w:val="28"/>
    </w:rPr>
  </w:style>
  <w:style w:type="paragraph" w:styleId="5">
    <w:name w:val="heading 3"/>
    <w:basedOn w:val="1"/>
    <w:next w:val="3"/>
    <w:unhideWhenUsed/>
    <w:qFormat/>
    <w:uiPriority w:val="9"/>
    <w:pPr>
      <w:keepNext/>
      <w:keepLines/>
      <w:spacing w:before="120" w:after="60"/>
      <w:outlineLvl w:val="2"/>
    </w:pPr>
    <w:rPr>
      <w:rFonts w:asciiTheme="majorHAnsi" w:hAnsiTheme="majorHAnsi" w:eastAsiaTheme="majorEastAsia" w:cstheme="majorBidi"/>
      <w:b/>
      <w:bCs/>
      <w:i/>
      <w:color w:val="000000"/>
      <w:sz w:val="24"/>
      <w:szCs w:val="24"/>
    </w:rPr>
  </w:style>
  <w:style w:type="paragraph" w:styleId="6">
    <w:name w:val="heading 4"/>
    <w:basedOn w:val="1"/>
    <w:next w:val="3"/>
    <w:unhideWhenUsed/>
    <w:qFormat/>
    <w:uiPriority w:val="9"/>
    <w:pPr>
      <w:keepNext/>
      <w:keepLines/>
      <w:spacing w:before="200" w:after="0"/>
      <w:outlineLvl w:val="3"/>
    </w:pPr>
    <w:rPr>
      <w:rFonts w:asciiTheme="majorHAnsi" w:hAnsiTheme="majorHAnsi" w:eastAsiaTheme="majorEastAsia" w:cstheme="majorBidi"/>
      <w:bCs/>
      <w:i/>
      <w:color w:val="4F81BD" w:themeColor="accent1"/>
      <w:sz w:val="24"/>
      <w:szCs w:val="24"/>
    </w:rPr>
  </w:style>
  <w:style w:type="paragraph" w:styleId="7">
    <w:name w:val="heading 5"/>
    <w:basedOn w:val="1"/>
    <w:next w:val="3"/>
    <w:unhideWhenUsed/>
    <w:qFormat/>
    <w:uiPriority w:val="9"/>
    <w:pPr>
      <w:keepNext/>
      <w:keepLines/>
      <w:spacing w:before="200" w:after="0"/>
      <w:outlineLvl w:val="4"/>
    </w:pPr>
    <w:rPr>
      <w:rFonts w:asciiTheme="majorHAnsi" w:hAnsiTheme="majorHAnsi" w:eastAsiaTheme="majorEastAsia" w:cstheme="majorBidi"/>
      <w:iCs/>
      <w:color w:val="4F81BD" w:themeColor="accent1"/>
      <w:sz w:val="24"/>
      <w:szCs w:val="24"/>
    </w:rPr>
  </w:style>
  <w:style w:type="paragraph" w:styleId="8">
    <w:name w:val="heading 6"/>
    <w:basedOn w:val="1"/>
    <w:next w:val="3"/>
    <w:unhideWhenUsed/>
    <w:qFormat/>
    <w:uiPriority w:val="9"/>
    <w:pPr>
      <w:keepNext/>
      <w:keepLines/>
      <w:spacing w:before="200" w:after="0"/>
      <w:outlineLvl w:val="5"/>
    </w:pPr>
    <w:rPr>
      <w:rFonts w:asciiTheme="majorHAnsi" w:hAnsiTheme="majorHAnsi" w:eastAsiaTheme="majorEastAsia" w:cstheme="majorBidi"/>
      <w:color w:val="4F81BD" w:themeColor="accent1"/>
      <w:sz w:val="24"/>
      <w:szCs w:val="24"/>
    </w:rPr>
  </w:style>
  <w:style w:type="paragraph" w:styleId="9">
    <w:name w:val="heading 7"/>
    <w:basedOn w:val="1"/>
    <w:next w:val="3"/>
    <w:unhideWhenUsed/>
    <w:qFormat/>
    <w:uiPriority w:val="9"/>
    <w:pPr>
      <w:keepNext/>
      <w:keepLines/>
      <w:spacing w:before="200" w:after="0"/>
      <w:outlineLvl w:val="6"/>
    </w:pPr>
    <w:rPr>
      <w:rFonts w:asciiTheme="majorHAnsi" w:hAnsiTheme="majorHAnsi" w:eastAsiaTheme="majorEastAsia" w:cstheme="majorBidi"/>
      <w:color w:val="4F81BD" w:themeColor="accent1"/>
      <w:sz w:val="24"/>
      <w:szCs w:val="24"/>
    </w:rPr>
  </w:style>
  <w:style w:type="paragraph" w:styleId="10">
    <w:name w:val="heading 8"/>
    <w:basedOn w:val="1"/>
    <w:next w:val="3"/>
    <w:unhideWhenUsed/>
    <w:qFormat/>
    <w:uiPriority w:val="9"/>
    <w:pPr>
      <w:keepNext/>
      <w:keepLines/>
      <w:spacing w:before="200" w:after="0"/>
      <w:outlineLvl w:val="7"/>
    </w:pPr>
    <w:rPr>
      <w:rFonts w:asciiTheme="majorHAnsi" w:hAnsiTheme="majorHAnsi" w:eastAsiaTheme="majorEastAsia" w:cstheme="majorBidi"/>
      <w:color w:val="4F81BD" w:themeColor="accent1"/>
      <w:sz w:val="24"/>
      <w:szCs w:val="24"/>
    </w:rPr>
  </w:style>
  <w:style w:type="paragraph" w:styleId="11">
    <w:name w:val="heading 9"/>
    <w:basedOn w:val="1"/>
    <w:next w:val="3"/>
    <w:unhideWhenUsed/>
    <w:qFormat/>
    <w:uiPriority w:val="9"/>
    <w:pPr>
      <w:keepNext/>
      <w:keepLines/>
      <w:spacing w:before="200" w:after="0"/>
      <w:outlineLvl w:val="8"/>
    </w:pPr>
    <w:rPr>
      <w:rFonts w:asciiTheme="majorHAnsi" w:hAnsiTheme="majorHAnsi" w:eastAsiaTheme="majorEastAsia" w:cstheme="majorBidi"/>
      <w:color w:val="4F81BD" w:themeColor="accent1"/>
      <w:sz w:val="24"/>
      <w:szCs w:val="24"/>
    </w:rPr>
  </w:style>
  <w:style w:type="character" w:default="1" w:styleId="20">
    <w:name w:val="Default Paragraph Font"/>
    <w:semiHidden/>
    <w:unhideWhenUsed/>
    <w:qFormat/>
    <w:uiPriority w:val="0"/>
  </w:style>
  <w:style w:type="table" w:default="1" w:styleId="19">
    <w:name w:val="Normal Table"/>
    <w:uiPriority w:val="0"/>
    <w:tblPr>
      <w:tblCellMar>
        <w:top w:w="0" w:type="dxa"/>
        <w:left w:w="108" w:type="dxa"/>
        <w:bottom w:w="0" w:type="dxa"/>
        <w:right w:w="108" w:type="dxa"/>
      </w:tblCellMar>
    </w:tblPr>
  </w:style>
  <w:style w:type="paragraph" w:styleId="3">
    <w:name w:val="Body Text"/>
    <w:basedOn w:val="1"/>
    <w:link w:val="22"/>
    <w:qFormat/>
    <w:uiPriority w:val="0"/>
    <w:pPr>
      <w:spacing w:before="180" w:after="120" w:line="360" w:lineRule="auto"/>
    </w:pPr>
    <w:rPr>
      <w:rFonts w:ascii="Times New Roman" w:hAnsi="Times New Roman" w:eastAsia="Times New Roman"/>
      <w:sz w:val="24"/>
    </w:rPr>
  </w:style>
  <w:style w:type="paragraph" w:styleId="12">
    <w:name w:val="caption"/>
    <w:basedOn w:val="1"/>
    <w:qFormat/>
    <w:uiPriority w:val="0"/>
    <w:pPr>
      <w:spacing w:before="0" w:after="120"/>
    </w:pPr>
    <w:rPr>
      <w:rFonts w:ascii="Times New Roman" w:hAnsi="Times New Roman" w:eastAsia="Times New Roman"/>
      <w:i/>
      <w:sz w:val="20"/>
    </w:rPr>
  </w:style>
  <w:style w:type="paragraph" w:styleId="13">
    <w:name w:val="Block Text"/>
    <w:basedOn w:val="3"/>
    <w:next w:val="3"/>
    <w:unhideWhenUsed/>
    <w:qFormat/>
    <w:uiPriority w:val="9"/>
    <w:pPr>
      <w:spacing w:before="100" w:after="100"/>
      <w:ind w:left="480" w:right="480" w:firstLine="0"/>
    </w:pPr>
    <w:rPr>
      <w:rFonts w:ascii="Times New Roman" w:hAnsi="Times New Roman" w:eastAsia="Times New Roman"/>
      <w:sz w:val="24"/>
    </w:rPr>
  </w:style>
  <w:style w:type="paragraph" w:styleId="14">
    <w:name w:val="Date"/>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styleId="15">
    <w:name w:val="Subtitle"/>
    <w:basedOn w:val="16"/>
    <w:next w:val="3"/>
    <w:qFormat/>
    <w:uiPriority w:val="0"/>
    <w:pPr>
      <w:keepNext/>
      <w:keepLines/>
      <w:spacing w:before="240" w:after="240"/>
      <w:jc w:val="center"/>
    </w:pPr>
    <w:rPr>
      <w:rFonts w:ascii="Times New Roman" w:hAnsi="Times New Roman" w:eastAsia="Times New Roman"/>
      <w:sz w:val="24"/>
      <w:szCs w:val="30"/>
    </w:rPr>
  </w:style>
  <w:style w:type="paragraph" w:styleId="16">
    <w:name w:val="Title"/>
    <w:basedOn w:val="1"/>
    <w:next w:val="3"/>
    <w:qFormat/>
    <w:uiPriority w:val="0"/>
    <w:pPr>
      <w:keepNext/>
      <w:keepLines/>
      <w:spacing w:before="480" w:after="240"/>
      <w:jc w:val="center"/>
    </w:pPr>
    <w:rPr>
      <w:rFonts w:asciiTheme="majorHAnsi" w:hAnsiTheme="majorHAnsi" w:eastAsiaTheme="majorEastAsia" w:cstheme="majorBidi"/>
      <w:b/>
      <w:bCs/>
      <w:color w:val="335B8A" w:themeColor="accent1" w:themeShade="B5"/>
      <w:sz w:val="32"/>
      <w:szCs w:val="36"/>
    </w:rPr>
  </w:style>
  <w:style w:type="paragraph" w:styleId="17">
    <w:name w:val="footnote text"/>
    <w:basedOn w:val="1"/>
    <w:unhideWhenUsed/>
    <w:qFormat/>
    <w:uiPriority w:val="9"/>
  </w:style>
  <w:style w:type="paragraph" w:styleId="18">
    <w:name w:val="Normal (Web)"/>
    <w:basedOn w:val="1"/>
    <w:uiPriority w:val="0"/>
    <w:pPr>
      <w:spacing w:before="0" w:beforeAutospacing="1" w:after="0" w:afterAutospacing="1"/>
      <w:ind w:left="0" w:right="0"/>
      <w:jc w:val="left"/>
    </w:pPr>
    <w:rPr>
      <w:kern w:val="0"/>
      <w:sz w:val="24"/>
      <w:lang w:val="en-US" w:eastAsia="zh-CN" w:bidi="ar"/>
    </w:rPr>
  </w:style>
  <w:style w:type="character" w:styleId="21">
    <w:name w:val="Hyperlink"/>
    <w:basedOn w:val="22"/>
    <w:qFormat/>
    <w:uiPriority w:val="0"/>
    <w:rPr>
      <w:color w:val="4F81BD" w:themeColor="accent1"/>
    </w:rPr>
  </w:style>
  <w:style w:type="character" w:customStyle="1" w:styleId="22">
    <w:name w:val="Body Text Char"/>
    <w:basedOn w:val="20"/>
    <w:link w:val="3"/>
    <w:qFormat/>
    <w:uiPriority w:val="0"/>
  </w:style>
  <w:style w:type="character" w:styleId="23">
    <w:name w:val="footnote reference"/>
    <w:basedOn w:val="22"/>
    <w:qFormat/>
    <w:uiPriority w:val="0"/>
    <w:rPr>
      <w:vertAlign w:val="superscript"/>
    </w:rPr>
  </w:style>
  <w:style w:type="paragraph" w:customStyle="1" w:styleId="24">
    <w:name w:val="First Paragraph"/>
    <w:basedOn w:val="3"/>
    <w:next w:val="3"/>
    <w:qFormat/>
    <w:uiPriority w:val="0"/>
    <w:rPr>
      <w:rFonts w:ascii="Times New Roman" w:hAnsi="Times New Roman" w:eastAsia="Times New Roman"/>
      <w:sz w:val="24"/>
    </w:rPr>
  </w:style>
  <w:style w:type="paragraph" w:customStyle="1" w:styleId="25">
    <w:name w:val="Compact"/>
    <w:basedOn w:val="3"/>
    <w:qFormat/>
    <w:uiPriority w:val="0"/>
    <w:pPr>
      <w:spacing w:before="36" w:after="36"/>
    </w:pPr>
    <w:rPr>
      <w:rFonts w:ascii="Times New Roman" w:hAnsi="Times New Roman" w:eastAsia="Times New Roman"/>
      <w:sz w:val="24"/>
    </w:rPr>
  </w:style>
  <w:style w:type="paragraph" w:customStyle="1" w:styleId="26">
    <w:name w:val="Author"/>
    <w:next w:val="3"/>
    <w:qFormat/>
    <w:uiPriority w:val="0"/>
    <w:pPr>
      <w:keepNext/>
      <w:keepLines/>
      <w:spacing w:after="200"/>
      <w:jc w:val="center"/>
    </w:pPr>
    <w:rPr>
      <w:rFonts w:ascii="Times New Roman" w:hAnsi="Times New Roman" w:eastAsia="Times New Roman" w:cstheme="minorBidi"/>
      <w:sz w:val="24"/>
      <w:szCs w:val="24"/>
      <w:lang w:val="en-US" w:eastAsia="en-US" w:bidi="ar-SA"/>
    </w:rPr>
  </w:style>
  <w:style w:type="paragraph" w:customStyle="1" w:styleId="27">
    <w:name w:val="Abstract"/>
    <w:basedOn w:val="1"/>
    <w:next w:val="3"/>
    <w:qFormat/>
    <w:uiPriority w:val="0"/>
    <w:pPr>
      <w:keepNext/>
      <w:keepLines/>
      <w:spacing w:before="300" w:after="300"/>
    </w:pPr>
    <w:rPr>
      <w:rFonts w:ascii="Times New Roman" w:hAnsi="Times New Roman" w:eastAsia="Times New Roman"/>
      <w:sz w:val="24"/>
      <w:szCs w:val="20"/>
    </w:rPr>
  </w:style>
  <w:style w:type="paragraph" w:customStyle="1" w:styleId="28">
    <w:name w:val="Bibliography"/>
    <w:basedOn w:val="1"/>
    <w:qFormat/>
    <w:uiPriority w:val="0"/>
    <w:rPr>
      <w:rFonts w:ascii="Times New Roman" w:hAnsi="Times New Roman" w:eastAsia="Times New Roman"/>
      <w:sz w:val="22"/>
    </w:rPr>
  </w:style>
  <w:style w:type="table" w:customStyle="1" w:styleId="29">
    <w:name w:val="Table"/>
    <w:semiHidden/>
    <w:unhideWhenUsed/>
    <w:qFormat/>
    <w:uiPriority w:val="0"/>
    <w:tblPr>
      <w:tblCellMar>
        <w:top w:w="0" w:type="dxa"/>
        <w:left w:w="108" w:type="dxa"/>
        <w:bottom w:w="0" w:type="dxa"/>
        <w:right w:w="108" w:type="dxa"/>
      </w:tblCellMar>
    </w:tblPr>
    <w:tblStylePr w:type="firstRow">
      <w:tblPr/>
      <w:tcPr>
        <w:tcBorders>
          <w:bottom w:val="single" w:color="auto" w:sz="0" w:space="0"/>
        </w:tcBorders>
        <w:vAlign w:val="bottom"/>
      </w:tcPr>
    </w:tblStylePr>
  </w:style>
  <w:style w:type="paragraph" w:customStyle="1" w:styleId="30">
    <w:name w:val="Definition Term"/>
    <w:basedOn w:val="1"/>
    <w:next w:val="31"/>
    <w:uiPriority w:val="0"/>
    <w:pPr>
      <w:keepNext/>
      <w:keepLines/>
      <w:spacing w:after="0"/>
    </w:pPr>
    <w:rPr>
      <w:b/>
    </w:rPr>
  </w:style>
  <w:style w:type="paragraph" w:customStyle="1" w:styleId="31">
    <w:name w:val="Definition"/>
    <w:basedOn w:val="1"/>
    <w:qFormat/>
    <w:uiPriority w:val="0"/>
  </w:style>
  <w:style w:type="paragraph" w:customStyle="1" w:styleId="32">
    <w:name w:val="Table Caption"/>
    <w:basedOn w:val="12"/>
    <w:qFormat/>
    <w:uiPriority w:val="0"/>
    <w:pPr>
      <w:keepNext/>
    </w:pPr>
    <w:rPr>
      <w:rFonts w:ascii="Times New Roman" w:hAnsi="Times New Roman" w:eastAsia="Times New Roman"/>
      <w:sz w:val="20"/>
    </w:rPr>
  </w:style>
  <w:style w:type="paragraph" w:customStyle="1" w:styleId="33">
    <w:name w:val="Image Caption"/>
    <w:basedOn w:val="12"/>
    <w:qFormat/>
    <w:uiPriority w:val="0"/>
    <w:rPr>
      <w:rFonts w:ascii="Times New Roman" w:hAnsi="Times New Roman" w:eastAsia="Times New Roman"/>
      <w:sz w:val="20"/>
    </w:rPr>
  </w:style>
  <w:style w:type="paragraph" w:customStyle="1" w:styleId="34">
    <w:name w:val="Figure"/>
    <w:basedOn w:val="1"/>
    <w:qFormat/>
    <w:uiPriority w:val="0"/>
    <w:rPr>
      <w:rFonts w:ascii="Times New Roman" w:hAnsi="Times New Roman" w:eastAsia="Times New Roman"/>
      <w:sz w:val="20"/>
    </w:rPr>
  </w:style>
  <w:style w:type="paragraph" w:customStyle="1" w:styleId="35">
    <w:name w:val="Captioned Figure"/>
    <w:basedOn w:val="34"/>
    <w:qFormat/>
    <w:uiPriority w:val="0"/>
    <w:pPr>
      <w:keepNext/>
    </w:pPr>
  </w:style>
  <w:style w:type="character" w:customStyle="1" w:styleId="36">
    <w:name w:val="Verbatim Char"/>
    <w:basedOn w:val="22"/>
    <w:link w:val="37"/>
    <w:qFormat/>
    <w:uiPriority w:val="0"/>
    <w:rPr>
      <w:rFonts w:ascii="Consolas" w:hAnsi="Consolas"/>
      <w:sz w:val="22"/>
    </w:rPr>
  </w:style>
  <w:style w:type="paragraph" w:customStyle="1" w:styleId="37">
    <w:name w:val="Source Code"/>
    <w:basedOn w:val="1"/>
    <w:link w:val="36"/>
    <w:qFormat/>
    <w:uiPriority w:val="0"/>
    <w:pPr>
      <w:wordWrap w:val="0"/>
    </w:pPr>
  </w:style>
  <w:style w:type="character" w:customStyle="1" w:styleId="38">
    <w:name w:val="Section Number"/>
    <w:basedOn w:val="22"/>
    <w:qFormat/>
    <w:uiPriority w:val="0"/>
  </w:style>
  <w:style w:type="paragraph" w:customStyle="1" w:styleId="39">
    <w:name w:val="TOC Heading"/>
    <w:basedOn w:val="2"/>
    <w:next w:val="3"/>
    <w:unhideWhenUsed/>
    <w:qFormat/>
    <w:uiPriority w:val="39"/>
    <w:pPr>
      <w:spacing w:before="240" w:line="259" w:lineRule="auto"/>
      <w:outlineLvl w:val="9"/>
    </w:pPr>
    <w:rPr>
      <w:rFonts w:asciiTheme="majorHAnsi" w:hAnsiTheme="majorHAnsi" w:eastAsiaTheme="majorEastAsia" w:cstheme="majorBidi"/>
      <w:b w:val="0"/>
      <w:bCs w:val="0"/>
      <w:color w:val="366091" w:themeColor="accent1" w:themeShade="BF"/>
    </w:rPr>
  </w:style>
  <w:style w:type="character" w:customStyle="1" w:styleId="40">
    <w:name w:val="KeywordTok"/>
    <w:basedOn w:val="36"/>
    <w:qFormat/>
    <w:uiPriority w:val="0"/>
    <w:rPr>
      <w:b/>
      <w:color w:val="007020"/>
    </w:rPr>
  </w:style>
  <w:style w:type="character" w:customStyle="1" w:styleId="41">
    <w:name w:val="DataTypeTok"/>
    <w:basedOn w:val="36"/>
    <w:qFormat/>
    <w:uiPriority w:val="0"/>
    <w:rPr>
      <w:color w:val="902000"/>
    </w:rPr>
  </w:style>
  <w:style w:type="character" w:customStyle="1" w:styleId="42">
    <w:name w:val="DecValTok"/>
    <w:basedOn w:val="36"/>
    <w:qFormat/>
    <w:uiPriority w:val="0"/>
    <w:rPr>
      <w:color w:val="40A070"/>
    </w:rPr>
  </w:style>
  <w:style w:type="character" w:customStyle="1" w:styleId="43">
    <w:name w:val="BaseNTok"/>
    <w:basedOn w:val="36"/>
    <w:qFormat/>
    <w:uiPriority w:val="0"/>
    <w:rPr>
      <w:color w:val="40A070"/>
    </w:rPr>
  </w:style>
  <w:style w:type="character" w:customStyle="1" w:styleId="44">
    <w:name w:val="FloatTok"/>
    <w:basedOn w:val="36"/>
    <w:qFormat/>
    <w:uiPriority w:val="0"/>
    <w:rPr>
      <w:color w:val="40A070"/>
    </w:rPr>
  </w:style>
  <w:style w:type="character" w:customStyle="1" w:styleId="45">
    <w:name w:val="ConstantTok"/>
    <w:basedOn w:val="36"/>
    <w:qFormat/>
    <w:uiPriority w:val="0"/>
    <w:rPr>
      <w:color w:val="880000"/>
    </w:rPr>
  </w:style>
  <w:style w:type="character" w:customStyle="1" w:styleId="46">
    <w:name w:val="CharTok"/>
    <w:basedOn w:val="36"/>
    <w:qFormat/>
    <w:uiPriority w:val="0"/>
    <w:rPr>
      <w:color w:val="4070A0"/>
    </w:rPr>
  </w:style>
  <w:style w:type="character" w:customStyle="1" w:styleId="47">
    <w:name w:val="SpecialCharTok"/>
    <w:basedOn w:val="36"/>
    <w:qFormat/>
    <w:uiPriority w:val="0"/>
    <w:rPr>
      <w:color w:val="4070A0"/>
    </w:rPr>
  </w:style>
  <w:style w:type="character" w:customStyle="1" w:styleId="48">
    <w:name w:val="StringTok"/>
    <w:basedOn w:val="36"/>
    <w:qFormat/>
    <w:uiPriority w:val="0"/>
    <w:rPr>
      <w:color w:val="4070A0"/>
    </w:rPr>
  </w:style>
  <w:style w:type="character" w:customStyle="1" w:styleId="49">
    <w:name w:val="VerbatimStringTok"/>
    <w:basedOn w:val="36"/>
    <w:qFormat/>
    <w:uiPriority w:val="0"/>
    <w:rPr>
      <w:color w:val="4070A0"/>
    </w:rPr>
  </w:style>
  <w:style w:type="character" w:customStyle="1" w:styleId="50">
    <w:name w:val="SpecialStringTok"/>
    <w:basedOn w:val="36"/>
    <w:qFormat/>
    <w:uiPriority w:val="0"/>
    <w:rPr>
      <w:color w:val="BB6688"/>
    </w:rPr>
  </w:style>
  <w:style w:type="character" w:customStyle="1" w:styleId="51">
    <w:name w:val="ImportTok"/>
    <w:basedOn w:val="36"/>
    <w:qFormat/>
    <w:uiPriority w:val="0"/>
    <w:rPr>
      <w:b/>
      <w:color w:val="008000"/>
    </w:rPr>
  </w:style>
  <w:style w:type="character" w:customStyle="1" w:styleId="52">
    <w:name w:val="CommentTok"/>
    <w:basedOn w:val="36"/>
    <w:qFormat/>
    <w:uiPriority w:val="0"/>
    <w:rPr>
      <w:i/>
      <w:color w:val="60A0B0"/>
    </w:rPr>
  </w:style>
  <w:style w:type="character" w:customStyle="1" w:styleId="53">
    <w:name w:val="DocumentationTok"/>
    <w:basedOn w:val="36"/>
    <w:qFormat/>
    <w:uiPriority w:val="0"/>
    <w:rPr>
      <w:i/>
      <w:color w:val="BA2121"/>
    </w:rPr>
  </w:style>
  <w:style w:type="character" w:customStyle="1" w:styleId="54">
    <w:name w:val="AnnotationTok"/>
    <w:basedOn w:val="36"/>
    <w:qFormat/>
    <w:uiPriority w:val="0"/>
    <w:rPr>
      <w:b/>
      <w:i/>
      <w:color w:val="60A0B0"/>
    </w:rPr>
  </w:style>
  <w:style w:type="character" w:customStyle="1" w:styleId="55">
    <w:name w:val="CommentVarTok"/>
    <w:basedOn w:val="36"/>
    <w:qFormat/>
    <w:uiPriority w:val="0"/>
    <w:rPr>
      <w:b/>
      <w:i/>
      <w:color w:val="60A0B0"/>
    </w:rPr>
  </w:style>
  <w:style w:type="character" w:customStyle="1" w:styleId="56">
    <w:name w:val="OtherTok"/>
    <w:basedOn w:val="36"/>
    <w:qFormat/>
    <w:uiPriority w:val="0"/>
    <w:rPr>
      <w:color w:val="007020"/>
    </w:rPr>
  </w:style>
  <w:style w:type="character" w:customStyle="1" w:styleId="57">
    <w:name w:val="FunctionTok"/>
    <w:basedOn w:val="36"/>
    <w:qFormat/>
    <w:uiPriority w:val="0"/>
    <w:rPr>
      <w:color w:val="06287E"/>
    </w:rPr>
  </w:style>
  <w:style w:type="character" w:customStyle="1" w:styleId="58">
    <w:name w:val="VariableTok"/>
    <w:basedOn w:val="36"/>
    <w:qFormat/>
    <w:uiPriority w:val="0"/>
    <w:rPr>
      <w:color w:val="19177C"/>
    </w:rPr>
  </w:style>
  <w:style w:type="character" w:customStyle="1" w:styleId="59">
    <w:name w:val="ControlFlowTok"/>
    <w:basedOn w:val="36"/>
    <w:qFormat/>
    <w:uiPriority w:val="0"/>
    <w:rPr>
      <w:b/>
      <w:color w:val="007020"/>
    </w:rPr>
  </w:style>
  <w:style w:type="character" w:customStyle="1" w:styleId="60">
    <w:name w:val="OperatorTok"/>
    <w:basedOn w:val="36"/>
    <w:qFormat/>
    <w:uiPriority w:val="0"/>
    <w:rPr>
      <w:color w:val="666666"/>
    </w:rPr>
  </w:style>
  <w:style w:type="character" w:customStyle="1" w:styleId="61">
    <w:name w:val="BuiltInTok"/>
    <w:basedOn w:val="36"/>
    <w:qFormat/>
    <w:uiPriority w:val="0"/>
    <w:rPr>
      <w:color w:val="008000"/>
    </w:rPr>
  </w:style>
  <w:style w:type="character" w:customStyle="1" w:styleId="62">
    <w:name w:val="ExtensionTok"/>
    <w:basedOn w:val="36"/>
    <w:qFormat/>
    <w:uiPriority w:val="0"/>
  </w:style>
  <w:style w:type="character" w:customStyle="1" w:styleId="63">
    <w:name w:val="PreprocessorTok"/>
    <w:basedOn w:val="36"/>
    <w:qFormat/>
    <w:uiPriority w:val="0"/>
    <w:rPr>
      <w:color w:val="BC7A00"/>
    </w:rPr>
  </w:style>
  <w:style w:type="character" w:customStyle="1" w:styleId="64">
    <w:name w:val="AttributeTok"/>
    <w:basedOn w:val="36"/>
    <w:qFormat/>
    <w:uiPriority w:val="0"/>
    <w:rPr>
      <w:color w:val="7D9029"/>
    </w:rPr>
  </w:style>
  <w:style w:type="character" w:customStyle="1" w:styleId="65">
    <w:name w:val="RegionMarkerTok"/>
    <w:basedOn w:val="36"/>
    <w:qFormat/>
    <w:uiPriority w:val="0"/>
  </w:style>
  <w:style w:type="character" w:customStyle="1" w:styleId="66">
    <w:name w:val="InformationTok"/>
    <w:basedOn w:val="36"/>
    <w:uiPriority w:val="0"/>
    <w:rPr>
      <w:b/>
      <w:i/>
      <w:color w:val="60A0B0"/>
    </w:rPr>
  </w:style>
  <w:style w:type="character" w:customStyle="1" w:styleId="67">
    <w:name w:val="WarningTok"/>
    <w:basedOn w:val="36"/>
    <w:qFormat/>
    <w:uiPriority w:val="0"/>
    <w:rPr>
      <w:b/>
      <w:i/>
      <w:color w:val="60A0B0"/>
    </w:rPr>
  </w:style>
  <w:style w:type="character" w:customStyle="1" w:styleId="68">
    <w:name w:val="AlertTok"/>
    <w:basedOn w:val="36"/>
    <w:qFormat/>
    <w:uiPriority w:val="0"/>
    <w:rPr>
      <w:b/>
      <w:color w:val="FF0000"/>
    </w:rPr>
  </w:style>
  <w:style w:type="character" w:customStyle="1" w:styleId="69">
    <w:name w:val="ErrorTok"/>
    <w:basedOn w:val="36"/>
    <w:qFormat/>
    <w:uiPriority w:val="0"/>
    <w:rPr>
      <w:b/>
      <w:color w:val="FF0000"/>
    </w:rPr>
  </w:style>
  <w:style w:type="character" w:customStyle="1" w:styleId="70">
    <w:name w:val="NormalTok"/>
    <w:basedOn w:val="36"/>
    <w:qFormat/>
    <w:uiPriority w:val="0"/>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20</Pages>
  <Words>5797</Words>
  <Characters>37894</Characters>
  <Lines>12</Lines>
  <Paragraphs>8</Paragraphs>
  <TotalTime>192</TotalTime>
  <ScaleCrop>false</ScaleCrop>
  <LinksUpToDate>false</LinksUpToDate>
  <CharactersWithSpaces>43420</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2026-06-18T06:24:00Z</dcterms:created>
  <dc:creator>冯徐名永(2023012894)</dc:creator>
  <cp:lastModifiedBy>冯徐名永(2023012894)</cp:lastModifiedBy>
  <dcterms:modified xsi:type="dcterms:W3CDTF">2026-06-18T09:58:28Z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eyJoZGlkIjoiYzBjZjcwODQzYmJhNTExZDdiZjI4NGJmMzU2M2Q5NjgiLCJ1c2VySWQiOiIxNzc4MzMyNjU2In0=</vt:lpwstr>
  </property>
  <property fmtid="{D5CDD505-2E9C-101B-9397-08002B2CF9AE}" pid="3" name="KSOProductBuildVer">
    <vt:lpwstr>2052-12.1.0.26375</vt:lpwstr>
  </property>
  <property fmtid="{D5CDD505-2E9C-101B-9397-08002B2CF9AE}" pid="4" name="ICV">
    <vt:lpwstr>CB49DFE44F7B4C1CB7E1EE96D6B0CCB7_12</vt:lpwstr>
  </property>
</Properties>
</file>